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5399" w:rsidRPr="00AE0716" w:rsidRDefault="00325399" w:rsidP="00DA0A30">
      <w:pPr>
        <w:spacing w:line="480" w:lineRule="auto"/>
        <w:rPr>
          <w:b/>
          <w:sz w:val="24"/>
          <w:lang w:val="en-US"/>
        </w:rPr>
      </w:pPr>
      <w:bookmarkStart w:id="0" w:name="_GoBack"/>
      <w:bookmarkEnd w:id="0"/>
      <w:r w:rsidRPr="00AE0716">
        <w:rPr>
          <w:b/>
          <w:sz w:val="24"/>
          <w:lang w:val="en-US"/>
        </w:rPr>
        <w:t>Appendix</w:t>
      </w:r>
    </w:p>
    <w:p w:rsidR="0020211D" w:rsidRDefault="00AE1836" w:rsidP="00DA0A30">
      <w:pPr>
        <w:spacing w:line="480" w:lineRule="auto"/>
        <w:jc w:val="both"/>
        <w:rPr>
          <w:sz w:val="24"/>
          <w:lang w:val="en-US"/>
        </w:rPr>
      </w:pPr>
      <w:bookmarkStart w:id="1" w:name="_w6p0gx7h84zg" w:colFirst="0" w:colLast="0"/>
      <w:bookmarkEnd w:id="1"/>
      <w:r>
        <w:rPr>
          <w:sz w:val="24"/>
          <w:lang w:val="en-US"/>
        </w:rPr>
        <w:t>A</w:t>
      </w:r>
      <w:r w:rsidR="0020211D" w:rsidRPr="0024217D">
        <w:rPr>
          <w:sz w:val="24"/>
          <w:lang w:val="en-US"/>
        </w:rPr>
        <w:t xml:space="preserve">. </w:t>
      </w:r>
      <w:r w:rsidR="0020211D">
        <w:rPr>
          <w:sz w:val="24"/>
          <w:lang w:val="en-US"/>
        </w:rPr>
        <w:t>Expanding on the a</w:t>
      </w:r>
      <w:r w:rsidR="0020211D" w:rsidRPr="0024217D">
        <w:rPr>
          <w:sz w:val="24"/>
          <w:lang w:val="en-US"/>
        </w:rPr>
        <w:t>nalytical model</w:t>
      </w:r>
      <w:r w:rsidR="0020211D">
        <w:rPr>
          <w:sz w:val="24"/>
          <w:lang w:val="en-US"/>
        </w:rPr>
        <w:t xml:space="preserve"> of </w:t>
      </w:r>
      <w:proofErr w:type="spellStart"/>
      <w:r w:rsidR="0020211D">
        <w:rPr>
          <w:sz w:val="24"/>
          <w:lang w:val="en-US"/>
        </w:rPr>
        <w:t>Jobmann</w:t>
      </w:r>
      <w:proofErr w:type="spellEnd"/>
      <w:r w:rsidR="0020211D">
        <w:rPr>
          <w:sz w:val="24"/>
          <w:lang w:val="en-US"/>
        </w:rPr>
        <w:t xml:space="preserve"> &amp; Schulz 1989 and its methods</w:t>
      </w:r>
    </w:p>
    <w:p w:rsidR="0020211D" w:rsidRDefault="0020211D" w:rsidP="00DA0A30">
      <w:pPr>
        <w:spacing w:line="480" w:lineRule="auto"/>
        <w:jc w:val="both"/>
        <w:rPr>
          <w:sz w:val="24"/>
          <w:highlight w:val="yellow"/>
          <w:lang w:val="en-US"/>
        </w:rPr>
      </w:pPr>
    </w:p>
    <w:p w:rsidR="0020211D" w:rsidRPr="00E15ECC" w:rsidRDefault="0020211D" w:rsidP="00DA0A30">
      <w:pPr>
        <w:spacing w:after="160" w:line="480" w:lineRule="auto"/>
        <w:jc w:val="both"/>
        <w:rPr>
          <w:lang w:val="en-US"/>
        </w:rPr>
      </w:pPr>
      <w:r w:rsidRPr="00E15ECC">
        <w:rPr>
          <w:lang w:val="en-US"/>
        </w:rPr>
        <w:t>The mai</w:t>
      </w:r>
      <w:r w:rsidR="00AE1836">
        <w:rPr>
          <w:lang w:val="en-US"/>
        </w:rPr>
        <w:t xml:space="preserve">n goal of </w:t>
      </w:r>
      <w:proofErr w:type="spellStart"/>
      <w:r w:rsidR="00AE1836">
        <w:rPr>
          <w:lang w:val="en-US"/>
        </w:rPr>
        <w:t>Jobmann</w:t>
      </w:r>
      <w:proofErr w:type="spellEnd"/>
      <w:r w:rsidR="00AE1836">
        <w:rPr>
          <w:lang w:val="en-US"/>
        </w:rPr>
        <w:t xml:space="preserve"> &amp; Schulz 1989</w:t>
      </w:r>
      <w:r w:rsidR="00DB0804">
        <w:rPr>
          <w:lang w:val="en-US"/>
        </w:rPr>
        <w:t xml:space="preserve"> </w:t>
      </w:r>
      <w:r w:rsidRPr="00E15ECC">
        <w:rPr>
          <w:lang w:val="en-US"/>
        </w:rPr>
        <w:t xml:space="preserve">was to determine as accurately as possible the recoverable geothermal energy from the deep groundwater of the Upper Jurassic aquifer in the </w:t>
      </w:r>
      <w:proofErr w:type="gramStart"/>
      <w:r w:rsidRPr="00E15ECC">
        <w:rPr>
          <w:lang w:val="en-US"/>
        </w:rPr>
        <w:t>above mentioned</w:t>
      </w:r>
      <w:proofErr w:type="gramEnd"/>
      <w:r w:rsidRPr="00E15ECC">
        <w:rPr>
          <w:lang w:val="en-US"/>
        </w:rPr>
        <w:t xml:space="preserve"> area. To accomplish this, the study area </w:t>
      </w:r>
      <w:proofErr w:type="gramStart"/>
      <w:r w:rsidRPr="00E15ECC">
        <w:rPr>
          <w:lang w:val="en-US"/>
        </w:rPr>
        <w:t>was covered</w:t>
      </w:r>
      <w:proofErr w:type="gramEnd"/>
      <w:r w:rsidRPr="00E15ECC">
        <w:rPr>
          <w:lang w:val="en-US"/>
        </w:rPr>
        <w:t xml:space="preserve"> with an arra</w:t>
      </w:r>
      <w:r w:rsidR="00AE1836">
        <w:rPr>
          <w:lang w:val="en-US"/>
        </w:rPr>
        <w:t>y of geothermal doublets (Fig. 6)</w:t>
      </w:r>
      <w:r w:rsidRPr="00E15ECC">
        <w:rPr>
          <w:lang w:val="en-US"/>
        </w:rPr>
        <w:t xml:space="preserve">. For the longest possible </w:t>
      </w:r>
      <w:r w:rsidR="00AE1836" w:rsidRPr="00E15ECC">
        <w:rPr>
          <w:lang w:val="en-US"/>
        </w:rPr>
        <w:t>lifetime</w:t>
      </w:r>
      <w:r w:rsidRPr="00E15ECC">
        <w:rPr>
          <w:lang w:val="en-US"/>
        </w:rPr>
        <w:t xml:space="preserve"> of such doublet arrays and in general multi-well systems, the distance between the boreholes should be as large as possible, however keeping the hydraulic connection between injector and producer.   </w:t>
      </w:r>
    </w:p>
    <w:p w:rsidR="0020211D" w:rsidRPr="00E15ECC" w:rsidRDefault="00AE1836" w:rsidP="00DA0A30">
      <w:pPr>
        <w:spacing w:after="160" w:line="480" w:lineRule="auto"/>
        <w:jc w:val="both"/>
        <w:rPr>
          <w:lang w:val="en-US"/>
        </w:rPr>
      </w:pPr>
      <w:proofErr w:type="spellStart"/>
      <w:r w:rsidRPr="00E15ECC">
        <w:rPr>
          <w:lang w:val="en-US"/>
        </w:rPr>
        <w:t>Jobmann</w:t>
      </w:r>
      <w:proofErr w:type="spellEnd"/>
      <w:r w:rsidRPr="00E15ECC">
        <w:rPr>
          <w:lang w:val="en-US"/>
        </w:rPr>
        <w:t xml:space="preserve"> &amp; Schulz 1989</w:t>
      </w:r>
      <w:r w:rsidR="00DB0804">
        <w:rPr>
          <w:lang w:val="en-US"/>
        </w:rPr>
        <w:t xml:space="preserve"> </w:t>
      </w:r>
      <w:r w:rsidR="0020211D" w:rsidRPr="00E15ECC">
        <w:rPr>
          <w:lang w:val="en-US"/>
        </w:rPr>
        <w:t xml:space="preserve">indicated that their methods </w:t>
      </w:r>
      <w:proofErr w:type="gramStart"/>
      <w:r w:rsidR="0020211D" w:rsidRPr="00E15ECC">
        <w:rPr>
          <w:lang w:val="en-US"/>
        </w:rPr>
        <w:t>can</w:t>
      </w:r>
      <w:proofErr w:type="gramEnd"/>
      <w:r w:rsidR="0020211D" w:rsidRPr="00E15ECC">
        <w:rPr>
          <w:lang w:val="en-US"/>
        </w:rPr>
        <w:t xml:space="preserve"> in principle also be applied to other - not necessarily identical - geological conditions in the world. Therefore, we summarize in this work the main analytical aspects of the methodology developed by </w:t>
      </w:r>
      <w:proofErr w:type="spellStart"/>
      <w:r w:rsidRPr="00E15ECC">
        <w:rPr>
          <w:lang w:val="en-US"/>
        </w:rPr>
        <w:t>Jobmann</w:t>
      </w:r>
      <w:proofErr w:type="spellEnd"/>
      <w:r w:rsidRPr="00E15ECC">
        <w:rPr>
          <w:lang w:val="en-US"/>
        </w:rPr>
        <w:t xml:space="preserve"> &amp; Schulz 1989 </w:t>
      </w:r>
      <w:r w:rsidR="0020211D" w:rsidRPr="00E15ECC">
        <w:rPr>
          <w:lang w:val="en-US"/>
        </w:rPr>
        <w:t xml:space="preserve">to assess the recoverable geothermal energy in hot sedimentary aquifers with the help of a principle model that involves the optimal placement of geothermal doublet arrays.  </w:t>
      </w:r>
    </w:p>
    <w:p w:rsidR="0020211D" w:rsidRPr="00E15ECC" w:rsidRDefault="0020211D" w:rsidP="00DA0A30">
      <w:pPr>
        <w:spacing w:after="160" w:line="480" w:lineRule="auto"/>
        <w:jc w:val="both"/>
        <w:rPr>
          <w:lang w:val="en-US"/>
        </w:rPr>
      </w:pPr>
      <w:r w:rsidRPr="00E15ECC">
        <w:rPr>
          <w:lang w:val="en-US"/>
        </w:rPr>
        <w:t xml:space="preserve">The approach used for a two-dimensional analytical model </w:t>
      </w:r>
      <w:proofErr w:type="gramStart"/>
      <w:r w:rsidRPr="00E15ECC">
        <w:rPr>
          <w:lang w:val="en-US"/>
        </w:rPr>
        <w:t>is based</w:t>
      </w:r>
      <w:proofErr w:type="gramEnd"/>
      <w:r w:rsidRPr="00E15ECC">
        <w:rPr>
          <w:lang w:val="en-US"/>
        </w:rPr>
        <w:t xml:space="preserve"> on </w:t>
      </w:r>
      <w:proofErr w:type="spellStart"/>
      <w:r w:rsidR="00AE1836" w:rsidRPr="00E15ECC">
        <w:rPr>
          <w:lang w:val="en-US"/>
        </w:rPr>
        <w:t>Gringarten</w:t>
      </w:r>
      <w:proofErr w:type="spellEnd"/>
      <w:r w:rsidR="00AE1836" w:rsidRPr="00E15ECC">
        <w:rPr>
          <w:lang w:val="en-US"/>
        </w:rPr>
        <w:t xml:space="preserve"> &amp; </w:t>
      </w:r>
      <w:proofErr w:type="spellStart"/>
      <w:r w:rsidR="00AE1836" w:rsidRPr="00E15ECC">
        <w:rPr>
          <w:lang w:val="en-US"/>
        </w:rPr>
        <w:t>Sauty</w:t>
      </w:r>
      <w:proofErr w:type="spellEnd"/>
      <w:r w:rsidR="00AE1836" w:rsidRPr="00E15ECC">
        <w:rPr>
          <w:lang w:val="en-US"/>
        </w:rPr>
        <w:t xml:space="preserve"> 1975</w:t>
      </w:r>
      <w:r w:rsidRPr="00E15ECC">
        <w:rPr>
          <w:lang w:val="en-US"/>
        </w:rPr>
        <w:t xml:space="preserve">, which in turn has been improved by </w:t>
      </w:r>
      <w:r w:rsidR="00AE1836" w:rsidRPr="00E15ECC">
        <w:rPr>
          <w:lang w:val="en-US"/>
        </w:rPr>
        <w:t>Schulz 1987</w:t>
      </w:r>
      <w:r w:rsidRPr="00E15ECC">
        <w:rPr>
          <w:lang w:val="en-US"/>
        </w:rPr>
        <w:t xml:space="preserve">. Provided there prevail straightforward hydraulic flow conditions, the thermal behavior of a geothermal doublet situated in a confined aquifer </w:t>
      </w:r>
      <w:proofErr w:type="gramStart"/>
      <w:r w:rsidRPr="00E15ECC">
        <w:rPr>
          <w:lang w:val="en-US"/>
        </w:rPr>
        <w:t>can be described</w:t>
      </w:r>
      <w:proofErr w:type="gramEnd"/>
      <w:r w:rsidRPr="00E15ECC">
        <w:rPr>
          <w:lang w:val="en-US"/>
        </w:rPr>
        <w:t xml:space="preserve"> fully by an analytical solution. This analytical solution </w:t>
      </w:r>
      <w:proofErr w:type="gramStart"/>
      <w:r w:rsidRPr="00E15ECC">
        <w:rPr>
          <w:lang w:val="en-US"/>
        </w:rPr>
        <w:t>can then be extended</w:t>
      </w:r>
      <w:proofErr w:type="gramEnd"/>
      <w:r w:rsidRPr="00E15ECC">
        <w:rPr>
          <w:lang w:val="en-US"/>
        </w:rPr>
        <w:t xml:space="preserve"> to the case of geothermal doublet arrays or multi-well configurations. </w:t>
      </w:r>
      <w:proofErr w:type="spellStart"/>
      <w:r w:rsidR="00AE1836">
        <w:rPr>
          <w:lang w:val="en-US"/>
        </w:rPr>
        <w:t>Jobmann</w:t>
      </w:r>
      <w:proofErr w:type="spellEnd"/>
      <w:r w:rsidR="00AE1836">
        <w:rPr>
          <w:lang w:val="en-US"/>
        </w:rPr>
        <w:t xml:space="preserve"> &amp; Schulz 1989 </w:t>
      </w:r>
      <w:r>
        <w:rPr>
          <w:lang w:val="en-US"/>
        </w:rPr>
        <w:t xml:space="preserve">introduced this approach based on a layer cake model, which consider a confined aquifer overlain and underlain by non-permeable </w:t>
      </w:r>
      <w:proofErr w:type="spellStart"/>
      <w:r>
        <w:rPr>
          <w:lang w:val="en-US"/>
        </w:rPr>
        <w:t>aquitards</w:t>
      </w:r>
      <w:proofErr w:type="spellEnd"/>
      <w:r>
        <w:rPr>
          <w:lang w:val="en-US"/>
        </w:rPr>
        <w:t xml:space="preserve">. </w:t>
      </w:r>
      <w:r w:rsidRPr="00E15ECC">
        <w:rPr>
          <w:lang w:val="en-US"/>
        </w:rPr>
        <w:t xml:space="preserve">One of the major advantages of this approach lies in its ability to show without further numerical computations the key controls on the thermal breakthrough and the thermal lifetime of a geothermal doublet and geothermal doublet arrays in general. </w:t>
      </w:r>
    </w:p>
    <w:p w:rsidR="0020211D" w:rsidRPr="00E15ECC" w:rsidRDefault="0020211D" w:rsidP="00DA0A30">
      <w:pPr>
        <w:spacing w:after="160" w:line="480" w:lineRule="auto"/>
        <w:jc w:val="both"/>
        <w:rPr>
          <w:lang w:val="en-US"/>
        </w:rPr>
      </w:pPr>
      <w:r w:rsidRPr="00E15ECC">
        <w:rPr>
          <w:lang w:val="en-US"/>
        </w:rPr>
        <w:t xml:space="preserve">In this context, a major focus of investigation </w:t>
      </w:r>
      <w:proofErr w:type="gramStart"/>
      <w:r w:rsidRPr="00E15ECC">
        <w:rPr>
          <w:lang w:val="en-US"/>
        </w:rPr>
        <w:t>was laid</w:t>
      </w:r>
      <w:proofErr w:type="gramEnd"/>
      <w:r w:rsidRPr="00E15ECC">
        <w:rPr>
          <w:lang w:val="en-US"/>
        </w:rPr>
        <w:t xml:space="preserve"> on the cooling zone formed around the injection well that expands over time and reaches the production well after a time called the thermal breakthrough (</w:t>
      </w:r>
      <w:proofErr w:type="spellStart"/>
      <w:r w:rsidRPr="00E15ECC">
        <w:rPr>
          <w:lang w:val="en-US"/>
        </w:rPr>
        <w:t>t</w:t>
      </w:r>
      <w:r w:rsidRPr="00E15ECC">
        <w:rPr>
          <w:vertAlign w:val="subscript"/>
          <w:lang w:val="en-US"/>
        </w:rPr>
        <w:t>TB</w:t>
      </w:r>
      <w:proofErr w:type="spellEnd"/>
      <w:r w:rsidRPr="00E15ECC">
        <w:rPr>
          <w:lang w:val="en-US"/>
        </w:rPr>
        <w:t xml:space="preserve">) time. Analytically, the thermal breakthrough occurrence time is </w:t>
      </w:r>
      <w:r w:rsidRPr="00E15ECC">
        <w:rPr>
          <w:lang w:val="en-US"/>
        </w:rPr>
        <w:lastRenderedPageBreak/>
        <w:t xml:space="preserve">defined </w:t>
      </w:r>
      <w:proofErr w:type="gramStart"/>
      <w:r w:rsidRPr="00E15ECC">
        <w:rPr>
          <w:lang w:val="en-US"/>
        </w:rPr>
        <w:t xml:space="preserve">as </w:t>
      </w:r>
      <w:proofErr w:type="gramEnd"/>
      <m:oMath>
        <m:sSub>
          <m:sSubPr>
            <m:ctrlPr>
              <w:rPr>
                <w:rFonts w:ascii="Cambria Math" w:hAnsi="Cambria Math"/>
              </w:rPr>
            </m:ctrlPr>
          </m:sSubPr>
          <m:e>
            <m:r>
              <w:rPr>
                <w:rFonts w:ascii="Cambria Math" w:hAnsi="Cambria Math"/>
              </w:rPr>
              <m:t>t</m:t>
            </m:r>
          </m:e>
          <m:sub>
            <m:r>
              <w:rPr>
                <w:rFonts w:ascii="Cambria Math" w:hAnsi="Cambria Math"/>
              </w:rPr>
              <m:t>TB</m:t>
            </m:r>
          </m:sub>
        </m:sSub>
        <m:r>
          <w:rPr>
            <w:rFonts w:ascii="Cambria Math" w:hAnsi="Cambria Math"/>
            <w:lang w:val="en-US"/>
          </w:rPr>
          <m:t xml:space="preserve">= </m:t>
        </m:r>
        <m:sSub>
          <m:sSubPr>
            <m:ctrlPr>
              <w:rPr>
                <w:rFonts w:ascii="Cambria Math" w:hAnsi="Cambria Math"/>
              </w:rPr>
            </m:ctrlPr>
          </m:sSubPr>
          <m:e>
            <m:r>
              <w:rPr>
                <w:rFonts w:ascii="Cambria Math" w:hAnsi="Cambria Math"/>
              </w:rPr>
              <m:t>T</m:t>
            </m:r>
          </m:e>
          <m:sub>
            <m:r>
              <w:rPr>
                <w:rFonts w:ascii="Cambria Math" w:hAnsi="Cambria Math"/>
                <w:lang w:val="en-US"/>
              </w:rPr>
              <m:t>0</m:t>
            </m:r>
          </m:sub>
        </m:sSub>
        <m:r>
          <w:rPr>
            <w:rFonts w:ascii="Cambria Math" w:hAnsi="Cambria Math"/>
            <w:lang w:val="en-US"/>
          </w:rPr>
          <m:t>-1°</m:t>
        </m:r>
        <m:r>
          <w:rPr>
            <w:rFonts w:ascii="Cambria Math" w:hAnsi="Cambria Math"/>
          </w:rPr>
          <m:t>C</m:t>
        </m:r>
      </m:oMath>
      <w:r w:rsidRPr="00E15ECC">
        <w:rPr>
          <w:lang w:val="en-US"/>
        </w:rPr>
        <w:t xml:space="preserve">, where a temperature deviation </w:t>
      </w:r>
      <m:oMath>
        <m:r>
          <w:rPr>
            <w:rFonts w:ascii="Cambria Math" w:hAnsi="Cambria Math"/>
          </w:rPr>
          <m:t>ΔT</m:t>
        </m:r>
        <m:r>
          <w:rPr>
            <w:rFonts w:ascii="Cambria Math" w:hAnsi="Cambria Math"/>
            <w:lang w:val="en-US"/>
          </w:rPr>
          <m:t xml:space="preserve"> </m:t>
        </m:r>
      </m:oMath>
      <w:r w:rsidRPr="00E15ECC">
        <w:rPr>
          <w:lang w:val="en-US"/>
        </w:rPr>
        <w:t xml:space="preserve">of 1 °C from the initial reservoir temperature </w:t>
      </w:r>
      <m:oMath>
        <m:r>
          <w:rPr>
            <w:rFonts w:ascii="Cambria Math" w:hAnsi="Cambria Math"/>
            <w:lang w:val="en-US"/>
          </w:rPr>
          <m:t xml:space="preserve"> </m:t>
        </m:r>
        <m:sSub>
          <m:sSubPr>
            <m:ctrlPr>
              <w:rPr>
                <w:rFonts w:ascii="Cambria Math" w:hAnsi="Cambria Math"/>
              </w:rPr>
            </m:ctrlPr>
          </m:sSubPr>
          <m:e>
            <m:r>
              <w:rPr>
                <w:rFonts w:ascii="Cambria Math" w:hAnsi="Cambria Math"/>
              </w:rPr>
              <m:t>T</m:t>
            </m:r>
          </m:e>
          <m:sub>
            <m:r>
              <w:rPr>
                <w:rFonts w:ascii="Cambria Math" w:hAnsi="Cambria Math"/>
                <w:lang w:val="en-US"/>
              </w:rPr>
              <m:t>0</m:t>
            </m:r>
          </m:sub>
        </m:sSub>
      </m:oMath>
      <w:r w:rsidRPr="00E15ECC">
        <w:rPr>
          <w:lang w:val="en-US"/>
        </w:rPr>
        <w:t xml:space="preserve"> at the production well is registered</w:t>
      </w:r>
      <w:r w:rsidR="00AE1836">
        <w:rPr>
          <w:lang w:val="en-US"/>
        </w:rPr>
        <w:t xml:space="preserve"> </w:t>
      </w:r>
      <w:proofErr w:type="spellStart"/>
      <w:r w:rsidR="00AE1836">
        <w:rPr>
          <w:lang w:val="en-US"/>
        </w:rPr>
        <w:t>Jobmann</w:t>
      </w:r>
      <w:proofErr w:type="spellEnd"/>
      <w:r w:rsidR="00AE1836">
        <w:rPr>
          <w:lang w:val="en-US"/>
        </w:rPr>
        <w:t xml:space="preserve"> &amp; Schulz 1989</w:t>
      </w:r>
      <w:r w:rsidRPr="00E15ECC">
        <w:rPr>
          <w:lang w:val="en-US"/>
        </w:rPr>
        <w:t>. However, as pointed out</w:t>
      </w:r>
      <w:r w:rsidR="00AE1836">
        <w:rPr>
          <w:lang w:val="en-US"/>
        </w:rPr>
        <w:t xml:space="preserve"> by</w:t>
      </w:r>
      <w:r w:rsidRPr="00E15ECC">
        <w:rPr>
          <w:lang w:val="en-US"/>
        </w:rPr>
        <w:t xml:space="preserve"> </w:t>
      </w:r>
      <w:proofErr w:type="spellStart"/>
      <w:r w:rsidR="00AE1836" w:rsidRPr="00E15ECC">
        <w:rPr>
          <w:lang w:val="en-US"/>
        </w:rPr>
        <w:t>Jobmann</w:t>
      </w:r>
      <w:proofErr w:type="spellEnd"/>
      <w:r w:rsidR="00AE1836" w:rsidRPr="00E15ECC">
        <w:rPr>
          <w:lang w:val="en-US"/>
        </w:rPr>
        <w:t xml:space="preserve"> &amp; Sc</w:t>
      </w:r>
      <w:r w:rsidR="00AE1836">
        <w:rPr>
          <w:lang w:val="en-US"/>
        </w:rPr>
        <w:t>hulz 1989, Willems et al. 2017a and Willems et al. 2017</w:t>
      </w:r>
      <w:r w:rsidR="00AE1836" w:rsidRPr="00E15ECC">
        <w:rPr>
          <w:lang w:val="en-US"/>
        </w:rPr>
        <w:t xml:space="preserve">b </w:t>
      </w:r>
      <w:r w:rsidRPr="00E15ECC">
        <w:rPr>
          <w:lang w:val="en-US"/>
        </w:rPr>
        <w:t xml:space="preserve">the temperature drop occurring at the production well takes place in general fairly slowly, so that the actual thermal life time for a doublet is much greater than the thermal breakthrough time. To this end, the thermal lifetime </w:t>
      </w:r>
      <w:proofErr w:type="spellStart"/>
      <w:proofErr w:type="gramStart"/>
      <w:r w:rsidRPr="00E15ECC">
        <w:rPr>
          <w:lang w:val="en-US"/>
        </w:rPr>
        <w:t>t</w:t>
      </w:r>
      <w:r w:rsidRPr="00E15ECC">
        <w:rPr>
          <w:vertAlign w:val="subscript"/>
          <w:lang w:val="en-US"/>
        </w:rPr>
        <w:t>N</w:t>
      </w:r>
      <w:proofErr w:type="spellEnd"/>
      <w:proofErr w:type="gramEnd"/>
      <w:r w:rsidRPr="00E15ECC">
        <w:rPr>
          <w:lang w:val="en-US"/>
        </w:rPr>
        <w:t xml:space="preserve"> of a geothermal doublet was defined as the time at which the aquifer fluid temperature at the production well drops below a certain value, at which the geothermal doublet is no longer economically operational. </w:t>
      </w:r>
    </w:p>
    <w:p w:rsidR="0020211D" w:rsidRPr="00E15ECC" w:rsidRDefault="0020211D" w:rsidP="00DA0A30">
      <w:pPr>
        <w:spacing w:after="160" w:line="480" w:lineRule="auto"/>
        <w:jc w:val="both"/>
        <w:rPr>
          <w:lang w:val="en-US"/>
        </w:rPr>
      </w:pPr>
      <w:r w:rsidRPr="00E15ECC">
        <w:rPr>
          <w:lang w:val="en-US"/>
        </w:rPr>
        <w:t xml:space="preserve">Following main assumptions made in this approach, the physical equations governing the fluid and heat transport processes in porous geothermal reservoirs result from the conservation laws of momentum, mass and energy. For momentum conservation, the validity of Darcy law as a simplified form of the </w:t>
      </w:r>
      <w:proofErr w:type="spellStart"/>
      <w:r w:rsidRPr="00E15ECC">
        <w:rPr>
          <w:lang w:val="en-US"/>
        </w:rPr>
        <w:t>Navier</w:t>
      </w:r>
      <w:proofErr w:type="spellEnd"/>
      <w:r w:rsidRPr="00E15ECC">
        <w:rPr>
          <w:lang w:val="en-US"/>
        </w:rPr>
        <w:t xml:space="preserve">-Stokes equation in porous geologic media </w:t>
      </w:r>
      <w:proofErr w:type="gramStart"/>
      <w:r w:rsidRPr="00E15ECC">
        <w:rPr>
          <w:lang w:val="en-US"/>
        </w:rPr>
        <w:t>is assumed</w:t>
      </w:r>
      <w:proofErr w:type="gramEnd"/>
      <w:r w:rsidRPr="00E15ECC">
        <w:rPr>
          <w:lang w:val="en-US"/>
        </w:rPr>
        <w:t xml:space="preserve">. </w:t>
      </w:r>
      <w:proofErr w:type="gramStart"/>
      <w:r w:rsidRPr="00E15ECC">
        <w:rPr>
          <w:lang w:val="en-US"/>
        </w:rPr>
        <w:t>All physical parameters are constant and isotropic</w:t>
      </w:r>
      <w:proofErr w:type="gramEnd"/>
      <w:r w:rsidRPr="00E15ECC">
        <w:rPr>
          <w:lang w:val="en-US"/>
        </w:rPr>
        <w:t xml:space="preserve">, </w:t>
      </w:r>
      <w:proofErr w:type="gramStart"/>
      <w:r w:rsidRPr="00E15ECC">
        <w:rPr>
          <w:lang w:val="en-US"/>
        </w:rPr>
        <w:t>the aquifer itself is infinite</w:t>
      </w:r>
      <w:proofErr w:type="gramEnd"/>
      <w:r w:rsidRPr="00E15ECC">
        <w:rPr>
          <w:lang w:val="en-US"/>
        </w:rPr>
        <w:t xml:space="preserve">. The solution of the heat transport equation in such aquifer affected by an injection and production wells </w:t>
      </w:r>
      <w:proofErr w:type="gramStart"/>
      <w:r w:rsidRPr="00E15ECC">
        <w:rPr>
          <w:lang w:val="en-US"/>
        </w:rPr>
        <w:t>is facilitated</w:t>
      </w:r>
      <w:proofErr w:type="gramEnd"/>
      <w:r w:rsidRPr="00E15ECC">
        <w:rPr>
          <w:lang w:val="en-US"/>
        </w:rPr>
        <w:t xml:space="preserve"> by the widely known solution obtained by earlier works (e.g. </w:t>
      </w:r>
      <w:proofErr w:type="spellStart"/>
      <w:r w:rsidR="00C57953">
        <w:rPr>
          <w:lang w:val="en-US"/>
        </w:rPr>
        <w:t>Dacosta</w:t>
      </w:r>
      <w:proofErr w:type="spellEnd"/>
      <w:r w:rsidR="00C57953">
        <w:rPr>
          <w:lang w:val="en-US"/>
        </w:rPr>
        <w:t xml:space="preserve"> &amp; Bennett 1960;</w:t>
      </w:r>
      <w:r w:rsidR="00AE1836" w:rsidRPr="00E15ECC">
        <w:rPr>
          <w:lang w:val="en-US"/>
        </w:rPr>
        <w:t xml:space="preserve"> Bear 1972</w:t>
      </w:r>
      <w:r w:rsidRPr="00E15ECC">
        <w:rPr>
          <w:lang w:val="en-US"/>
        </w:rPr>
        <w:t xml:space="preserve">) for the hydraulic part using the velocity potential, the stream function and the velocity equations. One of the main outcomes is the temperature distribution in terms of, among other physical parameters, a multi-parameter time variable and the thermal breakthrough time. For the purpose of this work, we focus on the time at which the thermal breakthrough </w:t>
      </w:r>
      <w:proofErr w:type="gramStart"/>
      <w:r w:rsidRPr="00E15ECC">
        <w:rPr>
          <w:lang w:val="en-US"/>
        </w:rPr>
        <w:t>is established</w:t>
      </w:r>
      <w:proofErr w:type="gramEnd"/>
      <w:r w:rsidRPr="00E15ECC">
        <w:rPr>
          <w:lang w:val="en-US"/>
        </w:rPr>
        <w:t xml:space="preserve">, given by </w:t>
      </w:r>
    </w:p>
    <w:p w:rsidR="0020211D" w:rsidRPr="000208DC" w:rsidRDefault="00653FDF" w:rsidP="00DA0A30">
      <w:pPr>
        <w:spacing w:after="160" w:line="480" w:lineRule="auto"/>
        <w:ind w:left="2832" w:firstLine="708"/>
        <w:jc w:val="both"/>
        <w:rPr>
          <w:lang w:val="en-US"/>
        </w:rPr>
      </w:pPr>
      <m:oMath>
        <m:sSub>
          <m:sSubPr>
            <m:ctrlPr>
              <w:rPr>
                <w:rFonts w:ascii="Cambria Math" w:hAnsi="Cambria Math"/>
              </w:rPr>
            </m:ctrlPr>
          </m:sSubPr>
          <m:e>
            <m:r>
              <w:rPr>
                <w:rFonts w:ascii="Cambria Math" w:hAnsi="Cambria Math"/>
              </w:rPr>
              <m:t>t</m:t>
            </m:r>
          </m:e>
          <m:sub>
            <m:r>
              <w:rPr>
                <w:rFonts w:ascii="Cambria Math" w:hAnsi="Cambria Math"/>
              </w:rPr>
              <m:t>TB</m:t>
            </m:r>
          </m:sub>
        </m:sSub>
        <m:r>
          <w:rPr>
            <w:rFonts w:ascii="Cambria Math" w:hAnsi="Cambria Math"/>
            <w:lang w:val="en-US"/>
          </w:rPr>
          <m:t>=</m:t>
        </m:r>
        <m:f>
          <m:fPr>
            <m:ctrlPr>
              <w:rPr>
                <w:rFonts w:ascii="Cambria Math" w:hAnsi="Cambria Math"/>
              </w:rPr>
            </m:ctrlPr>
          </m:fPr>
          <m:num>
            <m:sSub>
              <m:sSubPr>
                <m:ctrlPr>
                  <w:rPr>
                    <w:rFonts w:ascii="Cambria Math" w:hAnsi="Cambria Math"/>
                  </w:rPr>
                </m:ctrlPr>
              </m:sSubPr>
              <m:e>
                <m:r>
                  <w:rPr>
                    <w:rFonts w:ascii="Cambria Math" w:hAnsi="Cambria Math"/>
                  </w:rPr>
                  <m:t>ρ</m:t>
                </m:r>
              </m:e>
              <m:sub>
                <m:r>
                  <w:rPr>
                    <w:rFonts w:ascii="Cambria Math" w:hAnsi="Cambria Math"/>
                  </w:rPr>
                  <m:t>A</m:t>
                </m:r>
              </m:sub>
            </m:sSub>
            <m:sSub>
              <m:sSubPr>
                <m:ctrlPr>
                  <w:rPr>
                    <w:rFonts w:ascii="Cambria Math" w:hAnsi="Cambria Math"/>
                  </w:rPr>
                </m:ctrlPr>
              </m:sSubPr>
              <m:e>
                <m:r>
                  <w:rPr>
                    <w:rFonts w:ascii="Cambria Math" w:hAnsi="Cambria Math"/>
                  </w:rPr>
                  <m:t>c</m:t>
                </m:r>
              </m:e>
              <m:sub>
                <m:r>
                  <w:rPr>
                    <w:rFonts w:ascii="Cambria Math" w:hAnsi="Cambria Math"/>
                  </w:rPr>
                  <m:t>A</m:t>
                </m:r>
              </m:sub>
            </m:sSub>
          </m:num>
          <m:den>
            <m:sSub>
              <m:sSubPr>
                <m:ctrlPr>
                  <w:rPr>
                    <w:rFonts w:ascii="Cambria Math" w:hAnsi="Cambria Math"/>
                  </w:rPr>
                </m:ctrlPr>
              </m:sSubPr>
              <m:e>
                <m:r>
                  <w:rPr>
                    <w:rFonts w:ascii="Cambria Math" w:hAnsi="Cambria Math"/>
                  </w:rPr>
                  <m:t>ρ</m:t>
                </m:r>
              </m:e>
              <m:sub>
                <m:r>
                  <w:rPr>
                    <w:rFonts w:ascii="Cambria Math" w:hAnsi="Cambria Math"/>
                  </w:rPr>
                  <m:t>F</m:t>
                </m:r>
              </m:sub>
            </m:sSub>
            <m:sSub>
              <m:sSubPr>
                <m:ctrlPr>
                  <w:rPr>
                    <w:rFonts w:ascii="Cambria Math" w:hAnsi="Cambria Math"/>
                  </w:rPr>
                </m:ctrlPr>
              </m:sSubPr>
              <m:e>
                <m:r>
                  <w:rPr>
                    <w:rFonts w:ascii="Cambria Math" w:hAnsi="Cambria Math"/>
                  </w:rPr>
                  <m:t>c</m:t>
                </m:r>
              </m:e>
              <m:sub>
                <m:r>
                  <w:rPr>
                    <w:rFonts w:ascii="Cambria Math" w:hAnsi="Cambria Math"/>
                  </w:rPr>
                  <m:t>F</m:t>
                </m:r>
              </m:sub>
            </m:sSub>
          </m:den>
        </m:f>
        <m:r>
          <w:rPr>
            <w:rFonts w:ascii="Cambria Math" w:hAnsi="Cambria Math"/>
            <w:lang w:val="en-US"/>
          </w:rPr>
          <m:t>∙</m:t>
        </m:r>
        <m:f>
          <m:fPr>
            <m:ctrlPr>
              <w:rPr>
                <w:rFonts w:ascii="Cambria Math" w:hAnsi="Cambria Math"/>
              </w:rPr>
            </m:ctrlPr>
          </m:fPr>
          <m:num>
            <m:r>
              <w:rPr>
                <w:rFonts w:ascii="Cambria Math" w:hAnsi="Cambria Math"/>
              </w:rPr>
              <m:t>M</m:t>
            </m:r>
          </m:num>
          <m:den>
            <m:r>
              <w:rPr>
                <w:rFonts w:ascii="Cambria Math" w:hAnsi="Cambria Math"/>
              </w:rPr>
              <m:t>Q</m:t>
            </m:r>
          </m:den>
        </m:f>
        <m:r>
          <w:rPr>
            <w:rFonts w:ascii="Cambria Math" w:hAnsi="Cambria Math"/>
            <w:lang w:val="en-US"/>
          </w:rPr>
          <m:t>∙</m:t>
        </m:r>
        <m:r>
          <w:rPr>
            <w:rFonts w:ascii="Cambria Math" w:hAnsi="Cambria Math"/>
          </w:rPr>
          <m:t>A</m:t>
        </m:r>
        <m:d>
          <m:dPr>
            <m:ctrlPr>
              <w:rPr>
                <w:rFonts w:ascii="Cambria Math" w:hAnsi="Cambria Math"/>
              </w:rPr>
            </m:ctrlPr>
          </m:dPr>
          <m:e>
            <m:sSub>
              <m:sSubPr>
                <m:ctrlPr>
                  <w:rPr>
                    <w:rFonts w:ascii="Cambria Math" w:hAnsi="Cambria Math"/>
                  </w:rPr>
                </m:ctrlPr>
              </m:sSubPr>
              <m:e>
                <m:r>
                  <w:rPr>
                    <w:rFonts w:ascii="Cambria Math" w:hAnsi="Cambria Math"/>
                  </w:rPr>
                  <m:t>ϕ</m:t>
                </m:r>
              </m:e>
              <m:sub>
                <m:r>
                  <w:rPr>
                    <w:rFonts w:ascii="Cambria Math" w:hAnsi="Cambria Math"/>
                    <w:lang w:val="en-US"/>
                  </w:rPr>
                  <m:t>0</m:t>
                </m:r>
              </m:sub>
            </m:sSub>
          </m:e>
        </m:d>
      </m:oMath>
      <w:r w:rsidR="00AE1836" w:rsidRPr="00DA0A30">
        <w:rPr>
          <w:lang w:val="en-US"/>
        </w:rPr>
        <w:t xml:space="preserve"> ,</w:t>
      </w:r>
      <w:r w:rsidR="000208DC" w:rsidRPr="000208DC">
        <w:rPr>
          <w:lang w:val="en-US"/>
        </w:rPr>
        <w:tab/>
      </w:r>
      <w:r w:rsidR="000208DC">
        <w:rPr>
          <w:lang w:val="en-US"/>
        </w:rPr>
        <w:tab/>
      </w:r>
      <w:r w:rsidR="000208DC">
        <w:rPr>
          <w:lang w:val="en-US"/>
        </w:rPr>
        <w:tab/>
      </w:r>
      <w:r w:rsidR="00AE1836">
        <w:rPr>
          <w:lang w:val="en-US"/>
        </w:rPr>
        <w:t>(10)</w:t>
      </w:r>
    </w:p>
    <w:p w:rsidR="0020211D" w:rsidRPr="00E15ECC" w:rsidRDefault="0020211D" w:rsidP="00DA0A30">
      <w:pPr>
        <w:spacing w:after="160" w:line="480" w:lineRule="auto"/>
        <w:jc w:val="both"/>
        <w:rPr>
          <w:lang w:val="en-US"/>
        </w:rPr>
      </w:pPr>
      <w:r w:rsidRPr="00E15ECC">
        <w:rPr>
          <w:lang w:val="en-US"/>
        </w:rPr>
        <w:t xml:space="preserve">where </w:t>
      </w:r>
      <m:oMath>
        <m:sSub>
          <m:sSubPr>
            <m:ctrlPr>
              <w:rPr>
                <w:rFonts w:ascii="Cambria Math" w:hAnsi="Cambria Math"/>
              </w:rPr>
            </m:ctrlPr>
          </m:sSubPr>
          <m:e>
            <m:r>
              <w:rPr>
                <w:rFonts w:ascii="Cambria Math" w:hAnsi="Cambria Math"/>
              </w:rPr>
              <m:t>ρ</m:t>
            </m:r>
          </m:e>
          <m:sub>
            <m:r>
              <w:rPr>
                <w:rFonts w:ascii="Cambria Math" w:hAnsi="Cambria Math"/>
              </w:rPr>
              <m:t>A</m:t>
            </m:r>
          </m:sub>
        </m:sSub>
      </m:oMath>
      <w:r w:rsidRPr="00E15ECC">
        <w:rPr>
          <w:lang w:val="en-US"/>
        </w:rPr>
        <w:t xml:space="preserve">, </w:t>
      </w:r>
      <m:oMath>
        <m:sSub>
          <m:sSubPr>
            <m:ctrlPr>
              <w:rPr>
                <w:rFonts w:ascii="Cambria Math" w:hAnsi="Cambria Math"/>
              </w:rPr>
            </m:ctrlPr>
          </m:sSubPr>
          <m:e>
            <m:r>
              <w:rPr>
                <w:rFonts w:ascii="Cambria Math" w:hAnsi="Cambria Math"/>
              </w:rPr>
              <m:t>c</m:t>
            </m:r>
          </m:e>
          <m:sub>
            <m:r>
              <w:rPr>
                <w:rFonts w:ascii="Cambria Math" w:hAnsi="Cambria Math"/>
              </w:rPr>
              <m:t>A</m:t>
            </m:r>
          </m:sub>
        </m:sSub>
      </m:oMath>
      <w:r w:rsidRPr="00E15ECC">
        <w:rPr>
          <w:lang w:val="en-US"/>
        </w:rPr>
        <w:t xml:space="preserve">, </w:t>
      </w:r>
      <m:oMath>
        <m:sSub>
          <m:sSubPr>
            <m:ctrlPr>
              <w:rPr>
                <w:rFonts w:ascii="Cambria Math" w:hAnsi="Cambria Math"/>
              </w:rPr>
            </m:ctrlPr>
          </m:sSubPr>
          <m:e>
            <m:r>
              <w:rPr>
                <w:rFonts w:ascii="Cambria Math" w:hAnsi="Cambria Math"/>
              </w:rPr>
              <m:t>ρ</m:t>
            </m:r>
          </m:e>
          <m:sub>
            <m:r>
              <w:rPr>
                <w:rFonts w:ascii="Cambria Math" w:hAnsi="Cambria Math"/>
              </w:rPr>
              <m:t>F</m:t>
            </m:r>
          </m:sub>
        </m:sSub>
      </m:oMath>
      <w:r w:rsidRPr="00E15ECC">
        <w:rPr>
          <w:lang w:val="en-US"/>
        </w:rPr>
        <w:t xml:space="preserve">, </w:t>
      </w:r>
      <m:oMath>
        <m:sSub>
          <m:sSubPr>
            <m:ctrlPr>
              <w:rPr>
                <w:rFonts w:ascii="Cambria Math" w:hAnsi="Cambria Math"/>
              </w:rPr>
            </m:ctrlPr>
          </m:sSubPr>
          <m:e>
            <m:r>
              <w:rPr>
                <w:rFonts w:ascii="Cambria Math" w:hAnsi="Cambria Math"/>
              </w:rPr>
              <m:t>c</m:t>
            </m:r>
          </m:e>
          <m:sub>
            <m:r>
              <w:rPr>
                <w:rFonts w:ascii="Cambria Math" w:hAnsi="Cambria Math"/>
              </w:rPr>
              <m:t>F</m:t>
            </m:r>
          </m:sub>
        </m:sSub>
      </m:oMath>
      <w:r w:rsidRPr="00E15ECC">
        <w:rPr>
          <w:lang w:val="en-US"/>
        </w:rPr>
        <w:t xml:space="preserve"> are the density and specific thermal capacity under constant pressure for the aquifer and fluid respectively, </w:t>
      </w:r>
      <m:oMath>
        <m:r>
          <w:rPr>
            <w:rFonts w:ascii="Cambria Math" w:hAnsi="Cambria Math"/>
          </w:rPr>
          <m:t>M</m:t>
        </m:r>
      </m:oMath>
      <w:r w:rsidRPr="00E15ECC">
        <w:rPr>
          <w:lang w:val="en-US"/>
        </w:rPr>
        <w:t xml:space="preserve"> denotes the aquifer thickness, </w:t>
      </w:r>
      <m:oMath>
        <m:r>
          <w:rPr>
            <w:rFonts w:ascii="Cambria Math" w:hAnsi="Cambria Math"/>
          </w:rPr>
          <m:t>Q</m:t>
        </m:r>
        <m:r>
          <w:rPr>
            <w:rFonts w:ascii="Cambria Math" w:hAnsi="Cambria Math"/>
            <w:lang w:val="en-US"/>
          </w:rPr>
          <m:t xml:space="preserve"> </m:t>
        </m:r>
      </m:oMath>
      <w:r w:rsidRPr="00E15ECC">
        <w:rPr>
          <w:lang w:val="en-US"/>
        </w:rPr>
        <w:t xml:space="preserve">represents the flow rate and </w:t>
      </w:r>
      <m:oMath>
        <m:r>
          <w:rPr>
            <w:rFonts w:ascii="Cambria Math" w:hAnsi="Cambria Math"/>
          </w:rPr>
          <m:t>A</m:t>
        </m:r>
        <m:d>
          <m:dPr>
            <m:ctrlPr>
              <w:rPr>
                <w:rFonts w:ascii="Cambria Math" w:hAnsi="Cambria Math"/>
              </w:rPr>
            </m:ctrlPr>
          </m:dPr>
          <m:e>
            <m:sSub>
              <m:sSubPr>
                <m:ctrlPr>
                  <w:rPr>
                    <w:rFonts w:ascii="Cambria Math" w:hAnsi="Cambria Math"/>
                  </w:rPr>
                </m:ctrlPr>
              </m:sSubPr>
              <m:e>
                <m:r>
                  <w:rPr>
                    <w:rFonts w:ascii="Cambria Math" w:hAnsi="Cambria Math"/>
                  </w:rPr>
                  <m:t>ϕ</m:t>
                </m:r>
              </m:e>
              <m:sub>
                <m:r>
                  <w:rPr>
                    <w:rFonts w:ascii="Cambria Math" w:hAnsi="Cambria Math"/>
                    <w:lang w:val="en-US"/>
                  </w:rPr>
                  <m:t>0</m:t>
                </m:r>
              </m:sub>
            </m:sSub>
          </m:e>
        </m:d>
      </m:oMath>
      <w:r w:rsidRPr="00E15ECC">
        <w:rPr>
          <w:lang w:val="en-US"/>
        </w:rPr>
        <w:t xml:space="preserve"> is expressed as follows</w:t>
      </w:r>
    </w:p>
    <w:p w:rsidR="000208DC" w:rsidRPr="000208DC" w:rsidRDefault="0020211D" w:rsidP="00DA0A30">
      <w:pPr>
        <w:spacing w:after="160" w:line="480" w:lineRule="auto"/>
        <w:ind w:left="2832" w:firstLine="708"/>
        <w:jc w:val="both"/>
        <w:rPr>
          <w:lang w:val="en-US"/>
        </w:rPr>
      </w:pPr>
      <m:oMath>
        <m:r>
          <w:rPr>
            <w:rFonts w:ascii="Cambria Math" w:hAnsi="Cambria Math"/>
          </w:rPr>
          <m:t>A</m:t>
        </m:r>
        <m:d>
          <m:dPr>
            <m:ctrlPr>
              <w:rPr>
                <w:rFonts w:ascii="Cambria Math" w:hAnsi="Cambria Math"/>
              </w:rPr>
            </m:ctrlPr>
          </m:dPr>
          <m:e>
            <m:sSub>
              <m:sSubPr>
                <m:ctrlPr>
                  <w:rPr>
                    <w:rFonts w:ascii="Cambria Math" w:hAnsi="Cambria Math"/>
                  </w:rPr>
                </m:ctrlPr>
              </m:sSubPr>
              <m:e>
                <m:r>
                  <w:rPr>
                    <w:rFonts w:ascii="Cambria Math" w:hAnsi="Cambria Math"/>
                  </w:rPr>
                  <m:t>ϕ</m:t>
                </m:r>
              </m:e>
              <m:sub>
                <m:r>
                  <w:rPr>
                    <w:rFonts w:ascii="Cambria Math" w:hAnsi="Cambria Math"/>
                    <w:lang w:val="en-US"/>
                  </w:rPr>
                  <m:t>0</m:t>
                </m:r>
              </m:sub>
            </m:sSub>
          </m:e>
        </m:d>
        <m:r>
          <w:rPr>
            <w:rFonts w:ascii="Cambria Math" w:hAnsi="Cambria Math"/>
            <w:lang w:val="en-US"/>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f</m:t>
                </m:r>
              </m:sub>
            </m:sSub>
            <m:r>
              <w:rPr>
                <w:rFonts w:ascii="Cambria Math" w:hAnsi="Cambria Math"/>
              </w:rPr>
              <m:t>Q</m:t>
            </m:r>
          </m:num>
          <m:den>
            <m:r>
              <w:rPr>
                <w:rFonts w:ascii="Cambria Math" w:hAnsi="Cambria Math"/>
              </w:rPr>
              <m:t>M</m:t>
            </m:r>
          </m:den>
        </m:f>
        <m:nary>
          <m:naryPr>
            <m:ctrlPr>
              <w:rPr>
                <w:rFonts w:ascii="Cambria Math" w:hAnsi="Cambria Math"/>
              </w:rPr>
            </m:ctrlPr>
          </m:naryPr>
          <m:sub>
            <m:sSub>
              <m:sSubPr>
                <m:ctrlPr>
                  <w:rPr>
                    <w:rFonts w:ascii="Cambria Math" w:hAnsi="Cambria Math"/>
                  </w:rPr>
                </m:ctrlPr>
              </m:sSubPr>
              <m:e>
                <m:r>
                  <w:rPr>
                    <w:rFonts w:ascii="Cambria Math" w:hAnsi="Cambria Math"/>
                  </w:rPr>
                  <m:t>ϕ</m:t>
                </m:r>
              </m:e>
              <m:sub>
                <m:r>
                  <w:rPr>
                    <w:rFonts w:ascii="Cambria Math" w:hAnsi="Cambria Math"/>
                    <w:lang w:val="en-US"/>
                  </w:rPr>
                  <m:t>0</m:t>
                </m:r>
              </m:sub>
            </m:sSub>
          </m:sub>
          <m:sup>
            <m:r>
              <w:rPr>
                <w:rFonts w:ascii="Cambria Math" w:hAnsi="Cambria Math"/>
                <w:lang w:val="en-US"/>
              </w:rPr>
              <m:t>∞</m:t>
            </m:r>
          </m:sup>
          <m:e>
            <m:f>
              <m:fPr>
                <m:ctrlPr>
                  <w:rPr>
                    <w:rFonts w:ascii="Cambria Math" w:hAnsi="Cambria Math"/>
                  </w:rPr>
                </m:ctrlPr>
              </m:fPr>
              <m:num>
                <m:r>
                  <w:rPr>
                    <w:rFonts w:ascii="Cambria Math" w:hAnsi="Cambria Math"/>
                    <w:lang w:val="en-US"/>
                  </w:rPr>
                  <m:t>1</m:t>
                </m:r>
              </m:num>
              <m:den>
                <m:sSup>
                  <m:sSupPr>
                    <m:ctrlPr>
                      <w:rPr>
                        <w:rFonts w:ascii="Cambria Math" w:hAnsi="Cambria Math"/>
                      </w:rPr>
                    </m:ctrlPr>
                  </m:sSupPr>
                  <m:e>
                    <m:r>
                      <w:rPr>
                        <w:rFonts w:ascii="Cambria Math" w:hAnsi="Cambria Math"/>
                      </w:rPr>
                      <m:t>v</m:t>
                    </m:r>
                  </m:e>
                  <m:sup>
                    <m:r>
                      <w:rPr>
                        <w:rFonts w:ascii="Cambria Math" w:hAnsi="Cambria Math"/>
                        <w:lang w:val="en-US"/>
                      </w:rPr>
                      <m:t>2</m:t>
                    </m:r>
                  </m:sup>
                </m:sSup>
              </m:den>
            </m:f>
            <m:r>
              <w:rPr>
                <w:rFonts w:ascii="Cambria Math" w:hAnsi="Cambria Math"/>
                <w:lang w:val="en-US"/>
              </w:rPr>
              <m:t xml:space="preserve"> </m:t>
            </m:r>
            <m:r>
              <w:rPr>
                <w:rFonts w:ascii="Cambria Math" w:hAnsi="Cambria Math"/>
              </w:rPr>
              <m:t>dϕ</m:t>
            </m:r>
          </m:e>
        </m:nary>
      </m:oMath>
      <w:r w:rsidR="000208DC" w:rsidRPr="000208DC">
        <w:rPr>
          <w:lang w:val="en-US"/>
        </w:rPr>
        <w:t xml:space="preserve"> </w:t>
      </w:r>
      <w:r w:rsidR="00AE1836">
        <w:rPr>
          <w:lang w:val="en-US"/>
        </w:rPr>
        <w:t>,</w:t>
      </w:r>
      <w:r w:rsidR="000208DC">
        <w:rPr>
          <w:lang w:val="en-US"/>
        </w:rPr>
        <w:tab/>
      </w:r>
      <w:r w:rsidR="000208DC">
        <w:rPr>
          <w:lang w:val="en-US"/>
        </w:rPr>
        <w:tab/>
      </w:r>
      <w:r w:rsidR="000208DC">
        <w:rPr>
          <w:lang w:val="en-US"/>
        </w:rPr>
        <w:tab/>
      </w:r>
      <w:r w:rsidR="00AE1836">
        <w:rPr>
          <w:lang w:val="en-US"/>
        </w:rPr>
        <w:t>(11)</w:t>
      </w:r>
    </w:p>
    <w:p w:rsidR="0020211D" w:rsidRPr="00E15ECC" w:rsidRDefault="0020211D" w:rsidP="00DA0A30">
      <w:pPr>
        <w:spacing w:after="160" w:line="480" w:lineRule="auto"/>
        <w:jc w:val="both"/>
        <w:rPr>
          <w:lang w:val="en-US"/>
        </w:rPr>
      </w:pPr>
      <w:proofErr w:type="gramStart"/>
      <w:r w:rsidRPr="00E15ECC">
        <w:rPr>
          <w:lang w:val="en-US"/>
        </w:rPr>
        <w:lastRenderedPageBreak/>
        <w:t>where</w:t>
      </w:r>
      <w:proofErr w:type="gramEnd"/>
      <w:r w:rsidRPr="00E15ECC">
        <w:rPr>
          <w:lang w:val="en-US"/>
        </w:rPr>
        <w:t xml:space="preserve"> the integration contour is the streamline </w:t>
      </w:r>
      <m:oMath>
        <m:sSub>
          <m:sSubPr>
            <m:ctrlPr>
              <w:rPr>
                <w:rFonts w:ascii="Cambria Math" w:hAnsi="Cambria Math"/>
              </w:rPr>
            </m:ctrlPr>
          </m:sSubPr>
          <m:e>
            <m:r>
              <w:rPr>
                <w:rFonts w:ascii="Cambria Math" w:hAnsi="Cambria Math"/>
              </w:rPr>
              <m:t>ψ</m:t>
            </m:r>
          </m:e>
          <m:sub>
            <m:r>
              <w:rPr>
                <w:rFonts w:ascii="Cambria Math" w:hAnsi="Cambria Math"/>
                <w:lang w:val="en-US"/>
              </w:rPr>
              <m:t>0</m:t>
            </m:r>
          </m:sub>
        </m:sSub>
        <m:r>
          <w:rPr>
            <w:rFonts w:ascii="Cambria Math" w:hAnsi="Cambria Math"/>
            <w:lang w:val="en-US"/>
          </w:rPr>
          <m:t>=</m:t>
        </m:r>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lang w:val="en-US"/>
                  </w:rPr>
                  <m:t>0</m:t>
                </m:r>
              </m:sub>
            </m:sSub>
            <m:r>
              <w:rPr>
                <w:rFonts w:ascii="Cambria Math" w:hAnsi="Cambria Math"/>
                <w:lang w:val="en-US"/>
              </w:rPr>
              <m:t>,</m:t>
            </m:r>
            <m:sSub>
              <m:sSubPr>
                <m:ctrlPr>
                  <w:rPr>
                    <w:rFonts w:ascii="Cambria Math" w:hAnsi="Cambria Math"/>
                  </w:rPr>
                </m:ctrlPr>
              </m:sSubPr>
              <m:e>
                <m:r>
                  <w:rPr>
                    <w:rFonts w:ascii="Cambria Math" w:hAnsi="Cambria Math"/>
                  </w:rPr>
                  <m:t>y</m:t>
                </m:r>
              </m:e>
              <m:sub>
                <m:r>
                  <w:rPr>
                    <w:rFonts w:ascii="Cambria Math" w:hAnsi="Cambria Math"/>
                    <w:lang w:val="en-US"/>
                  </w:rPr>
                  <m:t>0</m:t>
                </m:r>
              </m:sub>
            </m:sSub>
          </m:e>
        </m:d>
      </m:oMath>
      <w:r w:rsidRPr="00E15ECC">
        <w:rPr>
          <w:lang w:val="en-US"/>
        </w:rPr>
        <w:t xml:space="preserve"> and </w:t>
      </w:r>
      <m:oMath>
        <m:r>
          <w:rPr>
            <w:rFonts w:ascii="Cambria Math" w:hAnsi="Cambria Math"/>
          </w:rPr>
          <m:t>v</m:t>
        </m:r>
      </m:oMath>
      <w:r w:rsidRPr="00E15ECC">
        <w:rPr>
          <w:lang w:val="en-US"/>
        </w:rPr>
        <w:t xml:space="preserve"> denotes the total velocity defined as the superposition of the natural groundwater flow and the fluid flow imposed by the geothermal doublet </w:t>
      </w:r>
      <w:r w:rsidR="001014D9">
        <w:rPr>
          <w:lang w:val="en-US"/>
        </w:rPr>
        <w:t>(Schulz 1987)</w:t>
      </w:r>
      <w:r w:rsidR="0057143B">
        <w:rPr>
          <w:lang w:val="en-US"/>
        </w:rPr>
        <w:t>.</w:t>
      </w:r>
      <w:r w:rsidRPr="00E15ECC">
        <w:rPr>
          <w:lang w:val="en-US"/>
        </w:rPr>
        <w:t xml:space="preserve"> Moreover, </w:t>
      </w:r>
      <m:oMath>
        <m:sSub>
          <m:sSubPr>
            <m:ctrlPr>
              <w:rPr>
                <w:rFonts w:ascii="Cambria Math" w:hAnsi="Cambria Math"/>
              </w:rPr>
            </m:ctrlPr>
          </m:sSubPr>
          <m:e>
            <m:r>
              <w:rPr>
                <w:rFonts w:ascii="Cambria Math" w:hAnsi="Cambria Math"/>
              </w:rPr>
              <m:t>k</m:t>
            </m:r>
          </m:e>
          <m:sub>
            <m:r>
              <w:rPr>
                <w:rFonts w:ascii="Cambria Math" w:hAnsi="Cambria Math"/>
              </w:rPr>
              <m:t>f</m:t>
            </m:r>
          </m:sub>
        </m:sSub>
      </m:oMath>
      <w:r w:rsidRPr="00E15ECC">
        <w:rPr>
          <w:lang w:val="en-US"/>
        </w:rPr>
        <w:t xml:space="preserve"> stands for the hydraulic conductivity. In general, this integral has to </w:t>
      </w:r>
      <w:proofErr w:type="gramStart"/>
      <w:r w:rsidRPr="00E15ECC">
        <w:rPr>
          <w:lang w:val="en-US"/>
        </w:rPr>
        <w:t>be solved</w:t>
      </w:r>
      <w:proofErr w:type="gramEnd"/>
      <w:r w:rsidRPr="00E15ECC">
        <w:rPr>
          <w:lang w:val="en-US"/>
        </w:rPr>
        <w:t xml:space="preserve"> numerically</w:t>
      </w:r>
      <w:r w:rsidR="001014D9">
        <w:rPr>
          <w:lang w:val="en-US"/>
        </w:rPr>
        <w:t>. However, Schulz 1987</w:t>
      </w:r>
      <w:r w:rsidR="0057143B">
        <w:rPr>
          <w:lang w:val="en-US"/>
        </w:rPr>
        <w:t xml:space="preserve"> </w:t>
      </w:r>
      <w:r w:rsidRPr="00E15ECC">
        <w:rPr>
          <w:lang w:val="en-US"/>
        </w:rPr>
        <w:t xml:space="preserve">demonstrated that for the case of a relatively negligible natural groundwater flow, this integral </w:t>
      </w:r>
      <w:proofErr w:type="gramStart"/>
      <w:r w:rsidRPr="00E15ECC">
        <w:rPr>
          <w:lang w:val="en-US"/>
        </w:rPr>
        <w:t>ca</w:t>
      </w:r>
      <w:r w:rsidR="001014D9">
        <w:rPr>
          <w:lang w:val="en-US"/>
        </w:rPr>
        <w:t>n</w:t>
      </w:r>
      <w:proofErr w:type="gramEnd"/>
      <w:r w:rsidR="001014D9">
        <w:rPr>
          <w:lang w:val="en-US"/>
        </w:rPr>
        <w:t xml:space="preserve"> be fully solved analytically. </w:t>
      </w:r>
      <w:r w:rsidRPr="00E15ECC">
        <w:rPr>
          <w:lang w:val="en-US"/>
        </w:rPr>
        <w:t xml:space="preserve">In addition, when considering the straight line connecting the injection and production wells, the thermal breakthrough for the case of negligible groundwater flow velocities </w:t>
      </w:r>
      <w:proofErr w:type="gramStart"/>
      <w:r w:rsidRPr="00E15ECC">
        <w:rPr>
          <w:lang w:val="en-US"/>
        </w:rPr>
        <w:t>can be given</w:t>
      </w:r>
      <w:proofErr w:type="gramEnd"/>
      <w:r w:rsidRPr="00E15ECC">
        <w:rPr>
          <w:lang w:val="en-US"/>
        </w:rPr>
        <w:t xml:space="preserve"> fully analytically by the following expression    </w:t>
      </w:r>
    </w:p>
    <w:p w:rsidR="0020211D" w:rsidRPr="000208DC" w:rsidRDefault="00653FDF" w:rsidP="00DA0A30">
      <w:pPr>
        <w:spacing w:after="160" w:line="480" w:lineRule="auto"/>
        <w:ind w:left="2832" w:firstLine="708"/>
        <w:jc w:val="both"/>
        <w:rPr>
          <w:lang w:val="en-US"/>
        </w:rPr>
      </w:pPr>
      <m:oMath>
        <m:sSub>
          <m:sSubPr>
            <m:ctrlPr>
              <w:rPr>
                <w:rFonts w:ascii="Cambria Math" w:hAnsi="Cambria Math"/>
              </w:rPr>
            </m:ctrlPr>
          </m:sSubPr>
          <m:e>
            <m:r>
              <w:rPr>
                <w:rFonts w:ascii="Cambria Math" w:hAnsi="Cambria Math"/>
              </w:rPr>
              <m:t>t</m:t>
            </m:r>
          </m:e>
          <m:sub>
            <m:r>
              <w:rPr>
                <w:rFonts w:ascii="Cambria Math" w:hAnsi="Cambria Math"/>
              </w:rPr>
              <m:t>TB</m:t>
            </m:r>
          </m:sub>
        </m:sSub>
        <m:r>
          <w:rPr>
            <w:rFonts w:ascii="Cambria Math" w:hAnsi="Cambria Math"/>
            <w:lang w:val="en-US"/>
          </w:rPr>
          <m:t>=</m:t>
        </m:r>
        <m:f>
          <m:fPr>
            <m:ctrlPr>
              <w:rPr>
                <w:rFonts w:ascii="Cambria Math" w:hAnsi="Cambria Math"/>
              </w:rPr>
            </m:ctrlPr>
          </m:fPr>
          <m:num>
            <m:sSub>
              <m:sSubPr>
                <m:ctrlPr>
                  <w:rPr>
                    <w:rFonts w:ascii="Cambria Math" w:hAnsi="Cambria Math"/>
                  </w:rPr>
                </m:ctrlPr>
              </m:sSubPr>
              <m:e>
                <m:r>
                  <w:rPr>
                    <w:rFonts w:ascii="Cambria Math" w:hAnsi="Cambria Math"/>
                  </w:rPr>
                  <m:t>ρ</m:t>
                </m:r>
              </m:e>
              <m:sub>
                <m:r>
                  <w:rPr>
                    <w:rFonts w:ascii="Cambria Math" w:hAnsi="Cambria Math"/>
                  </w:rPr>
                  <m:t>A</m:t>
                </m:r>
              </m:sub>
            </m:sSub>
            <m:sSub>
              <m:sSubPr>
                <m:ctrlPr>
                  <w:rPr>
                    <w:rFonts w:ascii="Cambria Math" w:hAnsi="Cambria Math"/>
                  </w:rPr>
                </m:ctrlPr>
              </m:sSubPr>
              <m:e>
                <m:r>
                  <w:rPr>
                    <w:rFonts w:ascii="Cambria Math" w:hAnsi="Cambria Math"/>
                  </w:rPr>
                  <m:t>c</m:t>
                </m:r>
              </m:e>
              <m:sub>
                <m:r>
                  <w:rPr>
                    <w:rFonts w:ascii="Cambria Math" w:hAnsi="Cambria Math"/>
                  </w:rPr>
                  <m:t>A</m:t>
                </m:r>
              </m:sub>
            </m:sSub>
          </m:num>
          <m:den>
            <m:sSub>
              <m:sSubPr>
                <m:ctrlPr>
                  <w:rPr>
                    <w:rFonts w:ascii="Cambria Math" w:hAnsi="Cambria Math"/>
                  </w:rPr>
                </m:ctrlPr>
              </m:sSubPr>
              <m:e>
                <m:r>
                  <w:rPr>
                    <w:rFonts w:ascii="Cambria Math" w:hAnsi="Cambria Math"/>
                  </w:rPr>
                  <m:t>ρ</m:t>
                </m:r>
              </m:e>
              <m:sub>
                <m:r>
                  <w:rPr>
                    <w:rFonts w:ascii="Cambria Math" w:hAnsi="Cambria Math"/>
                  </w:rPr>
                  <m:t>F</m:t>
                </m:r>
              </m:sub>
            </m:sSub>
            <m:sSub>
              <m:sSubPr>
                <m:ctrlPr>
                  <w:rPr>
                    <w:rFonts w:ascii="Cambria Math" w:hAnsi="Cambria Math"/>
                  </w:rPr>
                </m:ctrlPr>
              </m:sSubPr>
              <m:e>
                <m:r>
                  <w:rPr>
                    <w:rFonts w:ascii="Cambria Math" w:hAnsi="Cambria Math"/>
                  </w:rPr>
                  <m:t>c</m:t>
                </m:r>
              </m:e>
              <m:sub>
                <m:r>
                  <w:rPr>
                    <w:rFonts w:ascii="Cambria Math" w:hAnsi="Cambria Math"/>
                  </w:rPr>
                  <m:t>F</m:t>
                </m:r>
              </m:sub>
            </m:sSub>
          </m:den>
        </m:f>
        <m:r>
          <w:rPr>
            <w:rFonts w:ascii="Cambria Math" w:hAnsi="Cambria Math"/>
            <w:lang w:val="en-US"/>
          </w:rPr>
          <m:t>∙</m:t>
        </m:r>
        <m:f>
          <m:fPr>
            <m:ctrlPr>
              <w:rPr>
                <w:rFonts w:ascii="Cambria Math" w:hAnsi="Cambria Math"/>
              </w:rPr>
            </m:ctrlPr>
          </m:fPr>
          <m:num>
            <m:r>
              <w:rPr>
                <w:rFonts w:ascii="Cambria Math" w:hAnsi="Cambria Math"/>
                <w:lang w:val="en-US"/>
              </w:rPr>
              <m:t>4</m:t>
            </m:r>
            <m:r>
              <w:rPr>
                <w:rFonts w:ascii="Cambria Math" w:hAnsi="Cambria Math"/>
              </w:rPr>
              <m:t>π</m:t>
            </m:r>
          </m:num>
          <m:den>
            <m:r>
              <w:rPr>
                <w:rFonts w:ascii="Cambria Math" w:hAnsi="Cambria Math"/>
                <w:lang w:val="en-US"/>
              </w:rPr>
              <m:t>3</m:t>
            </m:r>
          </m:den>
        </m:f>
        <m:r>
          <w:rPr>
            <w:rFonts w:ascii="Cambria Math" w:hAnsi="Cambria Math"/>
            <w:lang w:val="en-US"/>
          </w:rPr>
          <m:t>∙</m:t>
        </m:r>
        <m:f>
          <m:fPr>
            <m:ctrlPr>
              <w:rPr>
                <w:rFonts w:ascii="Cambria Math" w:hAnsi="Cambria Math"/>
              </w:rPr>
            </m:ctrlPr>
          </m:fPr>
          <m:num>
            <m:r>
              <w:rPr>
                <w:rFonts w:ascii="Cambria Math" w:hAnsi="Cambria Math"/>
              </w:rPr>
              <m:t>M</m:t>
            </m:r>
            <m:sSup>
              <m:sSupPr>
                <m:ctrlPr>
                  <w:rPr>
                    <w:rFonts w:ascii="Cambria Math" w:hAnsi="Cambria Math"/>
                  </w:rPr>
                </m:ctrlPr>
              </m:sSupPr>
              <m:e>
                <m:r>
                  <w:rPr>
                    <w:rFonts w:ascii="Cambria Math" w:hAnsi="Cambria Math"/>
                  </w:rPr>
                  <m:t>a</m:t>
                </m:r>
              </m:e>
              <m:sup>
                <m:r>
                  <w:rPr>
                    <w:rFonts w:ascii="Cambria Math" w:hAnsi="Cambria Math"/>
                    <w:lang w:val="en-US"/>
                  </w:rPr>
                  <m:t>2</m:t>
                </m:r>
              </m:sup>
            </m:sSup>
          </m:num>
          <m:den>
            <m:r>
              <w:rPr>
                <w:rFonts w:ascii="Cambria Math" w:hAnsi="Cambria Math"/>
              </w:rPr>
              <m:t>Q</m:t>
            </m:r>
          </m:den>
        </m:f>
      </m:oMath>
      <w:r w:rsidR="000208DC" w:rsidRPr="000208DC">
        <w:rPr>
          <w:lang w:val="en-US"/>
        </w:rPr>
        <w:t xml:space="preserve"> </w:t>
      </w:r>
      <w:r w:rsidR="00AE1836">
        <w:rPr>
          <w:lang w:val="en-US"/>
        </w:rPr>
        <w:t>,</w:t>
      </w:r>
      <w:r w:rsidR="000208DC">
        <w:rPr>
          <w:lang w:val="en-US"/>
        </w:rPr>
        <w:tab/>
      </w:r>
      <w:r w:rsidR="000208DC">
        <w:rPr>
          <w:lang w:val="en-US"/>
        </w:rPr>
        <w:tab/>
      </w:r>
      <w:r w:rsidR="000208DC">
        <w:rPr>
          <w:lang w:val="en-US"/>
        </w:rPr>
        <w:tab/>
      </w:r>
      <w:r w:rsidR="000208DC">
        <w:rPr>
          <w:lang w:val="en-US"/>
        </w:rPr>
        <w:tab/>
      </w:r>
      <w:r w:rsidR="00AE1836">
        <w:rPr>
          <w:lang w:val="en-US"/>
        </w:rPr>
        <w:t>(12)</w:t>
      </w:r>
    </w:p>
    <w:p w:rsidR="0020211D" w:rsidRPr="00E15ECC" w:rsidRDefault="0020211D" w:rsidP="00DA0A30">
      <w:pPr>
        <w:spacing w:after="160" w:line="480" w:lineRule="auto"/>
        <w:jc w:val="both"/>
        <w:rPr>
          <w:lang w:val="en-US"/>
        </w:rPr>
      </w:pPr>
      <w:proofErr w:type="gramStart"/>
      <w:r w:rsidRPr="00E15ECC">
        <w:rPr>
          <w:lang w:val="en-US"/>
        </w:rPr>
        <w:t>where</w:t>
      </w:r>
      <w:proofErr w:type="gramEnd"/>
      <w:r w:rsidRPr="00E15ECC">
        <w:rPr>
          <w:lang w:val="en-US"/>
        </w:rPr>
        <w:t xml:space="preserve"> </w:t>
      </w:r>
      <m:oMath>
        <m:r>
          <w:rPr>
            <w:rFonts w:ascii="Cambria Math" w:hAnsi="Cambria Math"/>
          </w:rPr>
          <m:t>a</m:t>
        </m:r>
      </m:oMath>
      <w:r w:rsidRPr="00E15ECC">
        <w:rPr>
          <w:lang w:val="en-US"/>
        </w:rPr>
        <w:t xml:space="preserve"> denotes the half-length between injection and production wells (see Fig. 6). The key controls on the thermal breakthrough are the separation between injection and production wells in the first place due to its quadratic dependency, followed by the thickness of the aquifer and the flow rate.  </w:t>
      </w:r>
    </w:p>
    <w:p w:rsidR="0020211D" w:rsidRPr="00E15ECC" w:rsidRDefault="0020211D" w:rsidP="00DA0A30">
      <w:pPr>
        <w:spacing w:after="160" w:line="480" w:lineRule="auto"/>
        <w:jc w:val="both"/>
        <w:rPr>
          <w:lang w:val="en-US"/>
        </w:rPr>
      </w:pPr>
      <w:r w:rsidRPr="00E15ECC">
        <w:rPr>
          <w:lang w:val="en-US"/>
        </w:rPr>
        <w:t xml:space="preserve">According to the definition of the thermal lifetime of a geothermal doublet or a doublet array in general, </w:t>
      </w:r>
      <w:r w:rsidR="00C57953">
        <w:rPr>
          <w:lang w:val="en-US"/>
        </w:rPr>
        <w:t>Schulz 1987 and</w:t>
      </w:r>
      <w:r w:rsidR="001014D9" w:rsidRPr="00E15ECC">
        <w:rPr>
          <w:lang w:val="en-US"/>
        </w:rPr>
        <w:t xml:space="preserve"> </w:t>
      </w:r>
      <w:proofErr w:type="spellStart"/>
      <w:r w:rsidR="001014D9" w:rsidRPr="00E15ECC">
        <w:rPr>
          <w:lang w:val="en-US"/>
        </w:rPr>
        <w:t>Jobmann</w:t>
      </w:r>
      <w:proofErr w:type="spellEnd"/>
      <w:r w:rsidR="001014D9" w:rsidRPr="00E15ECC">
        <w:rPr>
          <w:lang w:val="en-US"/>
        </w:rPr>
        <w:t xml:space="preserve"> &amp; Schulz 1989 </w:t>
      </w:r>
      <w:r w:rsidRPr="00E15ECC">
        <w:rPr>
          <w:lang w:val="en-US"/>
        </w:rPr>
        <w:t>also obtained an analytical expression considering the straight line connecting the injection and produc</w:t>
      </w:r>
      <w:r w:rsidR="00AE1836">
        <w:rPr>
          <w:lang w:val="en-US"/>
        </w:rPr>
        <w:t>tion well for the thermal life</w:t>
      </w:r>
      <w:r w:rsidRPr="00E15ECC">
        <w:rPr>
          <w:lang w:val="en-US"/>
        </w:rPr>
        <w:t>time</w:t>
      </w:r>
    </w:p>
    <w:p w:rsidR="0020211D" w:rsidRPr="000208DC" w:rsidRDefault="00653FDF" w:rsidP="00DA0A30">
      <w:pPr>
        <w:spacing w:after="160" w:line="480" w:lineRule="auto"/>
        <w:ind w:left="2832"/>
        <w:jc w:val="both"/>
        <w:rPr>
          <w:lang w:val="en-US"/>
        </w:rPr>
      </w:pPr>
      <m:oMath>
        <m:sSub>
          <m:sSubPr>
            <m:ctrlPr>
              <w:rPr>
                <w:rFonts w:ascii="Cambria Math" w:hAnsi="Cambria Math"/>
              </w:rPr>
            </m:ctrlPr>
          </m:sSubPr>
          <m:e>
            <m:r>
              <w:rPr>
                <w:rFonts w:ascii="Cambria Math" w:hAnsi="Cambria Math"/>
              </w:rPr>
              <m:t>t</m:t>
            </m:r>
          </m:e>
          <m:sub>
            <m:r>
              <w:rPr>
                <w:rFonts w:ascii="Cambria Math" w:hAnsi="Cambria Math"/>
              </w:rPr>
              <m:t>N</m:t>
            </m:r>
          </m:sub>
        </m:sSub>
        <m:r>
          <w:rPr>
            <w:rFonts w:ascii="Cambria Math" w:hAnsi="Cambria Math"/>
            <w:lang w:val="en-US"/>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w:rPr>
                            <w:rFonts w:ascii="Cambria Math" w:hAnsi="Cambria Math"/>
                          </w:rPr>
                          <m:t>ρ</m:t>
                        </m:r>
                      </m:e>
                      <m:sub>
                        <m:r>
                          <w:rPr>
                            <w:rFonts w:ascii="Cambria Math" w:hAnsi="Cambria Math"/>
                          </w:rPr>
                          <m:t>S</m:t>
                        </m:r>
                      </m:sub>
                    </m:sSub>
                    <m:sSub>
                      <m:sSubPr>
                        <m:ctrlPr>
                          <w:rPr>
                            <w:rFonts w:ascii="Cambria Math" w:hAnsi="Cambria Math"/>
                          </w:rPr>
                        </m:ctrlPr>
                      </m:sSubPr>
                      <m:e>
                        <m:r>
                          <w:rPr>
                            <w:rFonts w:ascii="Cambria Math" w:hAnsi="Cambria Math"/>
                          </w:rPr>
                          <m:t>c</m:t>
                        </m:r>
                      </m:e>
                      <m:sub>
                        <m:r>
                          <w:rPr>
                            <w:rFonts w:ascii="Cambria Math" w:hAnsi="Cambria Math"/>
                          </w:rPr>
                          <m:t>S</m:t>
                        </m:r>
                      </m:sub>
                    </m:sSub>
                  </m:num>
                  <m:den>
                    <m:sSub>
                      <m:sSubPr>
                        <m:ctrlPr>
                          <w:rPr>
                            <w:rFonts w:ascii="Cambria Math" w:hAnsi="Cambria Math"/>
                          </w:rPr>
                        </m:ctrlPr>
                      </m:sSubPr>
                      <m:e>
                        <m:r>
                          <w:rPr>
                            <w:rFonts w:ascii="Cambria Math" w:hAnsi="Cambria Math"/>
                          </w:rPr>
                          <m:t>ρ</m:t>
                        </m:r>
                      </m:e>
                      <m:sub>
                        <m:r>
                          <w:rPr>
                            <w:rFonts w:ascii="Cambria Math" w:hAnsi="Cambria Math"/>
                          </w:rPr>
                          <m:t>F</m:t>
                        </m:r>
                      </m:sub>
                    </m:sSub>
                    <m:sSub>
                      <m:sSubPr>
                        <m:ctrlPr>
                          <w:rPr>
                            <w:rFonts w:ascii="Cambria Math" w:hAnsi="Cambria Math"/>
                          </w:rPr>
                        </m:ctrlPr>
                      </m:sSubPr>
                      <m:e>
                        <m:r>
                          <w:rPr>
                            <w:rFonts w:ascii="Cambria Math" w:hAnsi="Cambria Math"/>
                          </w:rPr>
                          <m:t>c</m:t>
                        </m:r>
                      </m:e>
                      <m:sub>
                        <m:r>
                          <w:rPr>
                            <w:rFonts w:ascii="Cambria Math" w:hAnsi="Cambria Math"/>
                          </w:rPr>
                          <m:t>F</m:t>
                        </m:r>
                      </m:sub>
                    </m:sSub>
                  </m:den>
                </m:f>
              </m:e>
            </m:d>
          </m:e>
          <m:sup>
            <m:r>
              <w:rPr>
                <w:rFonts w:ascii="Cambria Math" w:hAnsi="Cambria Math"/>
                <w:lang w:val="en-US"/>
              </w:rPr>
              <m:t>2</m:t>
            </m:r>
          </m:sup>
        </m:sSup>
        <m:r>
          <w:rPr>
            <w:rFonts w:ascii="Cambria Math" w:hAnsi="Cambria Math"/>
            <w:lang w:val="en-US"/>
          </w:rPr>
          <m:t>∙</m:t>
        </m:r>
        <m:sSub>
          <m:sSubPr>
            <m:ctrlPr>
              <w:rPr>
                <w:rFonts w:ascii="Cambria Math" w:hAnsi="Cambria Math"/>
              </w:rPr>
            </m:ctrlPr>
          </m:sSubPr>
          <m:e>
            <m:r>
              <w:rPr>
                <w:rFonts w:ascii="Cambria Math" w:hAnsi="Cambria Math"/>
              </w:rPr>
              <m:t>κ</m:t>
            </m:r>
          </m:e>
          <m:sub>
            <m:r>
              <w:rPr>
                <w:rFonts w:ascii="Cambria Math" w:hAnsi="Cambria Math"/>
              </w:rPr>
              <m:t>S</m:t>
            </m:r>
          </m:sub>
        </m:sSub>
        <m:r>
          <w:rPr>
            <w:rFonts w:ascii="Cambria Math" w:hAnsi="Cambria Math"/>
            <w:lang w:val="en-US"/>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lang w:val="en-US"/>
                      </w:rPr>
                      <m:t>4</m:t>
                    </m:r>
                    <m:r>
                      <w:rPr>
                        <w:rFonts w:ascii="Cambria Math" w:hAnsi="Cambria Math"/>
                      </w:rPr>
                      <m:t>π</m:t>
                    </m:r>
                    <m:sSup>
                      <m:sSupPr>
                        <m:ctrlPr>
                          <w:rPr>
                            <w:rFonts w:ascii="Cambria Math" w:hAnsi="Cambria Math"/>
                          </w:rPr>
                        </m:ctrlPr>
                      </m:sSupPr>
                      <m:e>
                        <m:r>
                          <w:rPr>
                            <w:rFonts w:ascii="Cambria Math" w:hAnsi="Cambria Math"/>
                          </w:rPr>
                          <m:t>a</m:t>
                        </m:r>
                      </m:e>
                      <m:sup>
                        <m:r>
                          <w:rPr>
                            <w:rFonts w:ascii="Cambria Math" w:hAnsi="Cambria Math"/>
                            <w:lang w:val="en-US"/>
                          </w:rPr>
                          <m:t>2</m:t>
                        </m:r>
                      </m:sup>
                    </m:sSup>
                  </m:num>
                  <m:den>
                    <m:r>
                      <w:rPr>
                        <w:rFonts w:ascii="Cambria Math" w:hAnsi="Cambria Math"/>
                        <w:lang w:val="en-US"/>
                      </w:rPr>
                      <m:t>3</m:t>
                    </m:r>
                    <m:r>
                      <w:rPr>
                        <w:rFonts w:ascii="Cambria Math" w:hAnsi="Cambria Math"/>
                      </w:rPr>
                      <m:t>Q</m:t>
                    </m:r>
                  </m:den>
                </m:f>
              </m:e>
            </m:d>
          </m:e>
          <m:sup>
            <m:r>
              <w:rPr>
                <w:rFonts w:ascii="Cambria Math" w:hAnsi="Cambria Math"/>
                <w:lang w:val="en-US"/>
              </w:rPr>
              <m:t>2</m:t>
            </m:r>
          </m:sup>
        </m:sSup>
        <m:r>
          <w:rPr>
            <w:rFonts w:ascii="Cambria Math" w:hAnsi="Cambria Math"/>
            <w:lang w:val="en-US"/>
          </w:rPr>
          <m:t>∙</m:t>
        </m:r>
        <m:f>
          <m:fPr>
            <m:ctrlPr>
              <w:rPr>
                <w:rFonts w:ascii="Cambria Math" w:hAnsi="Cambria Math"/>
              </w:rPr>
            </m:ctrlPr>
          </m:fPr>
          <m:num>
            <m:r>
              <w:rPr>
                <w:rFonts w:ascii="Cambria Math" w:hAnsi="Cambria Math"/>
                <w:lang w:val="en-US"/>
              </w:rPr>
              <m:t>1</m:t>
            </m:r>
          </m:num>
          <m:den>
            <m:sSup>
              <m:sSupPr>
                <m:ctrlPr>
                  <w:rPr>
                    <w:rFonts w:ascii="Cambria Math" w:hAnsi="Cambria Math"/>
                  </w:rPr>
                </m:ctrlPr>
              </m:sSupPr>
              <m:e>
                <m:d>
                  <m:dPr>
                    <m:ctrlPr>
                      <w:rPr>
                        <w:rFonts w:ascii="Cambria Math" w:hAnsi="Cambria Math"/>
                      </w:rPr>
                    </m:ctrlPr>
                  </m:dPr>
                  <m:e>
                    <m:sSup>
                      <m:sSupPr>
                        <m:ctrlPr>
                          <w:rPr>
                            <w:rFonts w:ascii="Cambria Math" w:hAnsi="Cambria Math"/>
                          </w:rPr>
                        </m:ctrlPr>
                      </m:sSupPr>
                      <m:e>
                        <m:r>
                          <w:rPr>
                            <w:rFonts w:ascii="Cambria Math" w:hAnsi="Cambria Math"/>
                          </w:rPr>
                          <m:t>erfc</m:t>
                        </m:r>
                      </m:e>
                      <m:sup>
                        <m:r>
                          <w:rPr>
                            <w:rFonts w:ascii="Cambria Math" w:hAnsi="Cambria Math"/>
                            <w:lang w:val="en-US"/>
                          </w:rPr>
                          <m:t>-1</m:t>
                        </m:r>
                      </m:sup>
                    </m:sSup>
                    <m:r>
                      <w:rPr>
                        <w:rFonts w:ascii="Cambria Math" w:hAnsi="Cambria Math"/>
                        <w:lang w:val="en-US"/>
                      </w:rPr>
                      <m:t>(</m:t>
                    </m:r>
                    <m:r>
                      <w:rPr>
                        <w:rFonts w:ascii="Cambria Math" w:hAnsi="Cambria Math"/>
                      </w:rPr>
                      <m:t>P</m:t>
                    </m:r>
                    <m:r>
                      <w:rPr>
                        <w:rFonts w:ascii="Cambria Math" w:hAnsi="Cambria Math"/>
                        <w:lang w:val="en-US"/>
                      </w:rPr>
                      <m:t>)</m:t>
                    </m:r>
                  </m:e>
                </m:d>
              </m:e>
              <m:sup>
                <m:r>
                  <w:rPr>
                    <w:rFonts w:ascii="Cambria Math" w:hAnsi="Cambria Math"/>
                    <w:lang w:val="en-US"/>
                  </w:rPr>
                  <m:t>2</m:t>
                </m:r>
              </m:sup>
            </m:sSup>
          </m:den>
        </m:f>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rPr>
              <m:t>TB</m:t>
            </m:r>
          </m:sub>
        </m:sSub>
      </m:oMath>
      <w:r w:rsidR="000208DC" w:rsidRPr="000208DC">
        <w:rPr>
          <w:lang w:val="en-US"/>
        </w:rPr>
        <w:tab/>
      </w:r>
      <w:r w:rsidR="00AE1836">
        <w:rPr>
          <w:lang w:val="en-US"/>
        </w:rPr>
        <w:t>,</w:t>
      </w:r>
      <w:r w:rsidR="000208DC">
        <w:rPr>
          <w:lang w:val="en-US"/>
        </w:rPr>
        <w:tab/>
      </w:r>
      <w:r w:rsidR="00AE1836">
        <w:rPr>
          <w:lang w:val="en-US"/>
        </w:rPr>
        <w:t>(13)</w:t>
      </w:r>
    </w:p>
    <w:p w:rsidR="0020211D" w:rsidRPr="00E15ECC" w:rsidRDefault="0020211D" w:rsidP="00DA0A30">
      <w:pPr>
        <w:spacing w:after="160" w:line="480" w:lineRule="auto"/>
        <w:jc w:val="both"/>
        <w:rPr>
          <w:lang w:val="en-US"/>
        </w:rPr>
      </w:pPr>
      <w:r w:rsidRPr="00E15ECC">
        <w:rPr>
          <w:lang w:val="en-US"/>
        </w:rPr>
        <w:t xml:space="preserve">where </w:t>
      </w:r>
      <m:oMath>
        <m:sSub>
          <m:sSubPr>
            <m:ctrlPr>
              <w:rPr>
                <w:rFonts w:ascii="Cambria Math" w:hAnsi="Cambria Math"/>
              </w:rPr>
            </m:ctrlPr>
          </m:sSubPr>
          <m:e>
            <m:r>
              <w:rPr>
                <w:rFonts w:ascii="Cambria Math" w:hAnsi="Cambria Math"/>
              </w:rPr>
              <m:t>ρ</m:t>
            </m:r>
          </m:e>
          <m:sub>
            <m:r>
              <w:rPr>
                <w:rFonts w:ascii="Cambria Math" w:hAnsi="Cambria Math"/>
              </w:rPr>
              <m:t>S</m:t>
            </m:r>
          </m:sub>
        </m:sSub>
      </m:oMath>
      <w:r w:rsidRPr="00E15ECC">
        <w:rPr>
          <w:lang w:val="en-US"/>
        </w:rPr>
        <w:t xml:space="preserve">, </w:t>
      </w:r>
      <m:oMath>
        <m:sSub>
          <m:sSubPr>
            <m:ctrlPr>
              <w:rPr>
                <w:rFonts w:ascii="Cambria Math" w:hAnsi="Cambria Math"/>
              </w:rPr>
            </m:ctrlPr>
          </m:sSubPr>
          <m:e>
            <m:r>
              <w:rPr>
                <w:rFonts w:ascii="Cambria Math" w:hAnsi="Cambria Math"/>
              </w:rPr>
              <m:t>c</m:t>
            </m:r>
          </m:e>
          <m:sub>
            <m:r>
              <w:rPr>
                <w:rFonts w:ascii="Cambria Math" w:hAnsi="Cambria Math"/>
              </w:rPr>
              <m:t>S</m:t>
            </m:r>
          </m:sub>
        </m:sSub>
      </m:oMath>
      <w:r w:rsidRPr="00E15ECC">
        <w:rPr>
          <w:lang w:val="en-US"/>
        </w:rPr>
        <w:t xml:space="preserve"> and </w:t>
      </w:r>
      <m:oMath>
        <m:sSub>
          <m:sSubPr>
            <m:ctrlPr>
              <w:rPr>
                <w:rFonts w:ascii="Cambria Math" w:hAnsi="Cambria Math"/>
              </w:rPr>
            </m:ctrlPr>
          </m:sSubPr>
          <m:e>
            <m:r>
              <w:rPr>
                <w:rFonts w:ascii="Cambria Math" w:hAnsi="Cambria Math"/>
              </w:rPr>
              <m:t>κ</m:t>
            </m:r>
          </m:e>
          <m:sub>
            <m:r>
              <w:rPr>
                <w:rFonts w:ascii="Cambria Math" w:hAnsi="Cambria Math"/>
              </w:rPr>
              <m:t>S</m:t>
            </m:r>
          </m:sub>
        </m:sSub>
        <m:r>
          <w:rPr>
            <w:rFonts w:ascii="Cambria Math" w:hAnsi="Cambria Math"/>
            <w:lang w:val="en-US"/>
          </w:rPr>
          <m:t xml:space="preserve"> </m:t>
        </m:r>
      </m:oMath>
      <w:r w:rsidRPr="00E15ECC">
        <w:rPr>
          <w:lang w:val="en-US"/>
        </w:rPr>
        <w:t xml:space="preserve">are the density, the specific thermal capacity at constant pressure and the thermal diffusivity of the surrounding rock (overriding and underlying aquitards) respectively, </w:t>
      </w:r>
      <m:oMath>
        <m:r>
          <w:rPr>
            <w:rFonts w:ascii="Cambria Math" w:hAnsi="Cambria Math"/>
          </w:rPr>
          <m:t>erfc</m:t>
        </m:r>
      </m:oMath>
      <w:r w:rsidRPr="00E15ECC">
        <w:rPr>
          <w:lang w:val="en-US"/>
        </w:rPr>
        <w:t xml:space="preserve"> is the complementary error function and </w:t>
      </w:r>
      <m:oMath>
        <m:r>
          <w:rPr>
            <w:rFonts w:ascii="Cambria Math" w:hAnsi="Cambria Math"/>
          </w:rPr>
          <m:t>P</m:t>
        </m:r>
      </m:oMath>
      <w:r w:rsidRPr="00E15ECC">
        <w:rPr>
          <w:lang w:val="en-US"/>
        </w:rPr>
        <w:t xml:space="preserve"> represents the fraction of cooled formation fluid related to the initial temperature. In case it is considered that for 20 % reduction of the initial temperature of the extracted formation fluid the geothermal doublet is no longer economically operational, </w:t>
      </w:r>
      <w:proofErr w:type="gramStart"/>
      <w:r w:rsidRPr="00E15ECC">
        <w:rPr>
          <w:lang w:val="en-US"/>
        </w:rPr>
        <w:t xml:space="preserve">then </w:t>
      </w:r>
      <w:proofErr w:type="gramEnd"/>
      <m:oMath>
        <m:r>
          <w:rPr>
            <w:rFonts w:ascii="Cambria Math" w:hAnsi="Cambria Math"/>
          </w:rPr>
          <m:t>P</m:t>
        </m:r>
        <m:r>
          <w:rPr>
            <w:rFonts w:ascii="Cambria Math" w:hAnsi="Cambria Math"/>
            <w:lang w:val="en-US"/>
          </w:rPr>
          <m:t>=0.2</m:t>
        </m:r>
      </m:oMath>
      <w:r w:rsidRPr="00E15ECC">
        <w:rPr>
          <w:lang w:val="en-US"/>
        </w:rPr>
        <w:t xml:space="preserve">. It is worth mentioning that in these analytical considerations the temperature analyzed immediately before the extraction well lies on the straight line connecting the injection and extraction well. According to </w:t>
      </w:r>
      <w:r w:rsidR="001014D9" w:rsidRPr="00E15ECC">
        <w:rPr>
          <w:lang w:val="en-US"/>
        </w:rPr>
        <w:t>Sch</w:t>
      </w:r>
      <w:r w:rsidR="00C57953">
        <w:rPr>
          <w:lang w:val="en-US"/>
        </w:rPr>
        <w:t>ulz 1987 and</w:t>
      </w:r>
      <w:r w:rsidR="001014D9">
        <w:rPr>
          <w:lang w:val="en-US"/>
        </w:rPr>
        <w:t xml:space="preserve"> </w:t>
      </w:r>
      <w:proofErr w:type="spellStart"/>
      <w:r w:rsidR="001014D9">
        <w:rPr>
          <w:lang w:val="en-US"/>
        </w:rPr>
        <w:t>Jobmann</w:t>
      </w:r>
      <w:proofErr w:type="spellEnd"/>
      <w:r w:rsidR="001014D9">
        <w:rPr>
          <w:lang w:val="en-US"/>
        </w:rPr>
        <w:t xml:space="preserve"> &amp; Schulz </w:t>
      </w:r>
      <w:proofErr w:type="gramStart"/>
      <w:r w:rsidR="001014D9">
        <w:rPr>
          <w:lang w:val="en-US"/>
        </w:rPr>
        <w:t>1989</w:t>
      </w:r>
      <w:proofErr w:type="gramEnd"/>
      <w:r w:rsidR="001014D9">
        <w:rPr>
          <w:lang w:val="en-US"/>
        </w:rPr>
        <w:t xml:space="preserve"> </w:t>
      </w:r>
      <w:r w:rsidRPr="00E15ECC">
        <w:rPr>
          <w:lang w:val="en-US"/>
        </w:rPr>
        <w:t xml:space="preserve">the </w:t>
      </w:r>
      <w:r w:rsidRPr="00E15ECC">
        <w:rPr>
          <w:lang w:val="en-US"/>
        </w:rPr>
        <w:lastRenderedPageBreak/>
        <w:t xml:space="preserve">actual production temperature is much higher since the production temperature results from the mixing temperature of all streamlines that reach the production well. Hence, using the analytical expression for </w:t>
      </w:r>
      <m:oMath>
        <m:sSub>
          <m:sSubPr>
            <m:ctrlPr>
              <w:rPr>
                <w:rFonts w:ascii="Cambria Math" w:hAnsi="Cambria Math"/>
              </w:rPr>
            </m:ctrlPr>
          </m:sSubPr>
          <m:e>
            <m:r>
              <w:rPr>
                <w:rFonts w:ascii="Cambria Math" w:hAnsi="Cambria Math"/>
              </w:rPr>
              <m:t>t</m:t>
            </m:r>
          </m:e>
          <m:sub>
            <m:r>
              <w:rPr>
                <w:rFonts w:ascii="Cambria Math" w:hAnsi="Cambria Math"/>
              </w:rPr>
              <m:t>TB</m:t>
            </m:r>
          </m:sub>
        </m:sSub>
      </m:oMath>
      <w:r w:rsidRPr="00E15ECC">
        <w:rPr>
          <w:lang w:val="en-US"/>
        </w:rPr>
        <w:t xml:space="preserve"> constitutes an exceedingly conservative way of estimating the thermal lifetime of a geothermal doublet. Nevertheless, the major advantage of the expressions </w:t>
      </w:r>
      <m:oMath>
        <m:sSub>
          <m:sSubPr>
            <m:ctrlPr>
              <w:rPr>
                <w:rFonts w:ascii="Cambria Math" w:hAnsi="Cambria Math"/>
              </w:rPr>
            </m:ctrlPr>
          </m:sSubPr>
          <m:e>
            <m:r>
              <w:rPr>
                <w:rFonts w:ascii="Cambria Math" w:hAnsi="Cambria Math"/>
              </w:rPr>
              <m:t>t</m:t>
            </m:r>
          </m:e>
          <m:sub>
            <m:r>
              <w:rPr>
                <w:rFonts w:ascii="Cambria Math" w:hAnsi="Cambria Math"/>
              </w:rPr>
              <m:t>TB</m:t>
            </m:r>
          </m:sub>
        </m:sSub>
      </m:oMath>
      <w:r w:rsidRPr="00E15ECC">
        <w:rPr>
          <w:lang w:val="en-US"/>
        </w:rPr>
        <w:t xml:space="preserve"> and </w:t>
      </w:r>
      <m:oMath>
        <m:sSub>
          <m:sSubPr>
            <m:ctrlPr>
              <w:rPr>
                <w:rFonts w:ascii="Cambria Math" w:hAnsi="Cambria Math"/>
              </w:rPr>
            </m:ctrlPr>
          </m:sSubPr>
          <m:e>
            <m:r>
              <w:rPr>
                <w:rFonts w:ascii="Cambria Math" w:hAnsi="Cambria Math"/>
              </w:rPr>
              <m:t>t</m:t>
            </m:r>
          </m:e>
          <m:sub>
            <m:r>
              <w:rPr>
                <w:rFonts w:ascii="Cambria Math" w:hAnsi="Cambria Math"/>
              </w:rPr>
              <m:t>N</m:t>
            </m:r>
          </m:sub>
        </m:sSub>
      </m:oMath>
      <w:r w:rsidRPr="00E15ECC">
        <w:rPr>
          <w:lang w:val="en-US"/>
        </w:rPr>
        <w:t xml:space="preserve"> is that they enable a quick overview.     </w:t>
      </w:r>
    </w:p>
    <w:p w:rsidR="0020211D" w:rsidRPr="00E15ECC" w:rsidRDefault="0020211D" w:rsidP="00DA0A30">
      <w:pPr>
        <w:spacing w:after="160" w:line="480" w:lineRule="auto"/>
        <w:jc w:val="both"/>
        <w:rPr>
          <w:lang w:val="en-US"/>
        </w:rPr>
      </w:pPr>
      <w:r w:rsidRPr="00E15ECC">
        <w:rPr>
          <w:lang w:val="en-US"/>
        </w:rPr>
        <w:t xml:space="preserve">Once analytical expressions for the thermal breakthrough and the thermal lifetime of a geothermal doublet </w:t>
      </w:r>
      <w:proofErr w:type="gramStart"/>
      <w:r w:rsidRPr="00E15ECC">
        <w:rPr>
          <w:lang w:val="en-US"/>
        </w:rPr>
        <w:t>are found</w:t>
      </w:r>
      <w:proofErr w:type="gramEnd"/>
      <w:r w:rsidRPr="00E15ECC">
        <w:rPr>
          <w:lang w:val="en-US"/>
        </w:rPr>
        <w:t xml:space="preserve">, the amount of recoverable energy that can be harnessed by operating a geothermal doublet can be expressed in these two terms. Generally, the energy generated by a geothermal doublet </w:t>
      </w:r>
      <w:proofErr w:type="gramStart"/>
      <w:r w:rsidRPr="00E15ECC">
        <w:rPr>
          <w:lang w:val="en-US"/>
        </w:rPr>
        <w:t>can be expressed</w:t>
      </w:r>
      <w:proofErr w:type="gramEnd"/>
      <w:r w:rsidRPr="00E15ECC">
        <w:rPr>
          <w:lang w:val="en-US"/>
        </w:rPr>
        <w:t xml:space="preserve"> as </w:t>
      </w:r>
    </w:p>
    <w:p w:rsidR="0020211D" w:rsidRPr="000208DC" w:rsidRDefault="0020211D" w:rsidP="00DA0A30">
      <w:pPr>
        <w:spacing w:after="160" w:line="480" w:lineRule="auto"/>
        <w:ind w:left="2124" w:firstLine="708"/>
        <w:jc w:val="both"/>
        <w:rPr>
          <w:lang w:val="en-US"/>
        </w:rPr>
      </w:pPr>
      <m:oMath>
        <m:r>
          <w:rPr>
            <w:rFonts w:ascii="Cambria Math" w:hAnsi="Cambria Math"/>
          </w:rPr>
          <m:t>E</m:t>
        </m:r>
        <m:r>
          <w:rPr>
            <w:rFonts w:ascii="Cambria Math" w:hAnsi="Cambria Math"/>
            <w:lang w:val="en-US"/>
          </w:rPr>
          <m:t>=</m:t>
        </m:r>
        <m:sSub>
          <m:sSubPr>
            <m:ctrlPr>
              <w:rPr>
                <w:rFonts w:ascii="Cambria Math" w:hAnsi="Cambria Math"/>
              </w:rPr>
            </m:ctrlPr>
          </m:sSubPr>
          <m:e>
            <m:r>
              <w:rPr>
                <w:rFonts w:ascii="Cambria Math" w:hAnsi="Cambria Math"/>
              </w:rPr>
              <m:t>ρ</m:t>
            </m:r>
          </m:e>
          <m:sub>
            <m:r>
              <w:rPr>
                <w:rFonts w:ascii="Cambria Math" w:hAnsi="Cambria Math"/>
              </w:rPr>
              <m:t>F</m:t>
            </m:r>
          </m:sub>
        </m:sSub>
        <m:r>
          <w:rPr>
            <w:rFonts w:ascii="Cambria Math" w:hAnsi="Cambria Math"/>
            <w:lang w:val="en-US"/>
          </w:rPr>
          <m:t>∙</m:t>
        </m:r>
        <m:sSub>
          <m:sSubPr>
            <m:ctrlPr>
              <w:rPr>
                <w:rFonts w:ascii="Cambria Math" w:hAnsi="Cambria Math"/>
              </w:rPr>
            </m:ctrlPr>
          </m:sSubPr>
          <m:e>
            <m:r>
              <w:rPr>
                <w:rFonts w:ascii="Cambria Math" w:hAnsi="Cambria Math"/>
              </w:rPr>
              <m:t>c</m:t>
            </m:r>
          </m:e>
          <m:sub>
            <m:r>
              <w:rPr>
                <w:rFonts w:ascii="Cambria Math" w:hAnsi="Cambria Math"/>
              </w:rPr>
              <m:t>F</m:t>
            </m:r>
          </m:sub>
        </m:sSub>
        <m:r>
          <w:rPr>
            <w:rFonts w:ascii="Cambria Math" w:hAnsi="Cambria Math"/>
            <w:lang w:val="en-US"/>
          </w:rPr>
          <m:t>∙</m:t>
        </m:r>
        <m:r>
          <w:rPr>
            <w:rFonts w:ascii="Cambria Math" w:hAnsi="Cambria Math"/>
          </w:rPr>
          <m:t>Q</m:t>
        </m:r>
        <m:r>
          <w:rPr>
            <w:rFonts w:ascii="Cambria Math" w:hAnsi="Cambria Math"/>
            <w:lang w:val="en-US"/>
          </w:rPr>
          <m:t>∙</m:t>
        </m:r>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E</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rPr>
                  <m:t>I</m:t>
                </m:r>
              </m:sub>
            </m:sSub>
          </m:e>
        </m:d>
        <m:r>
          <w:rPr>
            <w:rFonts w:ascii="Cambria Math" w:hAnsi="Cambria Math"/>
            <w:lang w:val="en-US"/>
          </w:rPr>
          <m:t>∙∆</m:t>
        </m:r>
        <m:r>
          <w:rPr>
            <w:rFonts w:ascii="Cambria Math" w:hAnsi="Cambria Math"/>
          </w:rPr>
          <m:t>t</m:t>
        </m:r>
      </m:oMath>
      <w:r w:rsidR="000208DC" w:rsidRPr="000208DC">
        <w:rPr>
          <w:lang w:val="en-US"/>
        </w:rPr>
        <w:t xml:space="preserve"> </w:t>
      </w:r>
      <w:r w:rsidR="00AE1836">
        <w:rPr>
          <w:lang w:val="en-US"/>
        </w:rPr>
        <w:t>,</w:t>
      </w:r>
      <w:r w:rsidR="000208DC">
        <w:rPr>
          <w:lang w:val="en-US"/>
        </w:rPr>
        <w:tab/>
      </w:r>
      <w:r w:rsidR="000208DC">
        <w:rPr>
          <w:lang w:val="en-US"/>
        </w:rPr>
        <w:tab/>
      </w:r>
      <w:r w:rsidR="004013CC">
        <w:rPr>
          <w:lang w:val="en-US"/>
        </w:rPr>
        <w:tab/>
      </w:r>
      <w:r w:rsidR="00AE1836">
        <w:rPr>
          <w:lang w:val="en-US"/>
        </w:rPr>
        <w:t>(14)</w:t>
      </w:r>
    </w:p>
    <w:p w:rsidR="0020211D" w:rsidRPr="00E15ECC" w:rsidRDefault="0020211D" w:rsidP="00DA0A30">
      <w:pPr>
        <w:spacing w:after="160" w:line="480" w:lineRule="auto"/>
        <w:jc w:val="both"/>
        <w:rPr>
          <w:lang w:val="en-US"/>
        </w:rPr>
      </w:pPr>
      <w:proofErr w:type="gramStart"/>
      <w:r w:rsidRPr="00E15ECC">
        <w:rPr>
          <w:lang w:val="en-US"/>
        </w:rPr>
        <w:t>where</w:t>
      </w:r>
      <w:proofErr w:type="gramEnd"/>
      <w:r w:rsidRPr="00E15ECC">
        <w:rPr>
          <w:lang w:val="en-US"/>
        </w:rPr>
        <w:t xml:space="preserve"> </w:t>
      </w:r>
      <m:oMath>
        <m:sSub>
          <m:sSubPr>
            <m:ctrlPr>
              <w:rPr>
                <w:rFonts w:ascii="Cambria Math" w:hAnsi="Cambria Math"/>
              </w:rPr>
            </m:ctrlPr>
          </m:sSubPr>
          <m:e>
            <m:r>
              <w:rPr>
                <w:rFonts w:ascii="Cambria Math" w:hAnsi="Cambria Math"/>
              </w:rPr>
              <m:t>T</m:t>
            </m:r>
          </m:e>
          <m:sub>
            <m:r>
              <w:rPr>
                <w:rFonts w:ascii="Cambria Math" w:hAnsi="Cambria Math"/>
              </w:rPr>
              <m:t>E</m:t>
            </m:r>
          </m:sub>
        </m:sSub>
      </m:oMath>
      <w:r w:rsidRPr="00E15ECC">
        <w:rPr>
          <w:lang w:val="en-US"/>
        </w:rPr>
        <w:t xml:space="preserve"> and </w:t>
      </w:r>
      <m:oMath>
        <m:sSub>
          <m:sSubPr>
            <m:ctrlPr>
              <w:rPr>
                <w:rFonts w:ascii="Cambria Math" w:hAnsi="Cambria Math"/>
              </w:rPr>
            </m:ctrlPr>
          </m:sSubPr>
          <m:e>
            <m:r>
              <w:rPr>
                <w:rFonts w:ascii="Cambria Math" w:hAnsi="Cambria Math"/>
              </w:rPr>
              <m:t>T</m:t>
            </m:r>
          </m:e>
          <m:sub>
            <m:r>
              <w:rPr>
                <w:rFonts w:ascii="Cambria Math" w:hAnsi="Cambria Math"/>
              </w:rPr>
              <m:t>I</m:t>
            </m:r>
          </m:sub>
        </m:sSub>
      </m:oMath>
      <w:r w:rsidRPr="00E15ECC">
        <w:rPr>
          <w:lang w:val="en-US"/>
        </w:rPr>
        <w:t xml:space="preserve"> represent the extraction and injection temperature, respectively and </w:t>
      </w:r>
      <m:oMath>
        <m:r>
          <w:rPr>
            <w:rFonts w:ascii="Cambria Math" w:hAnsi="Cambria Math"/>
            <w:lang w:val="en-US"/>
          </w:rPr>
          <m:t>∆</m:t>
        </m:r>
        <m:r>
          <w:rPr>
            <w:rFonts w:ascii="Cambria Math" w:hAnsi="Cambria Math"/>
          </w:rPr>
          <m:t>t</m:t>
        </m:r>
      </m:oMath>
      <w:r w:rsidRPr="00E15ECC">
        <w:rPr>
          <w:lang w:val="en-US"/>
        </w:rPr>
        <w:t xml:space="preserve"> denotes the considered time of operation for a given geothermal doublet. Since the extraction and injection temperatures keep constant until the thermal breakthrough is established, the produced energy until this time </w:t>
      </w:r>
      <w:proofErr w:type="gramStart"/>
      <w:r w:rsidRPr="00E15ECC">
        <w:rPr>
          <w:lang w:val="en-US"/>
        </w:rPr>
        <w:t>is then given</w:t>
      </w:r>
      <w:proofErr w:type="gramEnd"/>
      <w:r w:rsidRPr="00E15ECC">
        <w:rPr>
          <w:lang w:val="en-US"/>
        </w:rPr>
        <w:t xml:space="preserve"> by</w:t>
      </w:r>
    </w:p>
    <w:p w:rsidR="0020211D" w:rsidRPr="000208DC" w:rsidRDefault="00653FDF" w:rsidP="00DA0A30">
      <w:pPr>
        <w:spacing w:after="160" w:line="480" w:lineRule="auto"/>
        <w:ind w:left="2124" w:firstLine="708"/>
        <w:jc w:val="both"/>
        <w:rPr>
          <w:lang w:val="en-US"/>
        </w:rPr>
      </w:pPr>
      <m:oMath>
        <m:sSub>
          <m:sSubPr>
            <m:ctrlPr>
              <w:rPr>
                <w:rFonts w:ascii="Cambria Math" w:hAnsi="Cambria Math"/>
              </w:rPr>
            </m:ctrlPr>
          </m:sSubPr>
          <m:e>
            <m:r>
              <w:rPr>
                <w:rFonts w:ascii="Cambria Math" w:hAnsi="Cambria Math"/>
              </w:rPr>
              <m:t>E</m:t>
            </m:r>
          </m:e>
          <m:sub>
            <m:r>
              <w:rPr>
                <w:rFonts w:ascii="Cambria Math" w:hAnsi="Cambria Math"/>
              </w:rPr>
              <m:t>TB</m:t>
            </m:r>
          </m:sub>
        </m:sSub>
        <m:r>
          <w:rPr>
            <w:rFonts w:ascii="Cambria Math" w:hAnsi="Cambria Math"/>
            <w:lang w:val="en-US"/>
          </w:rPr>
          <m:t>=</m:t>
        </m:r>
        <m:sSub>
          <m:sSubPr>
            <m:ctrlPr>
              <w:rPr>
                <w:rFonts w:ascii="Cambria Math" w:hAnsi="Cambria Math"/>
              </w:rPr>
            </m:ctrlPr>
          </m:sSubPr>
          <m:e>
            <m:r>
              <w:rPr>
                <w:rFonts w:ascii="Cambria Math" w:hAnsi="Cambria Math"/>
              </w:rPr>
              <m:t>ρ</m:t>
            </m:r>
          </m:e>
          <m:sub>
            <m:r>
              <w:rPr>
                <w:rFonts w:ascii="Cambria Math" w:hAnsi="Cambria Math"/>
              </w:rPr>
              <m:t>F</m:t>
            </m:r>
          </m:sub>
        </m:sSub>
        <m:r>
          <w:rPr>
            <w:rFonts w:ascii="Cambria Math" w:hAnsi="Cambria Math"/>
            <w:lang w:val="en-US"/>
          </w:rPr>
          <m:t>∙</m:t>
        </m:r>
        <m:sSub>
          <m:sSubPr>
            <m:ctrlPr>
              <w:rPr>
                <w:rFonts w:ascii="Cambria Math" w:hAnsi="Cambria Math"/>
              </w:rPr>
            </m:ctrlPr>
          </m:sSubPr>
          <m:e>
            <m:r>
              <w:rPr>
                <w:rFonts w:ascii="Cambria Math" w:hAnsi="Cambria Math"/>
              </w:rPr>
              <m:t>c</m:t>
            </m:r>
          </m:e>
          <m:sub>
            <m:r>
              <w:rPr>
                <w:rFonts w:ascii="Cambria Math" w:hAnsi="Cambria Math"/>
              </w:rPr>
              <m:t>F</m:t>
            </m:r>
          </m:sub>
        </m:sSub>
        <m:r>
          <w:rPr>
            <w:rFonts w:ascii="Cambria Math" w:hAnsi="Cambria Math"/>
            <w:lang w:val="en-US"/>
          </w:rPr>
          <m:t>∙</m:t>
        </m:r>
        <m:r>
          <w:rPr>
            <w:rFonts w:ascii="Cambria Math" w:hAnsi="Cambria Math"/>
          </w:rPr>
          <m:t>Q</m:t>
        </m:r>
        <m:r>
          <w:rPr>
            <w:rFonts w:ascii="Cambria Math" w:hAnsi="Cambria Math"/>
            <w:lang w:val="en-US"/>
          </w:rPr>
          <m:t>∙</m:t>
        </m:r>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E</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rPr>
                  <m:t>I</m:t>
                </m:r>
              </m:sub>
            </m:sSub>
          </m:e>
        </m:d>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rPr>
              <m:t>TB</m:t>
            </m:r>
          </m:sub>
        </m:sSub>
      </m:oMath>
      <w:r w:rsidR="000208DC" w:rsidRPr="000208DC">
        <w:rPr>
          <w:lang w:val="en-US"/>
        </w:rPr>
        <w:t xml:space="preserve"> </w:t>
      </w:r>
      <w:r w:rsidR="00AE1836">
        <w:rPr>
          <w:lang w:val="en-US"/>
        </w:rPr>
        <w:t>.</w:t>
      </w:r>
      <w:r w:rsidR="000208DC">
        <w:rPr>
          <w:lang w:val="en-US"/>
        </w:rPr>
        <w:tab/>
      </w:r>
      <w:r w:rsidR="000208DC">
        <w:rPr>
          <w:lang w:val="en-US"/>
        </w:rPr>
        <w:tab/>
      </w:r>
      <w:r w:rsidR="004013CC">
        <w:rPr>
          <w:lang w:val="en-US"/>
        </w:rPr>
        <w:tab/>
      </w:r>
      <w:r w:rsidR="00AE1836">
        <w:rPr>
          <w:lang w:val="en-US"/>
        </w:rPr>
        <w:t>(15)</w:t>
      </w:r>
    </w:p>
    <w:p w:rsidR="0020211D" w:rsidRPr="00E15ECC" w:rsidRDefault="00AE1836" w:rsidP="00DA0A30">
      <w:pPr>
        <w:spacing w:after="160" w:line="480" w:lineRule="auto"/>
        <w:jc w:val="both"/>
        <w:rPr>
          <w:lang w:val="en-US"/>
        </w:rPr>
      </w:pPr>
      <w:proofErr w:type="spellStart"/>
      <w:r w:rsidRPr="00E15ECC">
        <w:rPr>
          <w:lang w:val="en-US"/>
        </w:rPr>
        <w:t>Jobmann</w:t>
      </w:r>
      <w:proofErr w:type="spellEnd"/>
      <w:r w:rsidRPr="00E15ECC">
        <w:rPr>
          <w:lang w:val="en-US"/>
        </w:rPr>
        <w:t xml:space="preserve"> &amp; Schulz 1989</w:t>
      </w:r>
      <w:r>
        <w:rPr>
          <w:lang w:val="en-US"/>
        </w:rPr>
        <w:t xml:space="preserve"> </w:t>
      </w:r>
      <w:r w:rsidR="0020211D" w:rsidRPr="00E15ECC">
        <w:rPr>
          <w:lang w:val="en-US"/>
        </w:rPr>
        <w:t xml:space="preserve">calculated the additional amount of energy that can be harnessed from the time at which the thermal breakthrough is established until the actual thermal </w:t>
      </w:r>
      <w:proofErr w:type="gramStart"/>
      <w:r w:rsidR="0020211D" w:rsidRPr="00E15ECC">
        <w:rPr>
          <w:lang w:val="en-US"/>
        </w:rPr>
        <w:t>life time</w:t>
      </w:r>
      <w:proofErr w:type="gramEnd"/>
      <w:r w:rsidR="0020211D" w:rsidRPr="00E15ECC">
        <w:rPr>
          <w:lang w:val="en-US"/>
        </w:rPr>
        <w:t xml:space="preserve"> with</w:t>
      </w:r>
    </w:p>
    <w:p w:rsidR="0020211D" w:rsidRPr="000208DC" w:rsidRDefault="00653FDF" w:rsidP="00DA0A30">
      <w:pPr>
        <w:spacing w:after="160" w:line="480" w:lineRule="auto"/>
        <w:ind w:left="2124" w:firstLine="708"/>
        <w:jc w:val="both"/>
        <w:rPr>
          <w:lang w:val="en-US"/>
        </w:rPr>
      </w:pPr>
      <m:oMath>
        <m:sSub>
          <m:sSubPr>
            <m:ctrlPr>
              <w:rPr>
                <w:rFonts w:ascii="Cambria Math" w:hAnsi="Cambria Math"/>
              </w:rPr>
            </m:ctrlPr>
          </m:sSubPr>
          <m:e>
            <m:r>
              <w:rPr>
                <w:rFonts w:ascii="Cambria Math" w:hAnsi="Cambria Math"/>
              </w:rPr>
              <m:t>E</m:t>
            </m:r>
          </m:e>
          <m:sub>
            <m:r>
              <w:rPr>
                <w:rFonts w:ascii="Cambria Math" w:hAnsi="Cambria Math"/>
              </w:rPr>
              <m:t>N</m:t>
            </m:r>
          </m:sub>
        </m:sSub>
        <m:r>
          <w:rPr>
            <w:rFonts w:ascii="Cambria Math" w:hAnsi="Cambria Math"/>
            <w:lang w:val="en-US"/>
          </w:rPr>
          <m:t>=</m:t>
        </m:r>
        <m:sSub>
          <m:sSubPr>
            <m:ctrlPr>
              <w:rPr>
                <w:rFonts w:ascii="Cambria Math" w:hAnsi="Cambria Math"/>
              </w:rPr>
            </m:ctrlPr>
          </m:sSubPr>
          <m:e>
            <m:r>
              <w:rPr>
                <w:rFonts w:ascii="Cambria Math" w:hAnsi="Cambria Math"/>
              </w:rPr>
              <m:t>ρ</m:t>
            </m:r>
          </m:e>
          <m:sub>
            <m:r>
              <w:rPr>
                <w:rFonts w:ascii="Cambria Math" w:hAnsi="Cambria Math"/>
              </w:rPr>
              <m:t>F</m:t>
            </m:r>
          </m:sub>
        </m:sSub>
        <m:r>
          <w:rPr>
            <w:rFonts w:ascii="Cambria Math" w:hAnsi="Cambria Math"/>
            <w:lang w:val="en-US"/>
          </w:rPr>
          <m:t>∙</m:t>
        </m:r>
        <m:sSub>
          <m:sSubPr>
            <m:ctrlPr>
              <w:rPr>
                <w:rFonts w:ascii="Cambria Math" w:hAnsi="Cambria Math"/>
              </w:rPr>
            </m:ctrlPr>
          </m:sSubPr>
          <m:e>
            <m:r>
              <w:rPr>
                <w:rFonts w:ascii="Cambria Math" w:hAnsi="Cambria Math"/>
              </w:rPr>
              <m:t>c</m:t>
            </m:r>
          </m:e>
          <m:sub>
            <m:r>
              <w:rPr>
                <w:rFonts w:ascii="Cambria Math" w:hAnsi="Cambria Math"/>
              </w:rPr>
              <m:t>F</m:t>
            </m:r>
          </m:sub>
        </m:sSub>
        <m:r>
          <w:rPr>
            <w:rFonts w:ascii="Cambria Math" w:hAnsi="Cambria Math"/>
            <w:lang w:val="en-US"/>
          </w:rPr>
          <m:t>∙</m:t>
        </m:r>
        <m:r>
          <w:rPr>
            <w:rFonts w:ascii="Cambria Math" w:hAnsi="Cambria Math"/>
          </w:rPr>
          <m:t>Q</m:t>
        </m:r>
        <m:r>
          <w:rPr>
            <w:rFonts w:ascii="Cambria Math" w:hAnsi="Cambria Math"/>
            <w:lang w:val="en-US"/>
          </w:rPr>
          <m:t>∙</m:t>
        </m:r>
        <m:nary>
          <m:naryPr>
            <m:ctrlPr>
              <w:rPr>
                <w:rFonts w:ascii="Cambria Math" w:hAnsi="Cambria Math"/>
              </w:rPr>
            </m:ctrlPr>
          </m:naryPr>
          <m:sub>
            <m:sSub>
              <m:sSubPr>
                <m:ctrlPr>
                  <w:rPr>
                    <w:rFonts w:ascii="Cambria Math" w:hAnsi="Cambria Math"/>
                  </w:rPr>
                </m:ctrlPr>
              </m:sSubPr>
              <m:e>
                <m:r>
                  <w:rPr>
                    <w:rFonts w:ascii="Cambria Math" w:hAnsi="Cambria Math"/>
                  </w:rPr>
                  <m:t>T</m:t>
                </m:r>
              </m:e>
              <m:sub>
                <m:r>
                  <w:rPr>
                    <w:rFonts w:ascii="Cambria Math" w:hAnsi="Cambria Math"/>
                  </w:rPr>
                  <m:t>TB</m:t>
                </m:r>
              </m:sub>
            </m:sSub>
          </m:sub>
          <m:sup>
            <m:sSub>
              <m:sSubPr>
                <m:ctrlPr>
                  <w:rPr>
                    <w:rFonts w:ascii="Cambria Math" w:hAnsi="Cambria Math"/>
                  </w:rPr>
                </m:ctrlPr>
              </m:sSubPr>
              <m:e>
                <m:r>
                  <w:rPr>
                    <w:rFonts w:ascii="Cambria Math" w:hAnsi="Cambria Math"/>
                  </w:rPr>
                  <m:t>T</m:t>
                </m:r>
              </m:e>
              <m:sub>
                <m:r>
                  <w:rPr>
                    <w:rFonts w:ascii="Cambria Math" w:hAnsi="Cambria Math"/>
                  </w:rPr>
                  <m:t>N</m:t>
                </m:r>
              </m:sub>
            </m:sSub>
          </m:sup>
          <m:e>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E</m:t>
                    </m:r>
                  </m:sub>
                </m:sSub>
                <m:d>
                  <m:dPr>
                    <m:ctrlPr>
                      <w:rPr>
                        <w:rFonts w:ascii="Cambria Math" w:hAnsi="Cambria Math"/>
                      </w:rPr>
                    </m:ctrlPr>
                  </m:dPr>
                  <m:e>
                    <m:r>
                      <w:rPr>
                        <w:rFonts w:ascii="Cambria Math" w:hAnsi="Cambria Math"/>
                      </w:rPr>
                      <m:t>t</m:t>
                    </m:r>
                  </m:e>
                </m:d>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rPr>
                      <m:t>I</m:t>
                    </m:r>
                  </m:sub>
                </m:sSub>
              </m:e>
            </m:d>
            <m:r>
              <w:rPr>
                <w:rFonts w:ascii="Cambria Math" w:hAnsi="Cambria Math"/>
                <w:lang w:val="en-US"/>
              </w:rPr>
              <m:t>∙</m:t>
            </m:r>
            <m:r>
              <w:rPr>
                <w:rFonts w:ascii="Cambria Math" w:hAnsi="Cambria Math"/>
              </w:rPr>
              <m:t>dt</m:t>
            </m:r>
          </m:e>
        </m:nary>
      </m:oMath>
      <w:r w:rsidR="000208DC" w:rsidRPr="000208DC">
        <w:rPr>
          <w:lang w:val="en-US"/>
        </w:rPr>
        <w:tab/>
      </w:r>
      <w:r w:rsidR="00AE1836">
        <w:rPr>
          <w:lang w:val="en-US"/>
        </w:rPr>
        <w:t>.</w:t>
      </w:r>
      <w:r w:rsidR="000208DC" w:rsidRPr="000208DC">
        <w:rPr>
          <w:lang w:val="en-US"/>
        </w:rPr>
        <w:tab/>
      </w:r>
      <w:r w:rsidR="004013CC">
        <w:rPr>
          <w:lang w:val="en-US"/>
        </w:rPr>
        <w:tab/>
      </w:r>
      <w:r w:rsidR="00AE1836">
        <w:rPr>
          <w:lang w:val="en-US"/>
        </w:rPr>
        <w:t>(16)</w:t>
      </w:r>
    </w:p>
    <w:p w:rsidR="000208DC" w:rsidRDefault="0020211D" w:rsidP="00DA0A30">
      <w:pPr>
        <w:spacing w:after="160" w:line="480" w:lineRule="auto"/>
        <w:jc w:val="both"/>
        <w:rPr>
          <w:sz w:val="24"/>
          <w:lang w:val="en-US"/>
        </w:rPr>
      </w:pPr>
      <w:r w:rsidRPr="00E15ECC">
        <w:rPr>
          <w:lang w:val="en-US"/>
        </w:rPr>
        <w:t xml:space="preserve">In this case, the extraction temperature is no longer constant since after the thermal breakthrough the temperature at the production well starts to drop. Many authors </w:t>
      </w:r>
      <w:r w:rsidR="001014D9">
        <w:rPr>
          <w:lang w:val="en-US"/>
        </w:rPr>
        <w:t>(</w:t>
      </w:r>
      <w:r w:rsidR="001014D9" w:rsidRPr="00E15ECC">
        <w:rPr>
          <w:lang w:val="en-US"/>
        </w:rPr>
        <w:t xml:space="preserve">e.g. </w:t>
      </w:r>
      <w:proofErr w:type="spellStart"/>
      <w:r w:rsidR="001014D9" w:rsidRPr="00E15ECC">
        <w:rPr>
          <w:lang w:val="en-US"/>
        </w:rPr>
        <w:t>Jobmann</w:t>
      </w:r>
      <w:proofErr w:type="spellEnd"/>
      <w:r w:rsidR="001014D9" w:rsidRPr="00E15ECC">
        <w:rPr>
          <w:lang w:val="en-US"/>
        </w:rPr>
        <w:t xml:space="preserve"> &amp; Sc</w:t>
      </w:r>
      <w:r w:rsidR="001014D9">
        <w:rPr>
          <w:lang w:val="en-US"/>
        </w:rPr>
        <w:t>hulz 1989; Willems et al. 2017a; Willems et al. 2017</w:t>
      </w:r>
      <w:r w:rsidR="001014D9" w:rsidRPr="00E15ECC">
        <w:rPr>
          <w:lang w:val="en-US"/>
        </w:rPr>
        <w:t>b</w:t>
      </w:r>
      <w:r w:rsidR="0057143B">
        <w:rPr>
          <w:lang w:val="en-US"/>
        </w:rPr>
        <w:t>)</w:t>
      </w:r>
      <w:r w:rsidRPr="00E15ECC">
        <w:rPr>
          <w:lang w:val="en-US"/>
        </w:rPr>
        <w:t xml:space="preserve"> argue that this amount of energy can be significant and depending on the operational flow rates and initial temperature of the </w:t>
      </w:r>
      <w:proofErr w:type="gramStart"/>
      <w:r w:rsidRPr="00E15ECC">
        <w:rPr>
          <w:lang w:val="en-US"/>
        </w:rPr>
        <w:t>aquifer</w:t>
      </w:r>
      <w:proofErr w:type="gramEnd"/>
      <w:r w:rsidRPr="00E15ECC">
        <w:rPr>
          <w:lang w:val="en-US"/>
        </w:rPr>
        <w:t xml:space="preserve"> it can reach several orders of magnitude of the energy extracted until the occurrence of the thermal breakthrough.</w:t>
      </w:r>
    </w:p>
    <w:p w:rsidR="0057143B" w:rsidRDefault="0057143B" w:rsidP="00DA0A30">
      <w:pPr>
        <w:spacing w:after="160" w:line="480" w:lineRule="auto"/>
        <w:jc w:val="both"/>
        <w:rPr>
          <w:sz w:val="24"/>
          <w:lang w:val="en-US"/>
        </w:rPr>
      </w:pPr>
    </w:p>
    <w:p w:rsidR="00E432E9" w:rsidRPr="00F60191" w:rsidRDefault="00C57953" w:rsidP="00DA0A30">
      <w:pPr>
        <w:spacing w:after="160" w:line="480" w:lineRule="auto"/>
        <w:jc w:val="both"/>
        <w:rPr>
          <w:sz w:val="24"/>
          <w:lang w:val="en-US"/>
        </w:rPr>
      </w:pPr>
      <w:r>
        <w:rPr>
          <w:sz w:val="24"/>
          <w:lang w:val="en-US"/>
        </w:rPr>
        <w:t>B</w:t>
      </w:r>
      <w:r w:rsidR="00D76E32" w:rsidRPr="00D76E32">
        <w:rPr>
          <w:sz w:val="24"/>
          <w:lang w:val="en-US"/>
        </w:rPr>
        <w:t>. Model setup showing the principal layout of the geothermal doublet array</w:t>
      </w:r>
      <w:r>
        <w:rPr>
          <w:sz w:val="24"/>
          <w:lang w:val="en-US"/>
        </w:rPr>
        <w:t xml:space="preserve"> (Fig.B.1</w:t>
      </w:r>
      <w:r w:rsidR="00EE5A69">
        <w:rPr>
          <w:sz w:val="24"/>
          <w:lang w:val="en-US"/>
        </w:rPr>
        <w:t>)</w:t>
      </w:r>
    </w:p>
    <w:p w:rsidR="00E432E9" w:rsidRPr="00E15ECC" w:rsidRDefault="00E432E9" w:rsidP="00DA0A30">
      <w:pPr>
        <w:spacing w:after="160" w:line="480" w:lineRule="auto"/>
        <w:jc w:val="both"/>
        <w:rPr>
          <w:lang w:val="en-US"/>
        </w:rPr>
      </w:pPr>
    </w:p>
    <w:p w:rsidR="00E432E9" w:rsidRDefault="00E432E9" w:rsidP="00DA0A30">
      <w:pPr>
        <w:spacing w:after="160" w:line="480" w:lineRule="auto"/>
        <w:jc w:val="center"/>
      </w:pPr>
      <w:r>
        <w:rPr>
          <w:noProof/>
          <w:lang w:val="de-DE"/>
        </w:rPr>
        <w:drawing>
          <wp:inline distT="0" distB="0" distL="114300" distR="114300" wp14:anchorId="67760E34" wp14:editId="370BC406">
            <wp:extent cx="3842657" cy="3690257"/>
            <wp:effectExtent l="0" t="0" r="5715" b="5715"/>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851091" cy="3698357"/>
                    </a:xfrm>
                    <a:prstGeom prst="rect">
                      <a:avLst/>
                    </a:prstGeom>
                    <a:ln/>
                  </pic:spPr>
                </pic:pic>
              </a:graphicData>
            </a:graphic>
          </wp:inline>
        </w:drawing>
      </w:r>
    </w:p>
    <w:p w:rsidR="00E432E9" w:rsidRDefault="00C57953" w:rsidP="00DA0A30">
      <w:pPr>
        <w:spacing w:after="160" w:line="480" w:lineRule="auto"/>
        <w:jc w:val="both"/>
        <w:rPr>
          <w:sz w:val="20"/>
          <w:szCs w:val="20"/>
          <w:lang w:val="en-US"/>
        </w:rPr>
      </w:pPr>
      <w:r>
        <w:rPr>
          <w:b/>
          <w:sz w:val="20"/>
          <w:szCs w:val="20"/>
          <w:lang w:val="en-US"/>
        </w:rPr>
        <w:t>Fig. B</w:t>
      </w:r>
      <w:r w:rsidR="00F60191">
        <w:rPr>
          <w:b/>
          <w:sz w:val="20"/>
          <w:szCs w:val="20"/>
          <w:lang w:val="en-US"/>
        </w:rPr>
        <w:t>.1</w:t>
      </w:r>
      <w:r w:rsidR="00E432E9" w:rsidRPr="00E15ECC">
        <w:rPr>
          <w:b/>
          <w:sz w:val="20"/>
          <w:szCs w:val="20"/>
          <w:lang w:val="en-US"/>
        </w:rPr>
        <w:t>.</w:t>
      </w:r>
      <w:r w:rsidR="00E432E9" w:rsidRPr="00E15ECC">
        <w:rPr>
          <w:sz w:val="20"/>
          <w:szCs w:val="20"/>
          <w:lang w:val="en-US"/>
        </w:rPr>
        <w:t xml:space="preserve"> Layout of the geothermal doublet array used for the numeric simulations. Production well in red (minus symbol) and injection well in blue (plus symbol). Distance between injection and production well </w:t>
      </w:r>
      <w:proofErr w:type="gramStart"/>
      <w:r w:rsidR="00E432E9" w:rsidRPr="00E15ECC">
        <w:rPr>
          <w:sz w:val="20"/>
          <w:szCs w:val="20"/>
          <w:lang w:val="en-US"/>
        </w:rPr>
        <w:t>is labeled</w:t>
      </w:r>
      <w:proofErr w:type="gramEnd"/>
      <w:r w:rsidR="00E432E9" w:rsidRPr="00E15ECC">
        <w:rPr>
          <w:sz w:val="20"/>
          <w:szCs w:val="20"/>
          <w:lang w:val="en-US"/>
        </w:rPr>
        <w:t xml:space="preserve"> as </w:t>
      </w:r>
      <w:r w:rsidR="00E432E9" w:rsidRPr="00E15ECC">
        <w:rPr>
          <w:i/>
          <w:sz w:val="20"/>
          <w:szCs w:val="20"/>
          <w:lang w:val="en-US"/>
        </w:rPr>
        <w:t>2a</w:t>
      </w:r>
      <w:r w:rsidR="00E432E9" w:rsidRPr="00E15ECC">
        <w:rPr>
          <w:sz w:val="20"/>
          <w:szCs w:val="20"/>
          <w:lang w:val="en-US"/>
        </w:rPr>
        <w:t xml:space="preserve">. Number of neighboring wells </w:t>
      </w:r>
      <w:proofErr w:type="gramStart"/>
      <w:r w:rsidR="00E432E9" w:rsidRPr="00E15ECC">
        <w:rPr>
          <w:sz w:val="20"/>
          <w:szCs w:val="20"/>
          <w:lang w:val="en-US"/>
        </w:rPr>
        <w:t>is denoted</w:t>
      </w:r>
      <w:proofErr w:type="gramEnd"/>
      <w:r w:rsidR="00E432E9" w:rsidRPr="00E15ECC">
        <w:rPr>
          <w:sz w:val="20"/>
          <w:szCs w:val="20"/>
          <w:lang w:val="en-US"/>
        </w:rPr>
        <w:t xml:space="preserve"> as </w:t>
      </w:r>
      <w:r w:rsidR="00E432E9" w:rsidRPr="00E15ECC">
        <w:rPr>
          <w:i/>
          <w:sz w:val="20"/>
          <w:szCs w:val="20"/>
          <w:lang w:val="en-US"/>
        </w:rPr>
        <w:t>n</w:t>
      </w:r>
      <w:r w:rsidR="00E432E9" w:rsidRPr="00E15ECC">
        <w:rPr>
          <w:sz w:val="20"/>
          <w:szCs w:val="20"/>
          <w:lang w:val="en-US"/>
        </w:rPr>
        <w:t>.</w:t>
      </w:r>
      <w:bookmarkStart w:id="2" w:name="_atxg2uv41a99" w:colFirst="0" w:colLast="0"/>
      <w:bookmarkEnd w:id="2"/>
    </w:p>
    <w:p w:rsidR="00D76E32" w:rsidRDefault="00D76E32" w:rsidP="00DA0A30">
      <w:pPr>
        <w:spacing w:after="160" w:line="480" w:lineRule="auto"/>
        <w:jc w:val="both"/>
        <w:rPr>
          <w:sz w:val="20"/>
          <w:szCs w:val="20"/>
          <w:lang w:val="en-US"/>
        </w:rPr>
      </w:pPr>
    </w:p>
    <w:p w:rsidR="00D76E32" w:rsidRDefault="00D76E32" w:rsidP="00DA0A30">
      <w:pPr>
        <w:spacing w:after="160" w:line="480" w:lineRule="auto"/>
        <w:jc w:val="both"/>
        <w:rPr>
          <w:b/>
          <w:sz w:val="20"/>
          <w:szCs w:val="20"/>
          <w:lang w:val="en-US"/>
        </w:rPr>
      </w:pPr>
    </w:p>
    <w:p w:rsidR="00C57953" w:rsidRDefault="00C57953" w:rsidP="00DA0A30">
      <w:pPr>
        <w:spacing w:after="160" w:line="480" w:lineRule="auto"/>
        <w:jc w:val="both"/>
        <w:rPr>
          <w:b/>
          <w:sz w:val="20"/>
          <w:szCs w:val="20"/>
          <w:lang w:val="en-US"/>
        </w:rPr>
      </w:pPr>
    </w:p>
    <w:p w:rsidR="00C57953" w:rsidRDefault="00C57953" w:rsidP="00DA0A30">
      <w:pPr>
        <w:spacing w:after="160" w:line="480" w:lineRule="auto"/>
        <w:jc w:val="both"/>
        <w:rPr>
          <w:b/>
          <w:sz w:val="20"/>
          <w:szCs w:val="20"/>
          <w:lang w:val="en-US"/>
        </w:rPr>
      </w:pPr>
    </w:p>
    <w:p w:rsidR="00C57953" w:rsidRDefault="00C57953" w:rsidP="00DA0A30">
      <w:pPr>
        <w:spacing w:after="160" w:line="480" w:lineRule="auto"/>
        <w:jc w:val="both"/>
        <w:rPr>
          <w:b/>
          <w:sz w:val="20"/>
          <w:szCs w:val="20"/>
          <w:lang w:val="en-US"/>
        </w:rPr>
      </w:pPr>
    </w:p>
    <w:p w:rsidR="00C57953" w:rsidRDefault="00C57953" w:rsidP="00DA0A30">
      <w:pPr>
        <w:spacing w:after="160" w:line="480" w:lineRule="auto"/>
        <w:jc w:val="both"/>
        <w:rPr>
          <w:b/>
          <w:sz w:val="20"/>
          <w:szCs w:val="20"/>
          <w:lang w:val="en-US"/>
        </w:rPr>
      </w:pPr>
    </w:p>
    <w:p w:rsidR="00C57953" w:rsidRDefault="00C57953" w:rsidP="00DA0A30">
      <w:pPr>
        <w:spacing w:after="160" w:line="480" w:lineRule="auto"/>
        <w:jc w:val="both"/>
        <w:rPr>
          <w:b/>
          <w:sz w:val="20"/>
          <w:szCs w:val="20"/>
          <w:lang w:val="en-US"/>
        </w:rPr>
      </w:pPr>
    </w:p>
    <w:p w:rsidR="00C57953" w:rsidRDefault="00C57953" w:rsidP="00DA0A30">
      <w:pPr>
        <w:spacing w:after="160" w:line="480" w:lineRule="auto"/>
        <w:jc w:val="both"/>
        <w:rPr>
          <w:b/>
          <w:sz w:val="20"/>
          <w:szCs w:val="20"/>
          <w:lang w:val="en-US"/>
        </w:rPr>
      </w:pPr>
    </w:p>
    <w:p w:rsidR="00F96DB3" w:rsidRPr="00E15ECC" w:rsidRDefault="00C57953" w:rsidP="00DA0A30">
      <w:pPr>
        <w:spacing w:after="160" w:line="480" w:lineRule="auto"/>
        <w:jc w:val="both"/>
        <w:rPr>
          <w:lang w:val="en-US"/>
        </w:rPr>
      </w:pPr>
      <w:r>
        <w:rPr>
          <w:sz w:val="24"/>
          <w:lang w:val="en-US"/>
        </w:rPr>
        <w:t>C</w:t>
      </w:r>
      <w:r w:rsidR="00E432E9" w:rsidRPr="00974F29">
        <w:rPr>
          <w:sz w:val="24"/>
          <w:lang w:val="en-US"/>
        </w:rPr>
        <w:t xml:space="preserve">. </w:t>
      </w:r>
      <w:r w:rsidR="00EE5A69">
        <w:rPr>
          <w:sz w:val="24"/>
          <w:lang w:val="en-US"/>
        </w:rPr>
        <w:t>Different model p</w:t>
      </w:r>
      <w:r w:rsidR="00E432E9" w:rsidRPr="00974F29">
        <w:rPr>
          <w:sz w:val="24"/>
          <w:lang w:val="en-US"/>
        </w:rPr>
        <w:t>arameters</w:t>
      </w:r>
      <w:r w:rsidR="00EE5A69">
        <w:rPr>
          <w:sz w:val="24"/>
          <w:lang w:val="en-US"/>
        </w:rPr>
        <w:t xml:space="preserve"> and t</w:t>
      </w:r>
      <w:r w:rsidR="00AA7F0C">
        <w:rPr>
          <w:sz w:val="24"/>
          <w:lang w:val="en-US"/>
        </w:rPr>
        <w:t>h</w:t>
      </w:r>
      <w:r w:rsidR="00EE5A69">
        <w:rPr>
          <w:sz w:val="24"/>
          <w:lang w:val="en-US"/>
        </w:rPr>
        <w:t>eir combinatio</w:t>
      </w:r>
      <w:r>
        <w:rPr>
          <w:sz w:val="24"/>
          <w:lang w:val="en-US"/>
        </w:rPr>
        <w:t>ns (Tab. C</w:t>
      </w:r>
      <w:r w:rsidR="00F60191">
        <w:rPr>
          <w:sz w:val="24"/>
          <w:lang w:val="en-US"/>
        </w:rPr>
        <w:t>.1-3</w:t>
      </w:r>
      <w:r w:rsidR="00EE5A69">
        <w:rPr>
          <w:sz w:val="24"/>
          <w:lang w:val="en-US"/>
        </w:rPr>
        <w:t>)</w:t>
      </w:r>
      <w:r w:rsidR="00F96DB3" w:rsidRPr="00F96DB3">
        <w:rPr>
          <w:lang w:val="en-US"/>
        </w:rPr>
        <w:t xml:space="preserve"> </w:t>
      </w:r>
    </w:p>
    <w:tbl>
      <w:tblPr>
        <w:tblW w:w="9030" w:type="dxa"/>
        <w:tblBorders>
          <w:top w:val="nil"/>
          <w:left w:val="nil"/>
          <w:bottom w:val="nil"/>
          <w:right w:val="nil"/>
          <w:insideH w:val="nil"/>
          <w:insideV w:val="nil"/>
        </w:tblBorders>
        <w:tblLayout w:type="fixed"/>
        <w:tblLook w:val="0600" w:firstRow="0" w:lastRow="0" w:firstColumn="0" w:lastColumn="0" w:noHBand="1" w:noVBand="1"/>
      </w:tblPr>
      <w:tblGrid>
        <w:gridCol w:w="2085"/>
        <w:gridCol w:w="780"/>
        <w:gridCol w:w="855"/>
        <w:gridCol w:w="1065"/>
        <w:gridCol w:w="4245"/>
      </w:tblGrid>
      <w:tr w:rsidR="00F96DB3" w:rsidTr="00A416F7">
        <w:trPr>
          <w:trHeight w:val="300"/>
        </w:trPr>
        <w:tc>
          <w:tcPr>
            <w:tcW w:w="2085" w:type="dxa"/>
            <w:tcBorders>
              <w:top w:val="single" w:sz="6" w:space="0" w:color="000000"/>
              <w:left w:val="single" w:sz="6" w:space="0" w:color="000000"/>
              <w:bottom w:val="single" w:sz="6" w:space="0" w:color="000000"/>
              <w:right w:val="nil"/>
            </w:tcBorders>
            <w:shd w:val="clear" w:color="auto" w:fill="000000"/>
            <w:tcMar>
              <w:top w:w="0" w:type="dxa"/>
              <w:left w:w="100" w:type="dxa"/>
              <w:bottom w:w="0" w:type="dxa"/>
              <w:right w:w="100" w:type="dxa"/>
            </w:tcMar>
          </w:tcPr>
          <w:p w:rsidR="00F96DB3" w:rsidRDefault="00F96DB3" w:rsidP="00DA0A30">
            <w:pPr>
              <w:spacing w:before="240" w:line="480" w:lineRule="auto"/>
              <w:jc w:val="both"/>
              <w:rPr>
                <w:b/>
                <w:color w:val="FFFFFF"/>
              </w:rPr>
            </w:pPr>
            <w:r>
              <w:rPr>
                <w:b/>
                <w:color w:val="FFFFFF"/>
              </w:rPr>
              <w:t>Parameter</w:t>
            </w:r>
          </w:p>
        </w:tc>
        <w:tc>
          <w:tcPr>
            <w:tcW w:w="780" w:type="dxa"/>
            <w:tcBorders>
              <w:top w:val="single" w:sz="6" w:space="0" w:color="000000"/>
              <w:left w:val="nil"/>
              <w:bottom w:val="single" w:sz="6" w:space="0" w:color="000000"/>
              <w:right w:val="nil"/>
            </w:tcBorders>
            <w:shd w:val="clear" w:color="auto" w:fill="000000"/>
            <w:tcMar>
              <w:top w:w="0" w:type="dxa"/>
              <w:left w:w="100" w:type="dxa"/>
              <w:bottom w:w="0" w:type="dxa"/>
              <w:right w:w="100" w:type="dxa"/>
            </w:tcMar>
          </w:tcPr>
          <w:p w:rsidR="00F96DB3" w:rsidRDefault="00F96DB3" w:rsidP="00DA0A30">
            <w:pPr>
              <w:spacing w:before="240" w:line="480" w:lineRule="auto"/>
              <w:jc w:val="both"/>
              <w:rPr>
                <w:b/>
                <w:color w:val="FFFFFF"/>
              </w:rPr>
            </w:pPr>
            <w:proofErr w:type="spellStart"/>
            <w:r>
              <w:rPr>
                <w:b/>
                <w:color w:val="FFFFFF"/>
              </w:rPr>
              <w:t>Acronym</w:t>
            </w:r>
            <w:proofErr w:type="spellEnd"/>
          </w:p>
        </w:tc>
        <w:tc>
          <w:tcPr>
            <w:tcW w:w="855" w:type="dxa"/>
            <w:tcBorders>
              <w:top w:val="single" w:sz="6" w:space="0" w:color="000000"/>
              <w:left w:val="nil"/>
              <w:bottom w:val="single" w:sz="6" w:space="0" w:color="000000"/>
              <w:right w:val="nil"/>
            </w:tcBorders>
            <w:shd w:val="clear" w:color="auto" w:fill="000000"/>
            <w:tcMar>
              <w:top w:w="0" w:type="dxa"/>
              <w:left w:w="100" w:type="dxa"/>
              <w:bottom w:w="0" w:type="dxa"/>
              <w:right w:w="100" w:type="dxa"/>
            </w:tcMar>
          </w:tcPr>
          <w:p w:rsidR="00F96DB3" w:rsidRDefault="00F96DB3" w:rsidP="00DA0A30">
            <w:pPr>
              <w:spacing w:before="240" w:line="480" w:lineRule="auto"/>
              <w:jc w:val="both"/>
              <w:rPr>
                <w:b/>
                <w:color w:val="FFFFFF"/>
              </w:rPr>
            </w:pPr>
            <w:r>
              <w:rPr>
                <w:b/>
                <w:color w:val="FFFFFF"/>
              </w:rPr>
              <w:t>Value</w:t>
            </w:r>
          </w:p>
        </w:tc>
        <w:tc>
          <w:tcPr>
            <w:tcW w:w="1065" w:type="dxa"/>
            <w:tcBorders>
              <w:top w:val="single" w:sz="6" w:space="0" w:color="000000"/>
              <w:left w:val="nil"/>
              <w:bottom w:val="single" w:sz="6" w:space="0" w:color="000000"/>
              <w:right w:val="nil"/>
            </w:tcBorders>
            <w:shd w:val="clear" w:color="auto" w:fill="000000"/>
            <w:tcMar>
              <w:top w:w="0" w:type="dxa"/>
              <w:left w:w="100" w:type="dxa"/>
              <w:bottom w:w="0" w:type="dxa"/>
              <w:right w:w="100" w:type="dxa"/>
            </w:tcMar>
          </w:tcPr>
          <w:p w:rsidR="00F96DB3" w:rsidRDefault="00F96DB3" w:rsidP="00DA0A30">
            <w:pPr>
              <w:spacing w:before="240" w:line="480" w:lineRule="auto"/>
              <w:jc w:val="both"/>
              <w:rPr>
                <w:b/>
                <w:color w:val="FFFFFF"/>
              </w:rPr>
            </w:pPr>
            <w:r>
              <w:rPr>
                <w:b/>
                <w:color w:val="FFFFFF"/>
              </w:rPr>
              <w:t>Unit</w:t>
            </w:r>
          </w:p>
        </w:tc>
        <w:tc>
          <w:tcPr>
            <w:tcW w:w="4245" w:type="dxa"/>
            <w:tcBorders>
              <w:top w:val="single" w:sz="6" w:space="0" w:color="000000"/>
              <w:left w:val="nil"/>
              <w:bottom w:val="single" w:sz="6" w:space="0" w:color="000000"/>
              <w:right w:val="single" w:sz="6" w:space="0" w:color="000000"/>
            </w:tcBorders>
            <w:shd w:val="clear" w:color="auto" w:fill="000000"/>
            <w:tcMar>
              <w:top w:w="0" w:type="dxa"/>
              <w:left w:w="100" w:type="dxa"/>
              <w:bottom w:w="0" w:type="dxa"/>
              <w:right w:w="100" w:type="dxa"/>
            </w:tcMar>
          </w:tcPr>
          <w:p w:rsidR="00F96DB3" w:rsidRDefault="00F96DB3" w:rsidP="00DA0A30">
            <w:pPr>
              <w:spacing w:before="240" w:line="480" w:lineRule="auto"/>
              <w:jc w:val="right"/>
              <w:rPr>
                <w:b/>
                <w:color w:val="FFFFFF"/>
              </w:rPr>
            </w:pPr>
            <w:r>
              <w:rPr>
                <w:b/>
                <w:color w:val="FFFFFF"/>
              </w:rPr>
              <w:t>Reference</w:t>
            </w:r>
          </w:p>
        </w:tc>
      </w:tr>
      <w:tr w:rsidR="00F96DB3" w:rsidRPr="00DA0A30" w:rsidTr="00A416F7">
        <w:trPr>
          <w:trHeight w:val="300"/>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b/>
              </w:rPr>
            </w:pPr>
            <w:r>
              <w:rPr>
                <w:b/>
              </w:rPr>
              <w:t xml:space="preserve">Geothermal </w:t>
            </w:r>
            <w:proofErr w:type="spellStart"/>
            <w:r>
              <w:rPr>
                <w:b/>
              </w:rPr>
              <w:t>gradient</w:t>
            </w:r>
            <w:proofErr w:type="spellEnd"/>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Γ</w:t>
            </w:r>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0.03</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 xml:space="preserve"> °C/km</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Conservative estimate (based on </w:t>
            </w:r>
            <w:proofErr w:type="spellStart"/>
            <w:r w:rsidRPr="00E15ECC">
              <w:rPr>
                <w:lang w:val="en-US"/>
              </w:rPr>
              <w:t>Wolfgramm</w:t>
            </w:r>
            <w:proofErr w:type="spellEnd"/>
            <w:r w:rsidRPr="00E15ECC">
              <w:rPr>
                <w:lang w:val="en-US"/>
              </w:rPr>
              <w:t xml:space="preserve"> et al. 2014)</w:t>
            </w:r>
          </w:p>
        </w:tc>
      </w:tr>
      <w:tr w:rsidR="00F96DB3" w:rsidRPr="00DA0A30" w:rsidTr="00A416F7">
        <w:trPr>
          <w:trHeight w:val="300"/>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b/>
                <w:lang w:val="en-US"/>
              </w:rPr>
            </w:pPr>
            <w:r w:rsidRPr="006333D7">
              <w:rPr>
                <w:b/>
                <w:lang w:val="en-US"/>
              </w:rPr>
              <w:t>Hydraulic gradient</w:t>
            </w:r>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1</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mm/m</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Conservative estimate (based on natural groundwater flow in relevant porous sedimentary formations of the NGB, e.g. Bauer et al. 2019)</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b/>
              </w:rPr>
            </w:pPr>
            <w:r>
              <w:rPr>
                <w:b/>
              </w:rPr>
              <w:t xml:space="preserve">Surface </w:t>
            </w:r>
            <w:proofErr w:type="spellStart"/>
            <w:r>
              <w:rPr>
                <w:b/>
              </w:rPr>
              <w:t>temperature</w:t>
            </w:r>
            <w:proofErr w:type="spellEnd"/>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vertAlign w:val="subscript"/>
              </w:rPr>
            </w:pPr>
            <w:r>
              <w:t>T</w:t>
            </w:r>
            <w:r>
              <w:rPr>
                <w:vertAlign w:val="subscript"/>
              </w:rPr>
              <w:t>GST</w:t>
            </w:r>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10</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°C</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annual mean value (e.g. </w:t>
            </w:r>
            <w:proofErr w:type="spellStart"/>
            <w:r w:rsidRPr="00E15ECC">
              <w:rPr>
                <w:lang w:val="en-US"/>
              </w:rPr>
              <w:t>Wolfgramm</w:t>
            </w:r>
            <w:proofErr w:type="spellEnd"/>
            <w:r w:rsidRPr="00E15ECC">
              <w:rPr>
                <w:lang w:val="en-US"/>
              </w:rPr>
              <w:t xml:space="preserve"> et al. 2014, </w:t>
            </w:r>
            <w:proofErr w:type="spellStart"/>
            <w:r w:rsidRPr="00E15ECC">
              <w:rPr>
                <w:lang w:val="en-US"/>
              </w:rPr>
              <w:t>Norden</w:t>
            </w:r>
            <w:proofErr w:type="spellEnd"/>
            <w:r w:rsidRPr="00E15ECC">
              <w:rPr>
                <w:lang w:val="en-US"/>
              </w:rPr>
              <w:t xml:space="preserve"> et al. 2020)</w:t>
            </w:r>
          </w:p>
        </w:tc>
      </w:tr>
      <w:tr w:rsidR="00F96DB3" w:rsidRPr="00DA0A30" w:rsidTr="00A416F7">
        <w:trPr>
          <w:trHeight w:val="300"/>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t>Depth</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D</w:t>
            </w:r>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1000</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m</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Average estimation of middle-deep geothermal resources hosted in Mesozoic formations of the NGB </w:t>
            </w:r>
          </w:p>
        </w:tc>
      </w:tr>
      <w:tr w:rsidR="00F96DB3" w:rsidTr="00A416F7">
        <w:trPr>
          <w:trHeight w:val="375"/>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t>Salinity</w:t>
            </w:r>
            <w:proofErr w:type="spellEnd"/>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S</w:t>
            </w:r>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130</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kg/m³ NaCl</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right"/>
            </w:pPr>
            <w:r>
              <w:t xml:space="preserve">Average </w:t>
            </w:r>
            <w:proofErr w:type="spellStart"/>
            <w:r>
              <w:t>estimate</w:t>
            </w:r>
            <w:proofErr w:type="spellEnd"/>
            <w:r>
              <w:t xml:space="preserve"> (</w:t>
            </w:r>
            <w:proofErr w:type="spellStart"/>
            <w:r>
              <w:t>based</w:t>
            </w:r>
            <w:proofErr w:type="spellEnd"/>
            <w:r>
              <w:t xml:space="preserve"> on Schneider et al. 2014, Wolfgramm et al. 2011b)</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r>
              <w:rPr>
                <w:b/>
              </w:rPr>
              <w:t xml:space="preserve">Dynamic </w:t>
            </w:r>
            <w:proofErr w:type="spellStart"/>
            <w:r>
              <w:rPr>
                <w:b/>
              </w:rPr>
              <w:t>viscosity</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Pr="00B1054F" w:rsidRDefault="00F96DB3" w:rsidP="00DA0A30">
            <w:pPr>
              <w:spacing w:before="240" w:line="480" w:lineRule="auto"/>
              <w:jc w:val="both"/>
            </w:pPr>
            <m:oMathPara>
              <m:oMathParaPr>
                <m:jc m:val="left"/>
              </m:oMathParaPr>
              <m:oMath>
                <m:r>
                  <w:rPr>
                    <w:rFonts w:ascii="Cambria Math" w:hAnsi="Cambria Math"/>
                  </w:rPr>
                  <m:t>μ</m:t>
                </m:r>
              </m:oMath>
            </m:oMathPara>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0.0008</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Pa*s</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Average value (based on </w:t>
            </w:r>
            <w:proofErr w:type="spellStart"/>
            <w:r w:rsidRPr="00E15ECC">
              <w:rPr>
                <w:lang w:val="en-US"/>
              </w:rPr>
              <w:t>Kuder</w:t>
            </w:r>
            <w:proofErr w:type="spellEnd"/>
            <w:r w:rsidRPr="00E15ECC">
              <w:rPr>
                <w:lang w:val="en-US"/>
              </w:rPr>
              <w:t xml:space="preserve"> 2018, Meehan 1980)</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b/>
                <w:lang w:val="en-US"/>
              </w:rPr>
            </w:pPr>
            <w:r w:rsidRPr="006333D7">
              <w:rPr>
                <w:b/>
                <w:lang w:val="en-US"/>
              </w:rPr>
              <w:t>Density aquifer</w:t>
            </w:r>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vertAlign w:val="subscript"/>
                <w:lang w:val="en-US"/>
              </w:rPr>
            </w:pPr>
            <w:r>
              <w:t>ρ</w:t>
            </w:r>
            <w:proofErr w:type="spellStart"/>
            <w:r w:rsidRPr="006333D7">
              <w:rPr>
                <w:vertAlign w:val="subscript"/>
                <w:lang w:val="en-US"/>
              </w:rPr>
              <w:t>af</w:t>
            </w:r>
            <w:proofErr w:type="spellEnd"/>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2650</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kg/m³</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mean value (based on </w:t>
            </w:r>
            <w:proofErr w:type="spellStart"/>
            <w:r w:rsidRPr="00E15ECC">
              <w:rPr>
                <w:lang w:val="en-US"/>
              </w:rPr>
              <w:t>Schön</w:t>
            </w:r>
            <w:proofErr w:type="spellEnd"/>
            <w:r w:rsidRPr="00E15ECC">
              <w:rPr>
                <w:lang w:val="en-US"/>
              </w:rPr>
              <w:t xml:space="preserve"> 2015)</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lastRenderedPageBreak/>
              <w:t>Density</w:t>
            </w:r>
            <w:proofErr w:type="spellEnd"/>
            <w:r>
              <w:rPr>
                <w:b/>
              </w:rPr>
              <w:t xml:space="preserve"> </w:t>
            </w:r>
            <w:proofErr w:type="spellStart"/>
            <w:r>
              <w:rPr>
                <w:b/>
              </w:rPr>
              <w:t>aquitard</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vertAlign w:val="subscript"/>
              </w:rPr>
            </w:pPr>
            <w:proofErr w:type="spellStart"/>
            <w:r>
              <w:t>ρ</w:t>
            </w:r>
            <w:r>
              <w:rPr>
                <w:vertAlign w:val="subscript"/>
              </w:rPr>
              <w:t>at</w:t>
            </w:r>
            <w:proofErr w:type="spellEnd"/>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2200</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kg/m³</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average (based on </w:t>
            </w:r>
            <w:proofErr w:type="spellStart"/>
            <w:r w:rsidRPr="00E15ECC">
              <w:rPr>
                <w:lang w:val="en-US"/>
              </w:rPr>
              <w:t>Schön</w:t>
            </w:r>
            <w:proofErr w:type="spellEnd"/>
            <w:r w:rsidRPr="00E15ECC">
              <w:rPr>
                <w:lang w:val="en-US"/>
              </w:rPr>
              <w:t xml:space="preserve"> 2015)</w:t>
            </w:r>
          </w:p>
        </w:tc>
      </w:tr>
      <w:tr w:rsidR="00F96DB3" w:rsidRPr="00DA0A30" w:rsidTr="00A416F7">
        <w:trPr>
          <w:trHeight w:val="300"/>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t>Density</w:t>
            </w:r>
            <w:proofErr w:type="spellEnd"/>
            <w:r>
              <w:rPr>
                <w:b/>
              </w:rPr>
              <w:t xml:space="preserve"> fluid</w:t>
            </w:r>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proofErr w:type="spellStart"/>
            <w:r>
              <w:t>ρf</w:t>
            </w:r>
            <w:proofErr w:type="spellEnd"/>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1080</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kg/m³</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average value for brines in the NGB (based on </w:t>
            </w:r>
            <w:proofErr w:type="spellStart"/>
            <w:r w:rsidRPr="00E15ECC">
              <w:rPr>
                <w:lang w:val="en-US"/>
              </w:rPr>
              <w:t>Kuder</w:t>
            </w:r>
            <w:proofErr w:type="spellEnd"/>
            <w:r w:rsidRPr="00E15ECC">
              <w:rPr>
                <w:lang w:val="en-US"/>
              </w:rPr>
              <w:t xml:space="preserve"> 2018, Rowe and Chou 1970)</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r>
              <w:rPr>
                <w:b/>
              </w:rPr>
              <w:t xml:space="preserve">Thermal </w:t>
            </w:r>
            <w:proofErr w:type="spellStart"/>
            <w:r>
              <w:rPr>
                <w:b/>
              </w:rPr>
              <w:t>conductivity</w:t>
            </w:r>
            <w:proofErr w:type="spellEnd"/>
            <w:r>
              <w:rPr>
                <w:b/>
              </w:rPr>
              <w:t xml:space="preserve"> </w:t>
            </w:r>
            <w:proofErr w:type="spellStart"/>
            <w:r>
              <w:rPr>
                <w:b/>
              </w:rPr>
              <w:t>aquifer</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vertAlign w:val="subscript"/>
              </w:rPr>
            </w:pPr>
            <w:proofErr w:type="spellStart"/>
            <w:r>
              <w:t>λ</w:t>
            </w:r>
            <w:r>
              <w:rPr>
                <w:vertAlign w:val="subscript"/>
              </w:rPr>
              <w:t>af</w:t>
            </w:r>
            <w:proofErr w:type="spellEnd"/>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2.5</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W/(m*K)</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average  (based on </w:t>
            </w:r>
            <w:proofErr w:type="spellStart"/>
            <w:r w:rsidRPr="00E15ECC">
              <w:rPr>
                <w:lang w:val="en-US"/>
              </w:rPr>
              <w:t>Emirov</w:t>
            </w:r>
            <w:proofErr w:type="spellEnd"/>
            <w:r w:rsidRPr="00E15ECC">
              <w:rPr>
                <w:lang w:val="en-US"/>
              </w:rPr>
              <w:t xml:space="preserve"> and </w:t>
            </w:r>
            <w:proofErr w:type="spellStart"/>
            <w:r w:rsidRPr="00E15ECC">
              <w:rPr>
                <w:lang w:val="en-US"/>
              </w:rPr>
              <w:t>Ramazanova</w:t>
            </w:r>
            <w:proofErr w:type="spellEnd"/>
            <w:r w:rsidRPr="00E15ECC">
              <w:rPr>
                <w:lang w:val="en-US"/>
              </w:rPr>
              <w:t xml:space="preserve"> 2007, Fuchs et al. 2015)</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b/>
                <w:lang w:val="en-US"/>
              </w:rPr>
            </w:pPr>
            <w:r w:rsidRPr="006333D7">
              <w:rPr>
                <w:b/>
                <w:lang w:val="en-US"/>
              </w:rPr>
              <w:t xml:space="preserve">Thermal conductivity </w:t>
            </w:r>
            <w:proofErr w:type="spellStart"/>
            <w:r w:rsidRPr="006333D7">
              <w:rPr>
                <w:b/>
                <w:lang w:val="en-US"/>
              </w:rPr>
              <w:t>aquitard</w:t>
            </w:r>
            <w:proofErr w:type="spellEnd"/>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vertAlign w:val="subscript"/>
                <w:lang w:val="en-US"/>
              </w:rPr>
            </w:pPr>
            <w:r>
              <w:t>λ</w:t>
            </w:r>
            <w:r w:rsidRPr="006333D7">
              <w:rPr>
                <w:vertAlign w:val="subscript"/>
                <w:lang w:val="en-US"/>
              </w:rPr>
              <w:t>at</w:t>
            </w:r>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2</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W/(m*K)</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average  (based on </w:t>
            </w:r>
            <w:proofErr w:type="spellStart"/>
            <w:r w:rsidRPr="00E15ECC">
              <w:rPr>
                <w:lang w:val="en-US"/>
              </w:rPr>
              <w:t>Emirov</w:t>
            </w:r>
            <w:proofErr w:type="spellEnd"/>
            <w:r w:rsidRPr="00E15ECC">
              <w:rPr>
                <w:lang w:val="en-US"/>
              </w:rPr>
              <w:t xml:space="preserve"> and </w:t>
            </w:r>
            <w:proofErr w:type="spellStart"/>
            <w:r w:rsidRPr="00E15ECC">
              <w:rPr>
                <w:lang w:val="en-US"/>
              </w:rPr>
              <w:t>Ramazanova</w:t>
            </w:r>
            <w:proofErr w:type="spellEnd"/>
            <w:r w:rsidRPr="00E15ECC">
              <w:rPr>
                <w:lang w:val="en-US"/>
              </w:rPr>
              <w:t xml:space="preserve"> 2007, Fuchs et al. 2015)</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r>
              <w:rPr>
                <w:b/>
              </w:rPr>
              <w:t xml:space="preserve">Thermal </w:t>
            </w:r>
            <w:proofErr w:type="spellStart"/>
            <w:r>
              <w:rPr>
                <w:b/>
              </w:rPr>
              <w:t>conductivity</w:t>
            </w:r>
            <w:proofErr w:type="spellEnd"/>
            <w:r>
              <w:rPr>
                <w:b/>
              </w:rPr>
              <w:t xml:space="preserve"> fluid</w:t>
            </w:r>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vertAlign w:val="subscript"/>
              </w:rPr>
            </w:pPr>
            <w:proofErr w:type="spellStart"/>
            <w:r>
              <w:t>λ</w:t>
            </w:r>
            <w:r>
              <w:rPr>
                <w:vertAlign w:val="subscript"/>
              </w:rPr>
              <w:t>f</w:t>
            </w:r>
            <w:proofErr w:type="spellEnd"/>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0.615</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W/(m*K)</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Average estimation (based on </w:t>
            </w:r>
            <w:proofErr w:type="spellStart"/>
            <w:r w:rsidRPr="00E15ECC">
              <w:rPr>
                <w:lang w:val="en-US"/>
              </w:rPr>
              <w:t>Kuder</w:t>
            </w:r>
            <w:proofErr w:type="spellEnd"/>
            <w:r w:rsidRPr="00E15ECC">
              <w:rPr>
                <w:lang w:val="en-US"/>
              </w:rPr>
              <w:t xml:space="preserve"> 2018, Phillips et al. 1981)</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b/>
                <w:lang w:val="en-US"/>
              </w:rPr>
            </w:pPr>
            <w:r w:rsidRPr="006333D7">
              <w:rPr>
                <w:b/>
                <w:lang w:val="en-US"/>
              </w:rPr>
              <w:t>Specific heat capacity aquifer</w:t>
            </w:r>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vertAlign w:val="subscript"/>
                <w:lang w:val="en-US"/>
              </w:rPr>
            </w:pPr>
            <w:proofErr w:type="spellStart"/>
            <w:r w:rsidRPr="006333D7">
              <w:rPr>
                <w:lang w:val="en-US"/>
              </w:rPr>
              <w:t>c</w:t>
            </w:r>
            <w:r w:rsidRPr="006333D7">
              <w:rPr>
                <w:vertAlign w:val="subscript"/>
                <w:lang w:val="en-US"/>
              </w:rPr>
              <w:t>af</w:t>
            </w:r>
            <w:proofErr w:type="spellEnd"/>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800</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J/(kg*K)</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Average estimation (based on </w:t>
            </w:r>
            <w:proofErr w:type="spellStart"/>
            <w:r w:rsidRPr="00E15ECC">
              <w:rPr>
                <w:lang w:val="en-US"/>
              </w:rPr>
              <w:t>Abdulagaov</w:t>
            </w:r>
            <w:proofErr w:type="spellEnd"/>
            <w:r w:rsidRPr="00E15ECC">
              <w:rPr>
                <w:lang w:val="en-US"/>
              </w:rPr>
              <w:t xml:space="preserve"> et al. 2019, Somerton 1992)</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t>Specific</w:t>
            </w:r>
            <w:proofErr w:type="spellEnd"/>
            <w:r>
              <w:rPr>
                <w:b/>
              </w:rPr>
              <w:t xml:space="preserve"> </w:t>
            </w:r>
            <w:proofErr w:type="spellStart"/>
            <w:r>
              <w:rPr>
                <w:b/>
              </w:rPr>
              <w:t>heat</w:t>
            </w:r>
            <w:proofErr w:type="spellEnd"/>
            <w:r>
              <w:rPr>
                <w:b/>
              </w:rPr>
              <w:t xml:space="preserve"> </w:t>
            </w:r>
            <w:proofErr w:type="spellStart"/>
            <w:r>
              <w:rPr>
                <w:b/>
              </w:rPr>
              <w:t>capacity</w:t>
            </w:r>
            <w:proofErr w:type="spellEnd"/>
            <w:r>
              <w:rPr>
                <w:b/>
              </w:rPr>
              <w:t xml:space="preserve"> </w:t>
            </w:r>
            <w:proofErr w:type="spellStart"/>
            <w:r>
              <w:rPr>
                <w:b/>
              </w:rPr>
              <w:t>aquitard</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vertAlign w:val="subscript"/>
              </w:rPr>
            </w:pPr>
            <w:proofErr w:type="spellStart"/>
            <w:r>
              <w:t>c</w:t>
            </w:r>
            <w:r>
              <w:rPr>
                <w:vertAlign w:val="subscript"/>
              </w:rPr>
              <w:t>at</w:t>
            </w:r>
            <w:proofErr w:type="spellEnd"/>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850</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J/(kg*K)</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Average estimation (based on </w:t>
            </w:r>
            <w:proofErr w:type="spellStart"/>
            <w:r w:rsidRPr="00E15ECC">
              <w:rPr>
                <w:lang w:val="en-US"/>
              </w:rPr>
              <w:t>Abdulagaov</w:t>
            </w:r>
            <w:proofErr w:type="spellEnd"/>
            <w:r w:rsidRPr="00E15ECC">
              <w:rPr>
                <w:lang w:val="en-US"/>
              </w:rPr>
              <w:t xml:space="preserve"> et al. 2019, Somerton 1992)</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t>Specific</w:t>
            </w:r>
            <w:proofErr w:type="spellEnd"/>
            <w:r>
              <w:rPr>
                <w:b/>
              </w:rPr>
              <w:t xml:space="preserve"> </w:t>
            </w:r>
            <w:proofErr w:type="spellStart"/>
            <w:r>
              <w:rPr>
                <w:b/>
              </w:rPr>
              <w:t>heat</w:t>
            </w:r>
            <w:proofErr w:type="spellEnd"/>
            <w:r>
              <w:rPr>
                <w:b/>
              </w:rPr>
              <w:t xml:space="preserve"> </w:t>
            </w:r>
            <w:proofErr w:type="spellStart"/>
            <w:r>
              <w:rPr>
                <w:b/>
              </w:rPr>
              <w:t>capacity</w:t>
            </w:r>
            <w:proofErr w:type="spellEnd"/>
            <w:r>
              <w:rPr>
                <w:b/>
              </w:rPr>
              <w:t xml:space="preserve"> fluid</w:t>
            </w:r>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vertAlign w:val="subscript"/>
              </w:rPr>
            </w:pPr>
            <w:r>
              <w:t>c</w:t>
            </w:r>
            <w:r>
              <w:rPr>
                <w:vertAlign w:val="subscript"/>
              </w:rPr>
              <w:t>f</w:t>
            </w:r>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3635</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J/(kg*K)</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Average estimation (based on </w:t>
            </w:r>
            <w:proofErr w:type="spellStart"/>
            <w:r w:rsidRPr="00E15ECC">
              <w:rPr>
                <w:lang w:val="en-US"/>
              </w:rPr>
              <w:t>Kuder</w:t>
            </w:r>
            <w:proofErr w:type="spellEnd"/>
            <w:r w:rsidRPr="00E15ECC">
              <w:rPr>
                <w:lang w:val="en-US"/>
              </w:rPr>
              <w:t xml:space="preserve"> 2018, Phillips et al. 1981)</w:t>
            </w:r>
          </w:p>
        </w:tc>
      </w:tr>
      <w:tr w:rsidR="00F96DB3" w:rsidRPr="00DA0A30" w:rsidTr="00A416F7">
        <w:trPr>
          <w:trHeight w:val="330"/>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r>
              <w:rPr>
                <w:b/>
              </w:rPr>
              <w:t xml:space="preserve">Filter </w:t>
            </w:r>
            <w:proofErr w:type="spellStart"/>
            <w:r>
              <w:rPr>
                <w:b/>
              </w:rPr>
              <w:t>line</w:t>
            </w:r>
            <w:proofErr w:type="spellEnd"/>
            <w:r>
              <w:rPr>
                <w:b/>
              </w:rPr>
              <w:t xml:space="preserve"> </w:t>
            </w:r>
            <w:proofErr w:type="spellStart"/>
            <w:r>
              <w:rPr>
                <w:b/>
              </w:rPr>
              <w:t>length</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rPr>
                <w:rFonts w:ascii="Cambria Math" w:eastAsia="Cambria Math" w:hAnsi="Cambria Math" w:cs="Cambria Math"/>
              </w:rPr>
              <w:t>≙</w:t>
            </w:r>
            <w:r>
              <w:t xml:space="preserve"> M</w:t>
            </w:r>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rPr>
                <w:rFonts w:ascii="Cambria Math" w:eastAsia="Cambria Math" w:hAnsi="Cambria Math" w:cs="Cambria Math"/>
              </w:rPr>
              <w:t>≙</w:t>
            </w:r>
            <w:r>
              <w:t xml:space="preserve"> M</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m</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Full filter line is equivalent to reservoir thickness</w:t>
            </w:r>
          </w:p>
        </w:tc>
      </w:tr>
      <w:tr w:rsidR="00F96DB3" w:rsidTr="00A416F7">
        <w:trPr>
          <w:trHeight w:val="300"/>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t>Borehole</w:t>
            </w:r>
            <w:proofErr w:type="spellEnd"/>
            <w:r>
              <w:rPr>
                <w:b/>
              </w:rPr>
              <w:t xml:space="preserve"> </w:t>
            </w:r>
            <w:proofErr w:type="spellStart"/>
            <w:r>
              <w:rPr>
                <w:b/>
              </w:rPr>
              <w:t>inclination</w:t>
            </w:r>
            <w:proofErr w:type="spellEnd"/>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α</w:t>
            </w:r>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90</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pPr>
            <w:r>
              <w:t>°</w:t>
            </w:r>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right"/>
            </w:pPr>
            <w:proofErr w:type="spellStart"/>
            <w:r>
              <w:t>Vertical</w:t>
            </w:r>
            <w:proofErr w:type="spellEnd"/>
            <w:r>
              <w:t xml:space="preserve"> </w:t>
            </w:r>
            <w:proofErr w:type="spellStart"/>
            <w:r>
              <w:t>borehole</w:t>
            </w:r>
            <w:proofErr w:type="spellEnd"/>
          </w:p>
        </w:tc>
      </w:tr>
      <w:tr w:rsidR="00F96DB3" w:rsidTr="00A416F7">
        <w:trPr>
          <w:trHeight w:val="300"/>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lastRenderedPageBreak/>
              <w:t>Bore</w:t>
            </w:r>
            <w:proofErr w:type="spellEnd"/>
            <w:r>
              <w:rPr>
                <w:b/>
              </w:rPr>
              <w:t xml:space="preserve"> hole </w:t>
            </w:r>
            <w:proofErr w:type="spellStart"/>
            <w:r>
              <w:rPr>
                <w:b/>
              </w:rPr>
              <w:t>radius</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r</w:t>
            </w:r>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0,16</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both"/>
            </w:pPr>
            <w:r>
              <w:t>m</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Default="00F96DB3" w:rsidP="00DA0A30">
            <w:pPr>
              <w:spacing w:before="240" w:line="480" w:lineRule="auto"/>
              <w:jc w:val="right"/>
            </w:pPr>
            <w:proofErr w:type="spellStart"/>
            <w:r>
              <w:t>Typical</w:t>
            </w:r>
            <w:proofErr w:type="spellEnd"/>
            <w:r>
              <w:t xml:space="preserve"> </w:t>
            </w:r>
            <w:proofErr w:type="spellStart"/>
            <w:r>
              <w:t>average</w:t>
            </w:r>
            <w:proofErr w:type="spellEnd"/>
            <w:r>
              <w:t xml:space="preserve"> in </w:t>
            </w:r>
            <w:proofErr w:type="spellStart"/>
            <w:r>
              <w:t>engineering</w:t>
            </w:r>
            <w:proofErr w:type="spellEnd"/>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b/>
              </w:rPr>
            </w:pPr>
            <w:proofErr w:type="spellStart"/>
            <w:r>
              <w:rPr>
                <w:b/>
              </w:rPr>
              <w:t>Permeability</w:t>
            </w:r>
            <w:proofErr w:type="spellEnd"/>
            <w:r>
              <w:rPr>
                <w:b/>
              </w:rPr>
              <w:t xml:space="preserve"> </w:t>
            </w:r>
            <w:proofErr w:type="spellStart"/>
            <w:r>
              <w:rPr>
                <w:b/>
              </w:rPr>
              <w:t>aquitard</w:t>
            </w:r>
            <w:proofErr w:type="spellEnd"/>
          </w:p>
        </w:tc>
        <w:tc>
          <w:tcPr>
            <w:tcW w:w="7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Default="00F96DB3" w:rsidP="00DA0A30">
            <w:pPr>
              <w:spacing w:before="240" w:line="480" w:lineRule="auto"/>
              <w:jc w:val="both"/>
              <w:rPr>
                <w:vertAlign w:val="subscript"/>
              </w:rPr>
            </w:pPr>
            <w:proofErr w:type="spellStart"/>
            <w:r>
              <w:t>Κ</w:t>
            </w:r>
            <w:r>
              <w:rPr>
                <w:vertAlign w:val="subscript"/>
              </w:rPr>
              <w:t>at</w:t>
            </w:r>
            <w:proofErr w:type="spellEnd"/>
          </w:p>
        </w:tc>
        <w:tc>
          <w:tcPr>
            <w:tcW w:w="85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0.1</w:t>
            </w:r>
          </w:p>
        </w:tc>
        <w:tc>
          <w:tcPr>
            <w:tcW w:w="106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6333D7" w:rsidRDefault="00F96DB3" w:rsidP="00DA0A30">
            <w:pPr>
              <w:spacing w:before="240" w:line="480" w:lineRule="auto"/>
              <w:jc w:val="both"/>
              <w:rPr>
                <w:lang w:val="en-US"/>
              </w:rPr>
            </w:pPr>
            <w:proofErr w:type="spellStart"/>
            <w:r w:rsidRPr="006333D7">
              <w:rPr>
                <w:lang w:val="en-US"/>
              </w:rPr>
              <w:t>mD</w:t>
            </w:r>
            <w:proofErr w:type="spellEnd"/>
          </w:p>
        </w:tc>
        <w:tc>
          <w:tcPr>
            <w:tcW w:w="4245"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average (based on </w:t>
            </w:r>
            <w:proofErr w:type="spellStart"/>
            <w:r w:rsidRPr="00E15ECC">
              <w:rPr>
                <w:lang w:val="en-US"/>
              </w:rPr>
              <w:t>Wolfgramm</w:t>
            </w:r>
            <w:proofErr w:type="spellEnd"/>
            <w:r w:rsidRPr="00E15ECC">
              <w:rPr>
                <w:lang w:val="en-US"/>
              </w:rPr>
              <w:t xml:space="preserve"> et al. 2014,  Franz et al. 2018)</w:t>
            </w:r>
          </w:p>
        </w:tc>
      </w:tr>
      <w:tr w:rsidR="00F96DB3" w:rsidRPr="00DA0A30" w:rsidTr="00A416F7">
        <w:trPr>
          <w:trHeight w:val="375"/>
        </w:trPr>
        <w:tc>
          <w:tcPr>
            <w:tcW w:w="2085" w:type="dxa"/>
            <w:tcBorders>
              <w:top w:val="nil"/>
              <w:left w:val="single" w:sz="6" w:space="0" w:color="666666"/>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b/>
                <w:lang w:val="en-US"/>
              </w:rPr>
            </w:pPr>
            <w:r w:rsidRPr="006333D7">
              <w:rPr>
                <w:b/>
                <w:lang w:val="en-US"/>
              </w:rPr>
              <w:t xml:space="preserve">Porosity </w:t>
            </w:r>
            <w:proofErr w:type="spellStart"/>
            <w:r w:rsidRPr="006333D7">
              <w:rPr>
                <w:b/>
                <w:lang w:val="en-US"/>
              </w:rPr>
              <w:t>aquitard</w:t>
            </w:r>
            <w:proofErr w:type="spellEnd"/>
          </w:p>
        </w:tc>
        <w:tc>
          <w:tcPr>
            <w:tcW w:w="780"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vertAlign w:val="subscript"/>
                <w:lang w:val="en-US"/>
              </w:rPr>
            </w:pPr>
            <w:r>
              <w:t>Φ</w:t>
            </w:r>
            <w:r w:rsidRPr="006333D7">
              <w:rPr>
                <w:vertAlign w:val="subscript"/>
                <w:lang w:val="en-US"/>
              </w:rPr>
              <w:t>at</w:t>
            </w:r>
          </w:p>
        </w:tc>
        <w:tc>
          <w:tcPr>
            <w:tcW w:w="85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0</w:t>
            </w:r>
            <w:r>
              <w:rPr>
                <w:lang w:val="en-US"/>
              </w:rPr>
              <w:t>.</w:t>
            </w:r>
            <w:r w:rsidRPr="006333D7">
              <w:rPr>
                <w:lang w:val="en-US"/>
              </w:rPr>
              <w:t>2</w:t>
            </w:r>
          </w:p>
        </w:tc>
        <w:tc>
          <w:tcPr>
            <w:tcW w:w="1065" w:type="dxa"/>
            <w:tcBorders>
              <w:top w:val="nil"/>
              <w:left w:val="nil"/>
              <w:bottom w:val="single" w:sz="6" w:space="0" w:color="666666"/>
              <w:right w:val="single" w:sz="6" w:space="0" w:color="666666"/>
            </w:tcBorders>
            <w:tcMar>
              <w:top w:w="0" w:type="dxa"/>
              <w:left w:w="100" w:type="dxa"/>
              <w:bottom w:w="0" w:type="dxa"/>
              <w:right w:w="100" w:type="dxa"/>
            </w:tcMar>
          </w:tcPr>
          <w:p w:rsidR="00F96DB3" w:rsidRPr="006333D7" w:rsidRDefault="00F96DB3" w:rsidP="00DA0A30">
            <w:pPr>
              <w:spacing w:before="240" w:line="480" w:lineRule="auto"/>
              <w:jc w:val="both"/>
              <w:rPr>
                <w:lang w:val="en-US"/>
              </w:rPr>
            </w:pPr>
            <w:r w:rsidRPr="006333D7">
              <w:rPr>
                <w:lang w:val="en-US"/>
              </w:rPr>
              <w:t>-</w:t>
            </w:r>
          </w:p>
        </w:tc>
        <w:tc>
          <w:tcPr>
            <w:tcW w:w="4245" w:type="dxa"/>
            <w:tcBorders>
              <w:top w:val="nil"/>
              <w:left w:val="nil"/>
              <w:bottom w:val="single" w:sz="6" w:space="0" w:color="666666"/>
              <w:right w:val="single" w:sz="6" w:space="0" w:color="666666"/>
            </w:tcBorders>
            <w:tcMar>
              <w:top w:w="0" w:type="dxa"/>
              <w:left w:w="100" w:type="dxa"/>
              <w:bottom w:w="0" w:type="dxa"/>
              <w:right w:w="100" w:type="dxa"/>
            </w:tcMar>
          </w:tcPr>
          <w:p w:rsidR="00F96DB3" w:rsidRPr="00E15ECC" w:rsidRDefault="00F96DB3" w:rsidP="00DA0A30">
            <w:pPr>
              <w:spacing w:before="240" w:line="480" w:lineRule="auto"/>
              <w:jc w:val="right"/>
              <w:rPr>
                <w:lang w:val="en-US"/>
              </w:rPr>
            </w:pPr>
            <w:r w:rsidRPr="00E15ECC">
              <w:rPr>
                <w:lang w:val="en-US"/>
              </w:rPr>
              <w:t xml:space="preserve">Typical average (based on </w:t>
            </w:r>
            <w:proofErr w:type="spellStart"/>
            <w:r w:rsidRPr="00E15ECC">
              <w:rPr>
                <w:lang w:val="en-US"/>
              </w:rPr>
              <w:t>Wolfgramm</w:t>
            </w:r>
            <w:proofErr w:type="spellEnd"/>
            <w:r w:rsidRPr="00E15ECC">
              <w:rPr>
                <w:lang w:val="en-US"/>
              </w:rPr>
              <w:t xml:space="preserve"> et al. 2014,  Franz et al. 2018)</w:t>
            </w:r>
          </w:p>
        </w:tc>
      </w:tr>
    </w:tbl>
    <w:p w:rsidR="00E432E9" w:rsidRPr="00AE0716" w:rsidRDefault="00F96DB3" w:rsidP="00DA0A30">
      <w:pPr>
        <w:spacing w:after="160" w:line="480" w:lineRule="auto"/>
        <w:jc w:val="both"/>
        <w:rPr>
          <w:sz w:val="20"/>
          <w:szCs w:val="20"/>
          <w:lang w:val="en-US"/>
        </w:rPr>
      </w:pPr>
      <w:r w:rsidRPr="00AE0716">
        <w:rPr>
          <w:b/>
          <w:sz w:val="20"/>
          <w:szCs w:val="20"/>
          <w:lang w:val="en-US"/>
        </w:rPr>
        <w:t xml:space="preserve"> </w:t>
      </w:r>
      <w:r w:rsidR="00E432E9" w:rsidRPr="00AE0716">
        <w:rPr>
          <w:b/>
          <w:sz w:val="20"/>
          <w:szCs w:val="20"/>
          <w:lang w:val="en-US"/>
        </w:rPr>
        <w:t xml:space="preserve">Tab. </w:t>
      </w:r>
      <w:r w:rsidR="00C57953">
        <w:rPr>
          <w:b/>
          <w:sz w:val="20"/>
          <w:szCs w:val="20"/>
          <w:lang w:val="en-US"/>
        </w:rPr>
        <w:t>C</w:t>
      </w:r>
      <w:r w:rsidR="00F60191">
        <w:rPr>
          <w:b/>
          <w:sz w:val="20"/>
          <w:szCs w:val="20"/>
          <w:lang w:val="en-US"/>
        </w:rPr>
        <w:t>.1</w:t>
      </w:r>
      <w:r w:rsidR="00E432E9" w:rsidRPr="00AE0716">
        <w:rPr>
          <w:b/>
          <w:sz w:val="20"/>
          <w:szCs w:val="20"/>
          <w:lang w:val="en-US"/>
        </w:rPr>
        <w:t>.</w:t>
      </w:r>
      <w:r w:rsidR="00E432E9" w:rsidRPr="00AE0716">
        <w:rPr>
          <w:sz w:val="20"/>
          <w:szCs w:val="20"/>
          <w:lang w:val="en-US"/>
        </w:rPr>
        <w:t xml:space="preserve"> General model parameters.</w:t>
      </w:r>
    </w:p>
    <w:p w:rsidR="00E432E9" w:rsidRPr="00FA6A19" w:rsidRDefault="00E432E9" w:rsidP="00DA0A30">
      <w:pPr>
        <w:spacing w:before="240" w:after="240" w:line="480" w:lineRule="auto"/>
        <w:jc w:val="both"/>
        <w:rPr>
          <w:sz w:val="24"/>
          <w:lang w:val="en-US"/>
        </w:rPr>
      </w:pPr>
    </w:p>
    <w:tbl>
      <w:tblPr>
        <w:tblW w:w="9090" w:type="dxa"/>
        <w:tblBorders>
          <w:top w:val="nil"/>
          <w:left w:val="nil"/>
          <w:bottom w:val="nil"/>
          <w:right w:val="nil"/>
          <w:insideH w:val="nil"/>
          <w:insideV w:val="nil"/>
        </w:tblBorders>
        <w:tblLayout w:type="fixed"/>
        <w:tblLook w:val="0600" w:firstRow="0" w:lastRow="0" w:firstColumn="0" w:lastColumn="0" w:noHBand="1" w:noVBand="1"/>
      </w:tblPr>
      <w:tblGrid>
        <w:gridCol w:w="1201"/>
        <w:gridCol w:w="1620"/>
        <w:gridCol w:w="1789"/>
        <w:gridCol w:w="4480"/>
      </w:tblGrid>
      <w:tr w:rsidR="00E432E9" w:rsidTr="00974F29">
        <w:trPr>
          <w:trHeight w:val="300"/>
        </w:trPr>
        <w:tc>
          <w:tcPr>
            <w:tcW w:w="1200" w:type="dxa"/>
            <w:tcBorders>
              <w:top w:val="single" w:sz="6" w:space="0" w:color="000000"/>
              <w:left w:val="single" w:sz="6" w:space="0" w:color="000000"/>
              <w:bottom w:val="single" w:sz="6" w:space="0" w:color="000000"/>
              <w:right w:val="nil"/>
            </w:tcBorders>
            <w:shd w:val="clear" w:color="auto" w:fill="000000"/>
            <w:tcMar>
              <w:top w:w="0" w:type="dxa"/>
              <w:left w:w="100" w:type="dxa"/>
              <w:bottom w:w="0" w:type="dxa"/>
              <w:right w:w="100" w:type="dxa"/>
            </w:tcMar>
          </w:tcPr>
          <w:p w:rsidR="00E432E9" w:rsidRDefault="00E432E9" w:rsidP="00DA0A30">
            <w:pPr>
              <w:spacing w:before="240" w:line="480" w:lineRule="auto"/>
              <w:jc w:val="both"/>
              <w:rPr>
                <w:b/>
                <w:color w:val="FFFFFF"/>
              </w:rPr>
            </w:pPr>
            <w:r>
              <w:rPr>
                <w:b/>
                <w:color w:val="FFFFFF"/>
              </w:rPr>
              <w:t>Scenario</w:t>
            </w:r>
          </w:p>
        </w:tc>
        <w:tc>
          <w:tcPr>
            <w:tcW w:w="1620" w:type="dxa"/>
            <w:tcBorders>
              <w:top w:val="single" w:sz="6" w:space="0" w:color="000000"/>
              <w:left w:val="nil"/>
              <w:bottom w:val="single" w:sz="6" w:space="0" w:color="000000"/>
              <w:right w:val="nil"/>
            </w:tcBorders>
            <w:shd w:val="clear" w:color="auto" w:fill="000000"/>
            <w:tcMar>
              <w:top w:w="0" w:type="dxa"/>
              <w:left w:w="100" w:type="dxa"/>
              <w:bottom w:w="0" w:type="dxa"/>
              <w:right w:w="100" w:type="dxa"/>
            </w:tcMar>
          </w:tcPr>
          <w:p w:rsidR="00E432E9" w:rsidRDefault="00E432E9" w:rsidP="00DA0A30">
            <w:pPr>
              <w:spacing w:before="240" w:line="480" w:lineRule="auto"/>
              <w:jc w:val="both"/>
              <w:rPr>
                <w:b/>
                <w:color w:val="FFFFFF"/>
              </w:rPr>
            </w:pPr>
            <w:proofErr w:type="spellStart"/>
            <w:r>
              <w:rPr>
                <w:b/>
                <w:color w:val="FFFFFF"/>
              </w:rPr>
              <w:t>Varying</w:t>
            </w:r>
            <w:proofErr w:type="spellEnd"/>
            <w:r>
              <w:rPr>
                <w:b/>
                <w:color w:val="FFFFFF"/>
              </w:rPr>
              <w:t xml:space="preserve"> </w:t>
            </w:r>
            <w:proofErr w:type="spellStart"/>
            <w:r>
              <w:rPr>
                <w:b/>
                <w:color w:val="FFFFFF"/>
              </w:rPr>
              <w:t>parameters</w:t>
            </w:r>
            <w:proofErr w:type="spellEnd"/>
          </w:p>
        </w:tc>
        <w:tc>
          <w:tcPr>
            <w:tcW w:w="1789" w:type="dxa"/>
            <w:tcBorders>
              <w:top w:val="single" w:sz="6" w:space="0" w:color="000000"/>
              <w:left w:val="nil"/>
              <w:bottom w:val="single" w:sz="6" w:space="0" w:color="000000"/>
              <w:right w:val="nil"/>
            </w:tcBorders>
            <w:shd w:val="clear" w:color="auto" w:fill="000000"/>
            <w:tcMar>
              <w:top w:w="0" w:type="dxa"/>
              <w:left w:w="100" w:type="dxa"/>
              <w:bottom w:w="0" w:type="dxa"/>
              <w:right w:w="100" w:type="dxa"/>
            </w:tcMar>
          </w:tcPr>
          <w:p w:rsidR="00E432E9" w:rsidRDefault="00E432E9" w:rsidP="00DA0A30">
            <w:pPr>
              <w:spacing w:before="240" w:line="480" w:lineRule="auto"/>
              <w:jc w:val="both"/>
              <w:rPr>
                <w:b/>
                <w:color w:val="FFFFFF"/>
              </w:rPr>
            </w:pPr>
            <w:r>
              <w:rPr>
                <w:b/>
                <w:color w:val="FFFFFF"/>
              </w:rPr>
              <w:t xml:space="preserve">Constant </w:t>
            </w:r>
            <w:proofErr w:type="spellStart"/>
            <w:r>
              <w:rPr>
                <w:b/>
                <w:color w:val="FFFFFF"/>
              </w:rPr>
              <w:t>parameters</w:t>
            </w:r>
            <w:proofErr w:type="spellEnd"/>
          </w:p>
        </w:tc>
        <w:tc>
          <w:tcPr>
            <w:tcW w:w="4480" w:type="dxa"/>
            <w:tcBorders>
              <w:top w:val="single" w:sz="6" w:space="0" w:color="000000"/>
              <w:left w:val="nil"/>
              <w:bottom w:val="single" w:sz="6" w:space="0" w:color="000000"/>
              <w:right w:val="single" w:sz="6" w:space="0" w:color="000000"/>
            </w:tcBorders>
            <w:shd w:val="clear" w:color="auto" w:fill="000000"/>
            <w:tcMar>
              <w:top w:w="0" w:type="dxa"/>
              <w:left w:w="100" w:type="dxa"/>
              <w:bottom w:w="0" w:type="dxa"/>
              <w:right w:w="100" w:type="dxa"/>
            </w:tcMar>
          </w:tcPr>
          <w:p w:rsidR="00E432E9" w:rsidRDefault="00E432E9" w:rsidP="00DA0A30">
            <w:pPr>
              <w:spacing w:before="240" w:line="480" w:lineRule="auto"/>
              <w:jc w:val="right"/>
              <w:rPr>
                <w:b/>
                <w:color w:val="FFFFFF"/>
              </w:rPr>
            </w:pPr>
            <w:r>
              <w:rPr>
                <w:b/>
                <w:color w:val="FFFFFF"/>
              </w:rPr>
              <w:t>Explanation</w:t>
            </w:r>
          </w:p>
        </w:tc>
      </w:tr>
      <w:tr w:rsidR="00E432E9" w:rsidRPr="00DA0A30" w:rsidTr="00974F29">
        <w:trPr>
          <w:trHeight w:val="300"/>
        </w:trPr>
        <w:tc>
          <w:tcPr>
            <w:tcW w:w="1200"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Default="00E432E9" w:rsidP="00DA0A30">
            <w:pPr>
              <w:spacing w:before="240" w:line="480" w:lineRule="auto"/>
              <w:jc w:val="both"/>
              <w:rPr>
                <w:b/>
              </w:rPr>
            </w:pPr>
            <m:oMath>
              <m:r>
                <m:rPr>
                  <m:sty m:val="bi"/>
                </m:rPr>
                <w:rPr>
                  <w:rFonts w:ascii="Cambria Math" w:hAnsi="Cambria Math"/>
                </w:rPr>
                <m:t xml:space="preserve"> </m:t>
              </m:r>
            </m:oMath>
            <w:r>
              <w:rPr>
                <w:b/>
              </w:rPr>
              <w:t>A</w:t>
            </w:r>
            <w:r>
              <w:rPr>
                <w:b/>
                <w:vertAlign w:val="subscript"/>
              </w:rPr>
              <w:t>1, 2, 3, 4</w:t>
            </w:r>
          </w:p>
        </w:tc>
        <w:tc>
          <w:tcPr>
            <w:tcW w:w="162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Default="00E432E9" w:rsidP="00DA0A30">
            <w:pPr>
              <w:spacing w:before="240" w:line="480" w:lineRule="auto"/>
              <w:jc w:val="both"/>
            </w:pPr>
            <w:r>
              <w:t xml:space="preserve">M, Q, </w:t>
            </w:r>
            <w:proofErr w:type="spellStart"/>
            <w:r>
              <w:t>Κ</w:t>
            </w:r>
            <w:r>
              <w:rPr>
                <w:vertAlign w:val="subscript"/>
              </w:rPr>
              <w:t>af</w:t>
            </w:r>
            <w:proofErr w:type="spellEnd"/>
            <w:r>
              <w:t xml:space="preserve">, </w:t>
            </w:r>
            <w:proofErr w:type="spellStart"/>
            <w:r>
              <w:t>Φ</w:t>
            </w:r>
            <w:r>
              <w:rPr>
                <w:vertAlign w:val="subscript"/>
              </w:rPr>
              <w:t>af</w:t>
            </w:r>
            <w:proofErr w:type="spellEnd"/>
          </w:p>
        </w:tc>
        <w:tc>
          <w:tcPr>
            <w:tcW w:w="1789"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Default="00E432E9" w:rsidP="00DA0A30">
            <w:pPr>
              <w:spacing w:before="240" w:line="480" w:lineRule="auto"/>
              <w:jc w:val="both"/>
            </w:pPr>
            <w:r>
              <w:t xml:space="preserve">2a, </w:t>
            </w:r>
            <w:proofErr w:type="spellStart"/>
            <w:r>
              <w:t>T</w:t>
            </w:r>
            <w:r>
              <w:rPr>
                <w:vertAlign w:val="subscript"/>
              </w:rPr>
              <w:t>Inj</w:t>
            </w:r>
            <w:proofErr w:type="spellEnd"/>
          </w:p>
        </w:tc>
        <w:tc>
          <w:tcPr>
            <w:tcW w:w="44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Pr="00E15ECC" w:rsidRDefault="00E432E9" w:rsidP="00DA0A30">
            <w:pPr>
              <w:spacing w:before="240" w:line="480" w:lineRule="auto"/>
              <w:jc w:val="right"/>
              <w:rPr>
                <w:lang w:val="en-US"/>
              </w:rPr>
            </w:pPr>
            <w:r w:rsidRPr="00E15ECC">
              <w:rPr>
                <w:lang w:val="en-US"/>
              </w:rPr>
              <w:t xml:space="preserve">Doublet array layout. Sub-scenarios according to distance variation (2a) </w:t>
            </w:r>
          </w:p>
        </w:tc>
      </w:tr>
      <w:tr w:rsidR="00E432E9" w:rsidRPr="00DA0A30" w:rsidTr="00974F29">
        <w:trPr>
          <w:trHeight w:val="300"/>
        </w:trPr>
        <w:tc>
          <w:tcPr>
            <w:tcW w:w="1200" w:type="dxa"/>
            <w:tcBorders>
              <w:top w:val="nil"/>
              <w:left w:val="single" w:sz="6" w:space="0" w:color="666666"/>
              <w:bottom w:val="single" w:sz="6" w:space="0" w:color="666666"/>
              <w:right w:val="single" w:sz="6" w:space="0" w:color="666666"/>
            </w:tcBorders>
            <w:tcMar>
              <w:top w:w="0" w:type="dxa"/>
              <w:left w:w="100" w:type="dxa"/>
              <w:bottom w:w="0" w:type="dxa"/>
              <w:right w:w="100" w:type="dxa"/>
            </w:tcMar>
            <w:vAlign w:val="bottom"/>
          </w:tcPr>
          <w:p w:rsidR="00E432E9" w:rsidRDefault="00E432E9" w:rsidP="00DA0A30">
            <w:pPr>
              <w:spacing w:before="240" w:line="480" w:lineRule="auto"/>
              <w:jc w:val="both"/>
              <w:rPr>
                <w:b/>
              </w:rPr>
            </w:pPr>
            <w:r>
              <w:rPr>
                <w:b/>
              </w:rPr>
              <w:t>S</w:t>
            </w:r>
            <w:r>
              <w:rPr>
                <w:b/>
                <w:vertAlign w:val="subscript"/>
              </w:rPr>
              <w:t>1, 2, 3, 4</w:t>
            </w:r>
          </w:p>
        </w:tc>
        <w:tc>
          <w:tcPr>
            <w:tcW w:w="1620" w:type="dxa"/>
            <w:tcBorders>
              <w:top w:val="nil"/>
              <w:left w:val="nil"/>
              <w:bottom w:val="single" w:sz="6" w:space="0" w:color="666666"/>
              <w:right w:val="single" w:sz="6" w:space="0" w:color="666666"/>
            </w:tcBorders>
            <w:tcMar>
              <w:top w:w="0" w:type="dxa"/>
              <w:left w:w="100" w:type="dxa"/>
              <w:bottom w:w="0" w:type="dxa"/>
              <w:right w:w="100" w:type="dxa"/>
            </w:tcMar>
            <w:vAlign w:val="bottom"/>
          </w:tcPr>
          <w:p w:rsidR="00E432E9" w:rsidRDefault="00E432E9" w:rsidP="00DA0A30">
            <w:pPr>
              <w:spacing w:before="240" w:line="480" w:lineRule="auto"/>
              <w:jc w:val="both"/>
            </w:pPr>
            <w:r>
              <w:t xml:space="preserve">M, Q, </w:t>
            </w:r>
            <w:proofErr w:type="spellStart"/>
            <w:r>
              <w:t>Κ</w:t>
            </w:r>
            <w:r>
              <w:rPr>
                <w:vertAlign w:val="subscript"/>
              </w:rPr>
              <w:t>af</w:t>
            </w:r>
            <w:proofErr w:type="spellEnd"/>
            <w:r>
              <w:t xml:space="preserve">, </w:t>
            </w:r>
            <w:proofErr w:type="spellStart"/>
            <w:r>
              <w:t>Φ</w:t>
            </w:r>
            <w:r>
              <w:rPr>
                <w:vertAlign w:val="subscript"/>
              </w:rPr>
              <w:t>af</w:t>
            </w:r>
            <w:proofErr w:type="spellEnd"/>
          </w:p>
        </w:tc>
        <w:tc>
          <w:tcPr>
            <w:tcW w:w="1789" w:type="dxa"/>
            <w:tcBorders>
              <w:top w:val="nil"/>
              <w:left w:val="nil"/>
              <w:bottom w:val="single" w:sz="6" w:space="0" w:color="666666"/>
              <w:right w:val="single" w:sz="6" w:space="0" w:color="666666"/>
            </w:tcBorders>
            <w:tcMar>
              <w:top w:w="0" w:type="dxa"/>
              <w:left w:w="100" w:type="dxa"/>
              <w:bottom w:w="0" w:type="dxa"/>
              <w:right w:w="100" w:type="dxa"/>
            </w:tcMar>
            <w:vAlign w:val="bottom"/>
          </w:tcPr>
          <w:p w:rsidR="00E432E9" w:rsidRDefault="00E432E9" w:rsidP="00DA0A30">
            <w:pPr>
              <w:spacing w:before="240" w:line="480" w:lineRule="auto"/>
              <w:jc w:val="both"/>
            </w:pPr>
            <w:r>
              <w:t xml:space="preserve">2a, </w:t>
            </w:r>
            <w:proofErr w:type="spellStart"/>
            <w:r>
              <w:t>T</w:t>
            </w:r>
            <w:r>
              <w:rPr>
                <w:vertAlign w:val="subscript"/>
              </w:rPr>
              <w:t>Inj</w:t>
            </w:r>
            <w:proofErr w:type="spellEnd"/>
          </w:p>
        </w:tc>
        <w:tc>
          <w:tcPr>
            <w:tcW w:w="4480" w:type="dxa"/>
            <w:tcBorders>
              <w:top w:val="nil"/>
              <w:left w:val="nil"/>
              <w:bottom w:val="single" w:sz="6" w:space="0" w:color="666666"/>
              <w:right w:val="single" w:sz="6" w:space="0" w:color="666666"/>
            </w:tcBorders>
            <w:tcMar>
              <w:top w:w="0" w:type="dxa"/>
              <w:left w:w="100" w:type="dxa"/>
              <w:bottom w:w="0" w:type="dxa"/>
              <w:right w:w="100" w:type="dxa"/>
            </w:tcMar>
            <w:vAlign w:val="bottom"/>
          </w:tcPr>
          <w:p w:rsidR="00E432E9" w:rsidRPr="00E15ECC" w:rsidRDefault="00E432E9" w:rsidP="00DA0A30">
            <w:pPr>
              <w:spacing w:before="240" w:line="480" w:lineRule="auto"/>
              <w:jc w:val="right"/>
              <w:rPr>
                <w:lang w:val="en-US"/>
              </w:rPr>
            </w:pPr>
            <w:r w:rsidRPr="00E15ECC">
              <w:rPr>
                <w:lang w:val="en-US"/>
              </w:rPr>
              <w:t>Single doublet layout. Sub-scenarios according to distance variation (2a)</w:t>
            </w:r>
          </w:p>
        </w:tc>
      </w:tr>
      <w:tr w:rsidR="00E432E9" w:rsidTr="00974F29">
        <w:trPr>
          <w:trHeight w:val="360"/>
        </w:trPr>
        <w:tc>
          <w:tcPr>
            <w:tcW w:w="1200" w:type="dxa"/>
            <w:tcBorders>
              <w:top w:val="nil"/>
              <w:left w:val="single" w:sz="6" w:space="0" w:color="666666"/>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Default="00E432E9" w:rsidP="00DA0A30">
            <w:pPr>
              <w:spacing w:before="240" w:line="480" w:lineRule="auto"/>
              <w:jc w:val="both"/>
              <w:rPr>
                <w:b/>
              </w:rPr>
            </w:pPr>
            <w:r>
              <w:rPr>
                <w:b/>
              </w:rPr>
              <w:t>CA</w:t>
            </w:r>
          </w:p>
        </w:tc>
        <w:tc>
          <w:tcPr>
            <w:tcW w:w="162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Default="00E432E9" w:rsidP="00DA0A30">
            <w:pPr>
              <w:spacing w:before="240" w:line="480" w:lineRule="auto"/>
              <w:jc w:val="both"/>
              <w:rPr>
                <w:vertAlign w:val="subscript"/>
              </w:rPr>
            </w:pPr>
            <w:proofErr w:type="spellStart"/>
            <w:r>
              <w:t>T</w:t>
            </w:r>
            <w:r>
              <w:rPr>
                <w:vertAlign w:val="subscript"/>
              </w:rPr>
              <w:t>Inj</w:t>
            </w:r>
            <w:proofErr w:type="spellEnd"/>
          </w:p>
        </w:tc>
        <w:tc>
          <w:tcPr>
            <w:tcW w:w="1789"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Default="00E432E9" w:rsidP="00DA0A30">
            <w:pPr>
              <w:spacing w:before="240" w:line="480" w:lineRule="auto"/>
              <w:jc w:val="both"/>
            </w:pPr>
            <w:r>
              <w:t xml:space="preserve">M, Q, </w:t>
            </w:r>
            <w:proofErr w:type="spellStart"/>
            <w:r>
              <w:t>Κ</w:t>
            </w:r>
            <w:r>
              <w:rPr>
                <w:vertAlign w:val="subscript"/>
              </w:rPr>
              <w:t>af</w:t>
            </w:r>
            <w:proofErr w:type="spellEnd"/>
            <w:r>
              <w:t xml:space="preserve">, </w:t>
            </w:r>
            <w:proofErr w:type="spellStart"/>
            <w:r>
              <w:t>Φ</w:t>
            </w:r>
            <w:r>
              <w:rPr>
                <w:vertAlign w:val="subscript"/>
              </w:rPr>
              <w:t>af</w:t>
            </w:r>
            <w:proofErr w:type="spellEnd"/>
          </w:p>
        </w:tc>
        <w:tc>
          <w:tcPr>
            <w:tcW w:w="4480" w:type="dxa"/>
            <w:tcBorders>
              <w:top w:val="nil"/>
              <w:left w:val="nil"/>
              <w:bottom w:val="single" w:sz="6" w:space="0" w:color="666666"/>
              <w:right w:val="single" w:sz="6" w:space="0" w:color="666666"/>
            </w:tcBorders>
            <w:shd w:val="clear" w:color="auto" w:fill="CCCCCC"/>
            <w:tcMar>
              <w:top w:w="0" w:type="dxa"/>
              <w:left w:w="100" w:type="dxa"/>
              <w:bottom w:w="0" w:type="dxa"/>
              <w:right w:w="100" w:type="dxa"/>
            </w:tcMar>
            <w:vAlign w:val="bottom"/>
          </w:tcPr>
          <w:p w:rsidR="00E432E9" w:rsidRDefault="00E432E9" w:rsidP="00DA0A30">
            <w:pPr>
              <w:spacing w:before="240" w:line="480" w:lineRule="auto"/>
              <w:jc w:val="right"/>
            </w:pPr>
            <w:proofErr w:type="spellStart"/>
            <w:r>
              <w:t>Doublet</w:t>
            </w:r>
            <w:proofErr w:type="spellEnd"/>
            <w:r>
              <w:t xml:space="preserve"> </w:t>
            </w:r>
            <w:proofErr w:type="spellStart"/>
            <w:r>
              <w:t>array</w:t>
            </w:r>
            <w:proofErr w:type="spellEnd"/>
            <w:r>
              <w:t xml:space="preserve"> </w:t>
            </w:r>
            <w:proofErr w:type="spellStart"/>
            <w:r>
              <w:t>layout</w:t>
            </w:r>
            <w:proofErr w:type="spellEnd"/>
            <w:r>
              <w:t xml:space="preserve">  </w:t>
            </w:r>
          </w:p>
        </w:tc>
      </w:tr>
      <w:tr w:rsidR="00E432E9" w:rsidTr="00974F29">
        <w:trPr>
          <w:trHeight w:val="300"/>
        </w:trPr>
        <w:tc>
          <w:tcPr>
            <w:tcW w:w="1200" w:type="dxa"/>
            <w:tcBorders>
              <w:top w:val="nil"/>
              <w:left w:val="single" w:sz="6" w:space="0" w:color="666666"/>
              <w:bottom w:val="single" w:sz="6" w:space="0" w:color="666666"/>
              <w:right w:val="single" w:sz="6" w:space="0" w:color="666666"/>
            </w:tcBorders>
            <w:tcMar>
              <w:top w:w="0" w:type="dxa"/>
              <w:left w:w="100" w:type="dxa"/>
              <w:bottom w:w="0" w:type="dxa"/>
              <w:right w:w="100" w:type="dxa"/>
            </w:tcMar>
            <w:vAlign w:val="bottom"/>
          </w:tcPr>
          <w:p w:rsidR="00E432E9" w:rsidRDefault="00E432E9" w:rsidP="00DA0A30">
            <w:pPr>
              <w:spacing w:before="240" w:line="480" w:lineRule="auto"/>
              <w:jc w:val="both"/>
              <w:rPr>
                <w:b/>
              </w:rPr>
            </w:pPr>
            <w:r>
              <w:rPr>
                <w:b/>
              </w:rPr>
              <w:t>CS</w:t>
            </w:r>
          </w:p>
        </w:tc>
        <w:tc>
          <w:tcPr>
            <w:tcW w:w="1620" w:type="dxa"/>
            <w:tcBorders>
              <w:top w:val="nil"/>
              <w:left w:val="nil"/>
              <w:bottom w:val="single" w:sz="6" w:space="0" w:color="666666"/>
              <w:right w:val="single" w:sz="6" w:space="0" w:color="666666"/>
            </w:tcBorders>
            <w:tcMar>
              <w:top w:w="0" w:type="dxa"/>
              <w:left w:w="100" w:type="dxa"/>
              <w:bottom w:w="0" w:type="dxa"/>
              <w:right w:w="100" w:type="dxa"/>
            </w:tcMar>
            <w:vAlign w:val="bottom"/>
          </w:tcPr>
          <w:p w:rsidR="00E432E9" w:rsidRDefault="00E432E9" w:rsidP="00DA0A30">
            <w:pPr>
              <w:spacing w:before="240" w:line="480" w:lineRule="auto"/>
              <w:jc w:val="both"/>
              <w:rPr>
                <w:vertAlign w:val="subscript"/>
              </w:rPr>
            </w:pPr>
            <w:proofErr w:type="spellStart"/>
            <w:r>
              <w:t>T</w:t>
            </w:r>
            <w:r>
              <w:rPr>
                <w:vertAlign w:val="subscript"/>
              </w:rPr>
              <w:t>Inj</w:t>
            </w:r>
            <w:proofErr w:type="spellEnd"/>
          </w:p>
        </w:tc>
        <w:tc>
          <w:tcPr>
            <w:tcW w:w="1789" w:type="dxa"/>
            <w:tcBorders>
              <w:top w:val="nil"/>
              <w:left w:val="nil"/>
              <w:bottom w:val="single" w:sz="6" w:space="0" w:color="666666"/>
              <w:right w:val="single" w:sz="6" w:space="0" w:color="666666"/>
            </w:tcBorders>
            <w:tcMar>
              <w:top w:w="0" w:type="dxa"/>
              <w:left w:w="100" w:type="dxa"/>
              <w:bottom w:w="0" w:type="dxa"/>
              <w:right w:w="100" w:type="dxa"/>
            </w:tcMar>
            <w:vAlign w:val="bottom"/>
          </w:tcPr>
          <w:p w:rsidR="00E432E9" w:rsidRDefault="00E432E9" w:rsidP="00DA0A30">
            <w:pPr>
              <w:spacing w:before="240" w:line="480" w:lineRule="auto"/>
              <w:jc w:val="both"/>
            </w:pPr>
            <w:r>
              <w:t xml:space="preserve">M, Q, </w:t>
            </w:r>
            <w:proofErr w:type="spellStart"/>
            <w:r>
              <w:t>Κ</w:t>
            </w:r>
            <w:r>
              <w:rPr>
                <w:vertAlign w:val="subscript"/>
              </w:rPr>
              <w:t>af</w:t>
            </w:r>
            <w:proofErr w:type="spellEnd"/>
            <w:r>
              <w:t xml:space="preserve">, </w:t>
            </w:r>
            <w:proofErr w:type="spellStart"/>
            <w:r>
              <w:t>Φ</w:t>
            </w:r>
            <w:r>
              <w:rPr>
                <w:vertAlign w:val="subscript"/>
              </w:rPr>
              <w:t>af</w:t>
            </w:r>
            <w:proofErr w:type="spellEnd"/>
          </w:p>
        </w:tc>
        <w:tc>
          <w:tcPr>
            <w:tcW w:w="4480" w:type="dxa"/>
            <w:tcBorders>
              <w:top w:val="nil"/>
              <w:left w:val="nil"/>
              <w:bottom w:val="single" w:sz="6" w:space="0" w:color="666666"/>
              <w:right w:val="single" w:sz="6" w:space="0" w:color="666666"/>
            </w:tcBorders>
            <w:tcMar>
              <w:top w:w="0" w:type="dxa"/>
              <w:left w:w="100" w:type="dxa"/>
              <w:bottom w:w="0" w:type="dxa"/>
              <w:right w:w="100" w:type="dxa"/>
            </w:tcMar>
            <w:vAlign w:val="bottom"/>
          </w:tcPr>
          <w:p w:rsidR="00E432E9" w:rsidRDefault="00E432E9" w:rsidP="00DA0A30">
            <w:pPr>
              <w:spacing w:before="240" w:line="480" w:lineRule="auto"/>
              <w:jc w:val="right"/>
            </w:pPr>
            <w:r>
              <w:t xml:space="preserve">Single </w:t>
            </w:r>
            <w:proofErr w:type="spellStart"/>
            <w:r>
              <w:t>doublet</w:t>
            </w:r>
            <w:proofErr w:type="spellEnd"/>
            <w:r>
              <w:t xml:space="preserve"> </w:t>
            </w:r>
            <w:proofErr w:type="spellStart"/>
            <w:r>
              <w:t>layout</w:t>
            </w:r>
            <w:proofErr w:type="spellEnd"/>
          </w:p>
        </w:tc>
      </w:tr>
    </w:tbl>
    <w:p w:rsidR="00E432E9" w:rsidRPr="00E15ECC" w:rsidRDefault="00E432E9" w:rsidP="00DA0A30">
      <w:pPr>
        <w:spacing w:before="240" w:after="240" w:line="480" w:lineRule="auto"/>
        <w:jc w:val="both"/>
        <w:rPr>
          <w:lang w:val="en-US"/>
        </w:rPr>
      </w:pPr>
      <w:r w:rsidRPr="00E15ECC">
        <w:rPr>
          <w:b/>
          <w:sz w:val="20"/>
          <w:szCs w:val="20"/>
          <w:lang w:val="en-US"/>
        </w:rPr>
        <w:t xml:space="preserve">Tab. </w:t>
      </w:r>
      <w:r w:rsidR="00C57953">
        <w:rPr>
          <w:b/>
          <w:sz w:val="20"/>
          <w:szCs w:val="20"/>
          <w:lang w:val="en-US"/>
        </w:rPr>
        <w:t>C</w:t>
      </w:r>
      <w:r w:rsidR="00F60191">
        <w:rPr>
          <w:b/>
          <w:sz w:val="20"/>
          <w:szCs w:val="20"/>
          <w:lang w:val="en-US"/>
        </w:rPr>
        <w:t>.2</w:t>
      </w:r>
      <w:r w:rsidRPr="00E15ECC">
        <w:rPr>
          <w:b/>
          <w:sz w:val="20"/>
          <w:szCs w:val="20"/>
          <w:lang w:val="en-US"/>
        </w:rPr>
        <w:t xml:space="preserve">. </w:t>
      </w:r>
      <w:r w:rsidRPr="00E15ECC">
        <w:rPr>
          <w:sz w:val="20"/>
          <w:szCs w:val="20"/>
          <w:lang w:val="en-US"/>
        </w:rPr>
        <w:t>Overview of simulation scenarios based on the parameter combination used for the analysis of the impact on the pe</w:t>
      </w:r>
      <w:r w:rsidR="00C57953">
        <w:rPr>
          <w:sz w:val="20"/>
          <w:szCs w:val="20"/>
          <w:lang w:val="en-US"/>
        </w:rPr>
        <w:t>rformance parameters. See Tab.2</w:t>
      </w:r>
      <w:r w:rsidR="000B426A">
        <w:rPr>
          <w:sz w:val="20"/>
          <w:szCs w:val="20"/>
          <w:lang w:val="en-US"/>
        </w:rPr>
        <w:t xml:space="preserve"> in the main article</w:t>
      </w:r>
      <w:r w:rsidRPr="00E15ECC">
        <w:rPr>
          <w:sz w:val="20"/>
          <w:szCs w:val="20"/>
          <w:lang w:val="en-US"/>
        </w:rPr>
        <w:t xml:space="preserve"> for values of specific model parameters.</w:t>
      </w:r>
    </w:p>
    <w:p w:rsidR="00E432E9" w:rsidRDefault="00E432E9" w:rsidP="00DA0A30">
      <w:pPr>
        <w:spacing w:line="480" w:lineRule="auto"/>
        <w:jc w:val="both"/>
        <w:rPr>
          <w:lang w:val="en-US"/>
        </w:rPr>
      </w:pPr>
    </w:p>
    <w:p w:rsidR="00DA0A30" w:rsidRDefault="00DA0A30" w:rsidP="00DA0A30">
      <w:pPr>
        <w:spacing w:line="480" w:lineRule="auto"/>
        <w:jc w:val="both"/>
        <w:rPr>
          <w:lang w:val="en-US"/>
        </w:rPr>
      </w:pPr>
    </w:p>
    <w:p w:rsidR="00DA0A30" w:rsidRDefault="00DA0A30" w:rsidP="00DA0A30">
      <w:pPr>
        <w:spacing w:line="480" w:lineRule="auto"/>
        <w:jc w:val="both"/>
        <w:rPr>
          <w:lang w:val="en-US"/>
        </w:rPr>
      </w:pPr>
    </w:p>
    <w:tbl>
      <w:tblPr>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10"/>
        <w:gridCol w:w="1155"/>
        <w:gridCol w:w="1140"/>
        <w:gridCol w:w="1110"/>
        <w:gridCol w:w="1335"/>
        <w:gridCol w:w="1560"/>
        <w:gridCol w:w="915"/>
        <w:gridCol w:w="990"/>
      </w:tblGrid>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rPr>
                <w:color w:val="FFFFFF"/>
              </w:rPr>
            </w:pPr>
            <w:proofErr w:type="spellStart"/>
            <w:r>
              <w:rPr>
                <w:color w:val="FFFFFF"/>
              </w:rPr>
              <w:lastRenderedPageBreak/>
              <w:t>No</w:t>
            </w:r>
            <w:proofErr w:type="spellEnd"/>
            <w:r>
              <w:rPr>
                <w:color w:val="FFFFFF"/>
              </w:rPr>
              <w:t>.</w:t>
            </w:r>
          </w:p>
        </w:tc>
        <w:tc>
          <w:tcPr>
            <w:tcW w:w="1155"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jc w:val="center"/>
              <w:rPr>
                <w:color w:val="FFFFFF"/>
              </w:rPr>
            </w:pPr>
            <w:proofErr w:type="spellStart"/>
            <w:r>
              <w:rPr>
                <w:color w:val="FFFFFF"/>
              </w:rPr>
              <w:t>Poro</w:t>
            </w:r>
            <w:proofErr w:type="spellEnd"/>
            <w:r>
              <w:rPr>
                <w:color w:val="FFFFFF"/>
              </w:rPr>
              <w:t xml:space="preserve"> / Perm [%; </w:t>
            </w:r>
            <w:proofErr w:type="spellStart"/>
            <w:r>
              <w:rPr>
                <w:color w:val="FFFFFF"/>
              </w:rPr>
              <w:t>mD</w:t>
            </w:r>
            <w:proofErr w:type="spellEnd"/>
            <w:r>
              <w:rPr>
                <w:color w:val="FFFFFF"/>
              </w:rPr>
              <w:t>]</w:t>
            </w:r>
          </w:p>
        </w:tc>
        <w:tc>
          <w:tcPr>
            <w:tcW w:w="1140"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jc w:val="center"/>
              <w:rPr>
                <w:color w:val="FFFFFF"/>
              </w:rPr>
            </w:pPr>
            <w:r>
              <w:rPr>
                <w:color w:val="FFFFFF"/>
              </w:rPr>
              <w:t>Flow Rate [l/s]</w:t>
            </w:r>
          </w:p>
        </w:tc>
        <w:tc>
          <w:tcPr>
            <w:tcW w:w="1110"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jc w:val="center"/>
              <w:rPr>
                <w:color w:val="FFFFFF"/>
              </w:rPr>
            </w:pPr>
            <w:proofErr w:type="spellStart"/>
            <w:r>
              <w:rPr>
                <w:color w:val="FFFFFF"/>
              </w:rPr>
              <w:t>Thick</w:t>
            </w:r>
            <w:proofErr w:type="spellEnd"/>
            <w:r>
              <w:rPr>
                <w:color w:val="FFFFFF"/>
              </w:rPr>
              <w:t xml:space="preserve">- </w:t>
            </w:r>
            <w:proofErr w:type="spellStart"/>
            <w:r>
              <w:rPr>
                <w:color w:val="FFFFFF"/>
              </w:rPr>
              <w:t>ness</w:t>
            </w:r>
            <w:proofErr w:type="spellEnd"/>
            <w:r>
              <w:rPr>
                <w:color w:val="FFFFFF"/>
              </w:rPr>
              <w:t xml:space="preserve"> [m]</w:t>
            </w:r>
          </w:p>
        </w:tc>
        <w:tc>
          <w:tcPr>
            <w:tcW w:w="1335"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jc w:val="center"/>
              <w:rPr>
                <w:color w:val="FFFFFF"/>
              </w:rPr>
            </w:pPr>
            <w:r>
              <w:rPr>
                <w:color w:val="FFFFFF"/>
              </w:rPr>
              <w:t>Inter-</w:t>
            </w:r>
            <w:proofErr w:type="spellStart"/>
            <w:r>
              <w:rPr>
                <w:color w:val="FFFFFF"/>
              </w:rPr>
              <w:t>well</w:t>
            </w:r>
            <w:proofErr w:type="spellEnd"/>
            <w:r>
              <w:rPr>
                <w:color w:val="FFFFFF"/>
              </w:rPr>
              <w:t xml:space="preserve"> </w:t>
            </w:r>
            <w:proofErr w:type="spellStart"/>
            <w:r>
              <w:rPr>
                <w:color w:val="FFFFFF"/>
              </w:rPr>
              <w:t>distance</w:t>
            </w:r>
            <w:proofErr w:type="spellEnd"/>
            <w:r>
              <w:rPr>
                <w:color w:val="FFFFFF"/>
              </w:rPr>
              <w:t xml:space="preserve"> [m]</w:t>
            </w:r>
          </w:p>
        </w:tc>
        <w:tc>
          <w:tcPr>
            <w:tcW w:w="1560"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jc w:val="center"/>
              <w:rPr>
                <w:color w:val="FFFFFF"/>
              </w:rPr>
            </w:pPr>
            <w:proofErr w:type="spellStart"/>
            <w:r>
              <w:rPr>
                <w:color w:val="FFFFFF"/>
              </w:rPr>
              <w:t>Injection</w:t>
            </w:r>
            <w:proofErr w:type="spellEnd"/>
            <w:r>
              <w:rPr>
                <w:color w:val="FFFFFF"/>
              </w:rPr>
              <w:t xml:space="preserve"> </w:t>
            </w:r>
            <w:proofErr w:type="spellStart"/>
            <w:r>
              <w:rPr>
                <w:color w:val="FFFFFF"/>
              </w:rPr>
              <w:t>temperature</w:t>
            </w:r>
            <w:proofErr w:type="spellEnd"/>
            <w:r>
              <w:rPr>
                <w:color w:val="FFFFFF"/>
              </w:rPr>
              <w:t xml:space="preserve"> [K]</w:t>
            </w:r>
          </w:p>
        </w:tc>
        <w:tc>
          <w:tcPr>
            <w:tcW w:w="915"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jc w:val="center"/>
              <w:rPr>
                <w:color w:val="FFFFFF"/>
              </w:rPr>
            </w:pPr>
            <w:r>
              <w:rPr>
                <w:color w:val="FFFFFF"/>
              </w:rPr>
              <w:t>Array</w:t>
            </w:r>
          </w:p>
        </w:tc>
        <w:tc>
          <w:tcPr>
            <w:tcW w:w="990" w:type="dxa"/>
            <w:tcBorders>
              <w:top w:val="single" w:sz="8" w:space="0" w:color="000000"/>
              <w:left w:val="single" w:sz="8" w:space="0" w:color="000000"/>
              <w:bottom w:val="single" w:sz="8" w:space="0" w:color="000000"/>
              <w:right w:val="single" w:sz="8" w:space="0" w:color="000000"/>
            </w:tcBorders>
            <w:shd w:val="clear" w:color="auto" w:fill="000000"/>
            <w:tcMar>
              <w:top w:w="0" w:type="dxa"/>
              <w:left w:w="80" w:type="dxa"/>
              <w:bottom w:w="0" w:type="dxa"/>
              <w:right w:w="80" w:type="dxa"/>
            </w:tcMar>
            <w:vAlign w:val="bottom"/>
          </w:tcPr>
          <w:p w:rsidR="00CF7741" w:rsidRDefault="00CF7741" w:rsidP="00DA0A30">
            <w:pPr>
              <w:spacing w:before="240" w:line="480" w:lineRule="auto"/>
              <w:ind w:left="100" w:right="100"/>
              <w:jc w:val="center"/>
              <w:rPr>
                <w:color w:val="FFFFFF"/>
              </w:rPr>
            </w:pPr>
            <w:r>
              <w:rPr>
                <w:color w:val="FFFFFF"/>
              </w:rPr>
              <w:t>Single</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1</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 40; 50; 60)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[20, 25, 30, 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2</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 40; 50; 60)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[290,15, 293,15, 296,15, 299,15]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3</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4</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 ; [100]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[290,15, 293,15, 296,15, 299,15]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lastRenderedPageBreak/>
              <w:t>5</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6</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7</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[20] ; [100]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[290,15, 293,15, 296,15, 299,15]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8</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60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9</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w:t>
            </w:r>
            <w:r>
              <w:lastRenderedPageBreak/>
              <w:t>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10</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11</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12</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13</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14</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15</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16</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17</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50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18</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60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19</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20</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21</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40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22</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23</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60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24</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25</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26</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27</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28</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29</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60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30</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31</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60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32</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60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33</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50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34</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 ; [100]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[290,15, 293,15, 296,15, 299,15]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35</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36</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[20] ; [100]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40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[290,15, 293,15, 296,15, 299,15]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37</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[20] ; [100]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500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[290,15, 293,15, 296,15, 299,15]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38</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700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39</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700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40</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700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41</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700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42</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700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43</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700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44</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900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45</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900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46</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900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47</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900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48</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900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49</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900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50</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1200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51</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1200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52</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1200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x</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53</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1200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x</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r w:rsidR="00CF7741" w:rsidTr="00657C4E">
        <w:trPr>
          <w:trHeight w:val="300"/>
        </w:trPr>
        <w:tc>
          <w:tcPr>
            <w:tcW w:w="8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pPr>
            <w:r>
              <w:t>54</w:t>
            </w:r>
          </w:p>
        </w:tc>
        <w:tc>
          <w:tcPr>
            <w:tcW w:w="115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[15, 20, 25, 30] ; [1, 100, </w:t>
            </w:r>
            <w:r>
              <w:lastRenderedPageBreak/>
              <w:t>400, 800]</w:t>
            </w:r>
          </w:p>
        </w:tc>
        <w:tc>
          <w:tcPr>
            <w:tcW w:w="114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lastRenderedPageBreak/>
              <w:t>30</w:t>
            </w:r>
          </w:p>
        </w:tc>
        <w:tc>
          <w:tcPr>
            <w:tcW w:w="111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1200</w:t>
            </w:r>
          </w:p>
        </w:tc>
        <w:tc>
          <w:tcPr>
            <w:tcW w:w="156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c>
          <w:tcPr>
            <w:tcW w:w="99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x</w:t>
            </w:r>
          </w:p>
        </w:tc>
      </w:tr>
      <w:tr w:rsidR="00CF7741" w:rsidTr="00657C4E">
        <w:trPr>
          <w:trHeight w:val="315"/>
        </w:trPr>
        <w:tc>
          <w:tcPr>
            <w:tcW w:w="8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pPr>
            <w:r>
              <w:t>55</w:t>
            </w:r>
          </w:p>
        </w:tc>
        <w:tc>
          <w:tcPr>
            <w:tcW w:w="115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[15, 20, 25, 30] ; [1, 100, 400, 800]</w:t>
            </w:r>
          </w:p>
        </w:tc>
        <w:tc>
          <w:tcPr>
            <w:tcW w:w="114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30</w:t>
            </w:r>
          </w:p>
        </w:tc>
        <w:tc>
          <w:tcPr>
            <w:tcW w:w="111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35</w:t>
            </w:r>
          </w:p>
        </w:tc>
        <w:tc>
          <w:tcPr>
            <w:tcW w:w="133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1200</w:t>
            </w:r>
          </w:p>
        </w:tc>
        <w:tc>
          <w:tcPr>
            <w:tcW w:w="156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293,15</w:t>
            </w:r>
          </w:p>
        </w:tc>
        <w:tc>
          <w:tcPr>
            <w:tcW w:w="915"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x </w:t>
            </w:r>
          </w:p>
        </w:tc>
        <w:tc>
          <w:tcPr>
            <w:tcW w:w="990" w:type="dxa"/>
            <w:tcBorders>
              <w:top w:val="single" w:sz="8" w:space="0" w:color="000000"/>
              <w:left w:val="single" w:sz="8" w:space="0" w:color="000000"/>
              <w:bottom w:val="single" w:sz="8" w:space="0" w:color="000000"/>
              <w:right w:val="single" w:sz="8" w:space="0" w:color="000000"/>
            </w:tcBorders>
            <w:shd w:val="clear" w:color="auto" w:fill="CCCCCC"/>
            <w:tcMar>
              <w:top w:w="0" w:type="dxa"/>
              <w:left w:w="80" w:type="dxa"/>
              <w:bottom w:w="0" w:type="dxa"/>
              <w:right w:w="80" w:type="dxa"/>
            </w:tcMar>
            <w:vAlign w:val="bottom"/>
          </w:tcPr>
          <w:p w:rsidR="00CF7741" w:rsidRDefault="00CF7741" w:rsidP="00DA0A30">
            <w:pPr>
              <w:spacing w:before="240" w:line="480" w:lineRule="auto"/>
              <w:ind w:left="100" w:right="100"/>
              <w:jc w:val="center"/>
            </w:pPr>
            <w:r>
              <w:t xml:space="preserve"> </w:t>
            </w:r>
          </w:p>
        </w:tc>
      </w:tr>
    </w:tbl>
    <w:p w:rsidR="00CF7741" w:rsidRPr="00B00FDF" w:rsidRDefault="00CF7741" w:rsidP="00DA0A30">
      <w:pPr>
        <w:spacing w:before="240" w:after="240" w:line="480" w:lineRule="auto"/>
        <w:jc w:val="both"/>
        <w:rPr>
          <w:lang w:val="en-US"/>
        </w:rPr>
      </w:pPr>
      <w:r w:rsidRPr="00B00FDF">
        <w:rPr>
          <w:b/>
          <w:sz w:val="20"/>
          <w:szCs w:val="20"/>
          <w:lang w:val="en-US"/>
        </w:rPr>
        <w:t xml:space="preserve">Tab. </w:t>
      </w:r>
      <w:r w:rsidR="00C57953">
        <w:rPr>
          <w:b/>
          <w:sz w:val="20"/>
          <w:szCs w:val="20"/>
          <w:lang w:val="en-US"/>
        </w:rPr>
        <w:t>C</w:t>
      </w:r>
      <w:r w:rsidR="00F60191">
        <w:rPr>
          <w:b/>
          <w:sz w:val="20"/>
          <w:szCs w:val="20"/>
          <w:lang w:val="en-US"/>
        </w:rPr>
        <w:t>.3</w:t>
      </w:r>
      <w:r w:rsidRPr="00B00FDF">
        <w:rPr>
          <w:sz w:val="20"/>
          <w:szCs w:val="20"/>
          <w:lang w:val="en-US"/>
        </w:rPr>
        <w:t>. Sweep combinations of specific model parameters used in 55 numerical simulation scenarios.</w:t>
      </w:r>
    </w:p>
    <w:p w:rsidR="00CF7741" w:rsidRPr="00B00FDF" w:rsidRDefault="00CF7741" w:rsidP="00DA0A30">
      <w:pPr>
        <w:spacing w:before="240" w:line="480" w:lineRule="auto"/>
        <w:ind w:left="480"/>
        <w:jc w:val="both"/>
        <w:rPr>
          <w:lang w:val="en-US"/>
        </w:rPr>
      </w:pPr>
    </w:p>
    <w:p w:rsidR="00CF7741" w:rsidRPr="00AE0716" w:rsidRDefault="00CF7741" w:rsidP="00DA0A30">
      <w:pPr>
        <w:spacing w:line="480" w:lineRule="auto"/>
        <w:rPr>
          <w:lang w:val="en-US"/>
        </w:rPr>
      </w:pPr>
    </w:p>
    <w:p w:rsidR="00CF7741" w:rsidRDefault="00CF7741"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A17FD6" w:rsidRDefault="00A17FD6" w:rsidP="00DA0A30">
      <w:pPr>
        <w:spacing w:line="480" w:lineRule="auto"/>
        <w:jc w:val="both"/>
        <w:rPr>
          <w:lang w:val="en-US"/>
        </w:rPr>
      </w:pPr>
    </w:p>
    <w:p w:rsidR="00DA0A30" w:rsidRDefault="00DA0A30" w:rsidP="00DA0A30">
      <w:pPr>
        <w:spacing w:line="480" w:lineRule="auto"/>
        <w:jc w:val="both"/>
        <w:rPr>
          <w:lang w:val="en-US"/>
        </w:rPr>
      </w:pPr>
    </w:p>
    <w:p w:rsidR="00A17FD6" w:rsidRDefault="00A17FD6" w:rsidP="00DA0A30">
      <w:pPr>
        <w:spacing w:line="480" w:lineRule="auto"/>
        <w:jc w:val="both"/>
        <w:rPr>
          <w:lang w:val="en-US"/>
        </w:rPr>
      </w:pPr>
    </w:p>
    <w:p w:rsidR="00D76E32" w:rsidRDefault="00D76E32" w:rsidP="00DA0A30">
      <w:pPr>
        <w:spacing w:line="480" w:lineRule="auto"/>
        <w:jc w:val="both"/>
        <w:rPr>
          <w:lang w:val="en-US"/>
        </w:rPr>
      </w:pPr>
    </w:p>
    <w:p w:rsidR="00D76E32" w:rsidRDefault="00D76E32" w:rsidP="00DA0A30">
      <w:pPr>
        <w:spacing w:line="480" w:lineRule="auto"/>
        <w:jc w:val="both"/>
        <w:rPr>
          <w:lang w:val="en-US"/>
        </w:rPr>
      </w:pPr>
    </w:p>
    <w:p w:rsidR="00B15C62" w:rsidRPr="00DA0A30" w:rsidRDefault="00C57953" w:rsidP="00DA0A30">
      <w:pPr>
        <w:spacing w:line="480" w:lineRule="auto"/>
        <w:jc w:val="both"/>
        <w:rPr>
          <w:sz w:val="24"/>
          <w:szCs w:val="20"/>
          <w:lang w:val="en-US"/>
        </w:rPr>
      </w:pPr>
      <w:r>
        <w:rPr>
          <w:sz w:val="24"/>
          <w:szCs w:val="20"/>
          <w:lang w:val="en-US"/>
        </w:rPr>
        <w:t>D</w:t>
      </w:r>
      <w:r w:rsidR="00974F29" w:rsidRPr="00974F29">
        <w:rPr>
          <w:sz w:val="24"/>
          <w:szCs w:val="20"/>
          <w:lang w:val="en-US"/>
        </w:rPr>
        <w:t xml:space="preserve">. Effect of varying reservoir thickness </w:t>
      </w:r>
      <w:r w:rsidR="00974F29" w:rsidRPr="00974F29">
        <w:rPr>
          <w:i/>
          <w:sz w:val="24"/>
          <w:szCs w:val="20"/>
          <w:lang w:val="en-US"/>
        </w:rPr>
        <w:t>M</w:t>
      </w:r>
      <w:r w:rsidR="00974F29" w:rsidRPr="00974F29">
        <w:rPr>
          <w:sz w:val="24"/>
          <w:szCs w:val="20"/>
          <w:lang w:val="en-US"/>
        </w:rPr>
        <w:t xml:space="preserve"> on </w:t>
      </w:r>
      <w:r w:rsidR="00974F29">
        <w:rPr>
          <w:sz w:val="24"/>
          <w:szCs w:val="20"/>
          <w:lang w:val="en-US"/>
        </w:rPr>
        <w:t xml:space="preserve">performance parameters </w:t>
      </w:r>
      <w:r>
        <w:rPr>
          <w:sz w:val="24"/>
          <w:szCs w:val="20"/>
          <w:lang w:val="en-US"/>
        </w:rPr>
        <w:t>(Fig. D.1</w:t>
      </w:r>
      <w:r w:rsidR="00F60191">
        <w:rPr>
          <w:sz w:val="24"/>
          <w:szCs w:val="20"/>
          <w:lang w:val="en-US"/>
        </w:rPr>
        <w:t>-3</w:t>
      </w:r>
      <w:r w:rsidR="00EE5A69">
        <w:rPr>
          <w:sz w:val="24"/>
          <w:szCs w:val="20"/>
          <w:lang w:val="en-US"/>
        </w:rPr>
        <w:t>)</w:t>
      </w:r>
    </w:p>
    <w:p w:rsidR="00974F29" w:rsidRDefault="00974F29" w:rsidP="00DA0A30">
      <w:pPr>
        <w:spacing w:after="160" w:line="480" w:lineRule="auto"/>
        <w:jc w:val="both"/>
      </w:pPr>
      <w:r>
        <w:rPr>
          <w:noProof/>
          <w:lang w:val="de-DE"/>
        </w:rPr>
        <w:drawing>
          <wp:inline distT="0" distB="0" distL="114300" distR="114300" wp14:anchorId="71704C63" wp14:editId="7C2F7503">
            <wp:extent cx="5731200" cy="3136900"/>
            <wp:effectExtent l="0" t="0" r="0" b="0"/>
            <wp:docPr id="10"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8"/>
                    <a:srcRect/>
                    <a:stretch>
                      <a:fillRect/>
                    </a:stretch>
                  </pic:blipFill>
                  <pic:spPr>
                    <a:xfrm>
                      <a:off x="0" y="0"/>
                      <a:ext cx="5731200" cy="3136900"/>
                    </a:xfrm>
                    <a:prstGeom prst="rect">
                      <a:avLst/>
                    </a:prstGeom>
                    <a:ln/>
                  </pic:spPr>
                </pic:pic>
              </a:graphicData>
            </a:graphic>
          </wp:inline>
        </w:drawing>
      </w:r>
    </w:p>
    <w:p w:rsidR="00974F29" w:rsidRPr="00E15ECC" w:rsidRDefault="00974F29" w:rsidP="00DA0A30">
      <w:pPr>
        <w:spacing w:after="160" w:line="480" w:lineRule="auto"/>
        <w:jc w:val="both"/>
        <w:rPr>
          <w:sz w:val="20"/>
          <w:szCs w:val="20"/>
          <w:lang w:val="en-US"/>
        </w:rPr>
      </w:pPr>
      <w:r w:rsidRPr="00E15ECC">
        <w:rPr>
          <w:b/>
          <w:sz w:val="20"/>
          <w:szCs w:val="20"/>
          <w:lang w:val="en-US"/>
        </w:rPr>
        <w:t xml:space="preserve">Fig. </w:t>
      </w:r>
      <w:r w:rsidR="00C57953">
        <w:rPr>
          <w:b/>
          <w:sz w:val="20"/>
          <w:szCs w:val="20"/>
          <w:lang w:val="en-US"/>
        </w:rPr>
        <w:t>D</w:t>
      </w:r>
      <w:r w:rsidR="00F60191">
        <w:rPr>
          <w:b/>
          <w:sz w:val="20"/>
          <w:szCs w:val="20"/>
          <w:lang w:val="en-US"/>
        </w:rPr>
        <w:t>.1</w:t>
      </w:r>
      <w:r w:rsidRPr="00E15ECC">
        <w:rPr>
          <w:b/>
          <w:sz w:val="20"/>
          <w:szCs w:val="20"/>
          <w:lang w:val="en-US"/>
        </w:rPr>
        <w:t>.</w:t>
      </w:r>
      <w:r w:rsidRPr="00E15ECC">
        <w:rPr>
          <w:sz w:val="20"/>
          <w:szCs w:val="20"/>
          <w:lang w:val="en-US"/>
        </w:rPr>
        <w:t xml:space="preserve"> Effect of varying reservoir thickness </w:t>
      </w:r>
      <w:r w:rsidRPr="00E15ECC">
        <w:rPr>
          <w:i/>
          <w:sz w:val="20"/>
          <w:szCs w:val="20"/>
          <w:lang w:val="en-US"/>
        </w:rPr>
        <w:t>M</w:t>
      </w:r>
      <w:r w:rsidRPr="00E15ECC">
        <w:rPr>
          <w:sz w:val="20"/>
          <w:szCs w:val="20"/>
          <w:lang w:val="en-US"/>
        </w:rPr>
        <w:t xml:space="preserve"> on thermal breakthrough occurrence time, </w:t>
      </w:r>
      <w:r w:rsidRPr="00E15ECC">
        <w:rPr>
          <w:i/>
          <w:sz w:val="20"/>
          <w:szCs w:val="20"/>
          <w:lang w:val="en-US"/>
        </w:rPr>
        <w:t>2a</w:t>
      </w:r>
      <w:r w:rsidRPr="00E15ECC">
        <w:rPr>
          <w:sz w:val="20"/>
          <w:szCs w:val="20"/>
          <w:lang w:val="en-US"/>
        </w:rPr>
        <w:t xml:space="preserve"> = 500 m. The porosity and permeability sweep </w:t>
      </w:r>
      <w:proofErr w:type="gramStart"/>
      <w:r w:rsidRPr="00E15ECC">
        <w:rPr>
          <w:sz w:val="20"/>
          <w:szCs w:val="20"/>
          <w:lang w:val="en-US"/>
        </w:rPr>
        <w:t>is displayed</w:t>
      </w:r>
      <w:proofErr w:type="gramEnd"/>
      <w:r w:rsidRPr="00E15ECC">
        <w:rPr>
          <w:sz w:val="20"/>
          <w:szCs w:val="20"/>
          <w:lang w:val="en-US"/>
        </w:rPr>
        <w:t xml:space="preserve"> via different colors and the pumping rate sweep via increasing size of the data points (solid circles). Left plot shows simulation results linked to the model with the geothermal doublet array, right plot exhibits simulation outcomes derived from the geothermal single doublet.</w:t>
      </w:r>
    </w:p>
    <w:p w:rsidR="00974F29" w:rsidRDefault="00974F29" w:rsidP="00DA0A30">
      <w:pPr>
        <w:spacing w:line="480" w:lineRule="auto"/>
        <w:jc w:val="both"/>
        <w:rPr>
          <w:lang w:val="en-US"/>
        </w:rPr>
      </w:pPr>
    </w:p>
    <w:p w:rsidR="00974F29" w:rsidRDefault="00974F29" w:rsidP="00DA0A30">
      <w:pPr>
        <w:spacing w:line="480" w:lineRule="auto"/>
        <w:jc w:val="both"/>
        <w:rPr>
          <w:lang w:val="en-US"/>
        </w:rPr>
      </w:pPr>
    </w:p>
    <w:p w:rsidR="00074B4C" w:rsidRDefault="00074B4C" w:rsidP="00DA0A30">
      <w:pPr>
        <w:spacing w:after="160" w:line="480" w:lineRule="auto"/>
        <w:jc w:val="both"/>
      </w:pPr>
      <w:r>
        <w:rPr>
          <w:noProof/>
          <w:lang w:val="de-DE"/>
        </w:rPr>
        <w:lastRenderedPageBreak/>
        <w:drawing>
          <wp:inline distT="0" distB="0" distL="0" distR="0" wp14:anchorId="3AFAB9D1" wp14:editId="3FB74DCF">
            <wp:extent cx="5731200" cy="3136900"/>
            <wp:effectExtent l="0" t="0" r="0" b="0"/>
            <wp:docPr id="23" name="image19.png" descr="D:\Mantei.N\Dokumente\Erstes Paper_Parameterstudie\High Quality2\High Quality\Cool3.bmp"/>
            <wp:cNvGraphicFramePr/>
            <a:graphic xmlns:a="http://schemas.openxmlformats.org/drawingml/2006/main">
              <a:graphicData uri="http://schemas.openxmlformats.org/drawingml/2006/picture">
                <pic:pic xmlns:pic="http://schemas.openxmlformats.org/drawingml/2006/picture">
                  <pic:nvPicPr>
                    <pic:cNvPr id="0" name="image19.png" descr="D:\Mantei.N\Dokumente\Erstes Paper_Parameterstudie\High Quality2\High Quality\Cool3.bmp"/>
                    <pic:cNvPicPr preferRelativeResize="0"/>
                  </pic:nvPicPr>
                  <pic:blipFill>
                    <a:blip r:embed="rId9"/>
                    <a:srcRect/>
                    <a:stretch>
                      <a:fillRect/>
                    </a:stretch>
                  </pic:blipFill>
                  <pic:spPr>
                    <a:xfrm>
                      <a:off x="0" y="0"/>
                      <a:ext cx="5731200" cy="3136900"/>
                    </a:xfrm>
                    <a:prstGeom prst="rect">
                      <a:avLst/>
                    </a:prstGeom>
                    <a:ln/>
                  </pic:spPr>
                </pic:pic>
              </a:graphicData>
            </a:graphic>
          </wp:inline>
        </w:drawing>
      </w:r>
    </w:p>
    <w:p w:rsidR="00074B4C" w:rsidRPr="00E15ECC" w:rsidRDefault="00074B4C" w:rsidP="00DA0A30">
      <w:pPr>
        <w:spacing w:after="160" w:line="480" w:lineRule="auto"/>
        <w:jc w:val="both"/>
        <w:rPr>
          <w:sz w:val="20"/>
          <w:szCs w:val="20"/>
          <w:lang w:val="en-US"/>
        </w:rPr>
      </w:pPr>
      <w:r w:rsidRPr="00E15ECC">
        <w:rPr>
          <w:b/>
          <w:sz w:val="20"/>
          <w:szCs w:val="20"/>
          <w:lang w:val="en-US"/>
        </w:rPr>
        <w:t xml:space="preserve">Fig. </w:t>
      </w:r>
      <w:r w:rsidR="00C57953">
        <w:rPr>
          <w:b/>
          <w:sz w:val="20"/>
          <w:szCs w:val="20"/>
          <w:lang w:val="en-US"/>
        </w:rPr>
        <w:t>D</w:t>
      </w:r>
      <w:r w:rsidR="00F60191">
        <w:rPr>
          <w:b/>
          <w:sz w:val="20"/>
          <w:szCs w:val="20"/>
          <w:lang w:val="en-US"/>
        </w:rPr>
        <w:t>.2</w:t>
      </w:r>
      <w:r w:rsidRPr="00E15ECC">
        <w:rPr>
          <w:b/>
          <w:sz w:val="20"/>
          <w:szCs w:val="20"/>
          <w:lang w:val="en-US"/>
        </w:rPr>
        <w:t>.</w:t>
      </w:r>
      <w:r w:rsidRPr="00E15ECC">
        <w:rPr>
          <w:sz w:val="20"/>
          <w:szCs w:val="20"/>
          <w:lang w:val="en-US"/>
        </w:rPr>
        <w:t xml:space="preserve"> Effect of varying aquifer thickness </w:t>
      </w:r>
      <w:r w:rsidRPr="00E15ECC">
        <w:rPr>
          <w:i/>
          <w:sz w:val="20"/>
          <w:szCs w:val="20"/>
          <w:lang w:val="en-US"/>
        </w:rPr>
        <w:t>M</w:t>
      </w:r>
      <w:r w:rsidR="000761BB">
        <w:rPr>
          <w:sz w:val="20"/>
          <w:szCs w:val="20"/>
          <w:lang w:val="en-US"/>
        </w:rPr>
        <w:t xml:space="preserve"> on maximum cooling rate.</w:t>
      </w:r>
    </w:p>
    <w:p w:rsidR="00974F29" w:rsidRDefault="00974F29" w:rsidP="00DA0A30">
      <w:pPr>
        <w:spacing w:line="480" w:lineRule="auto"/>
        <w:jc w:val="both"/>
        <w:rPr>
          <w:lang w:val="en-US"/>
        </w:rPr>
      </w:pPr>
    </w:p>
    <w:p w:rsidR="00074B4C" w:rsidRDefault="00074B4C" w:rsidP="00DA0A30">
      <w:pPr>
        <w:spacing w:after="160" w:line="480" w:lineRule="auto"/>
        <w:jc w:val="both"/>
      </w:pPr>
      <w:r>
        <w:rPr>
          <w:noProof/>
          <w:lang w:val="de-DE"/>
        </w:rPr>
        <w:drawing>
          <wp:inline distT="0" distB="0" distL="0" distR="0" wp14:anchorId="0658F04F" wp14:editId="1D07AC51">
            <wp:extent cx="5731200" cy="3136900"/>
            <wp:effectExtent l="0" t="0" r="0" b="0"/>
            <wp:docPr id="21" name="image18.png" descr="D:\Mantei.N\Dokumente\Erstes Paper_Parameterstudie\High Quality2\High Quality\End3.bmp"/>
            <wp:cNvGraphicFramePr/>
            <a:graphic xmlns:a="http://schemas.openxmlformats.org/drawingml/2006/main">
              <a:graphicData uri="http://schemas.openxmlformats.org/drawingml/2006/picture">
                <pic:pic xmlns:pic="http://schemas.openxmlformats.org/drawingml/2006/picture">
                  <pic:nvPicPr>
                    <pic:cNvPr id="0" name="image18.png" descr="D:\Mantei.N\Dokumente\Erstes Paper_Parameterstudie\High Quality2\High Quality\End3.bmp"/>
                    <pic:cNvPicPr preferRelativeResize="0"/>
                  </pic:nvPicPr>
                  <pic:blipFill>
                    <a:blip r:embed="rId10"/>
                    <a:srcRect/>
                    <a:stretch>
                      <a:fillRect/>
                    </a:stretch>
                  </pic:blipFill>
                  <pic:spPr>
                    <a:xfrm>
                      <a:off x="0" y="0"/>
                      <a:ext cx="5731200" cy="3136900"/>
                    </a:xfrm>
                    <a:prstGeom prst="rect">
                      <a:avLst/>
                    </a:prstGeom>
                    <a:ln/>
                  </pic:spPr>
                </pic:pic>
              </a:graphicData>
            </a:graphic>
          </wp:inline>
        </w:drawing>
      </w:r>
    </w:p>
    <w:p w:rsidR="00074B4C" w:rsidRPr="00E15ECC" w:rsidRDefault="00C57953" w:rsidP="00DA0A30">
      <w:pPr>
        <w:spacing w:after="160" w:line="480" w:lineRule="auto"/>
        <w:jc w:val="both"/>
        <w:rPr>
          <w:sz w:val="20"/>
          <w:szCs w:val="20"/>
          <w:lang w:val="en-US"/>
        </w:rPr>
      </w:pPr>
      <w:r>
        <w:rPr>
          <w:b/>
          <w:sz w:val="20"/>
          <w:szCs w:val="20"/>
          <w:lang w:val="en-US"/>
        </w:rPr>
        <w:t>Fig. D</w:t>
      </w:r>
      <w:r w:rsidR="00F60191">
        <w:rPr>
          <w:b/>
          <w:sz w:val="20"/>
          <w:szCs w:val="20"/>
          <w:lang w:val="en-US"/>
        </w:rPr>
        <w:t>.3</w:t>
      </w:r>
      <w:r w:rsidR="00074B4C" w:rsidRPr="00E15ECC">
        <w:rPr>
          <w:b/>
          <w:sz w:val="20"/>
          <w:szCs w:val="20"/>
          <w:lang w:val="en-US"/>
        </w:rPr>
        <w:t>.</w:t>
      </w:r>
      <w:r w:rsidR="00074B4C" w:rsidRPr="00E15ECC">
        <w:rPr>
          <w:sz w:val="20"/>
          <w:szCs w:val="20"/>
          <w:lang w:val="en-US"/>
        </w:rPr>
        <w:t xml:space="preserve"> Impact of aquifer thickness </w:t>
      </w:r>
      <w:r w:rsidR="00074B4C" w:rsidRPr="00E15ECC">
        <w:rPr>
          <w:i/>
          <w:sz w:val="20"/>
          <w:szCs w:val="20"/>
          <w:lang w:val="en-US"/>
        </w:rPr>
        <w:t>M</w:t>
      </w:r>
      <w:r w:rsidR="000761BB">
        <w:rPr>
          <w:sz w:val="20"/>
          <w:szCs w:val="20"/>
          <w:lang w:val="en-US"/>
        </w:rPr>
        <w:t xml:space="preserve"> on end temperature.</w:t>
      </w:r>
    </w:p>
    <w:p w:rsidR="00074B4C" w:rsidRDefault="00074B4C" w:rsidP="00DA0A30">
      <w:pPr>
        <w:spacing w:line="480" w:lineRule="auto"/>
        <w:jc w:val="both"/>
        <w:rPr>
          <w:sz w:val="24"/>
          <w:szCs w:val="20"/>
          <w:lang w:val="en-US"/>
        </w:rPr>
      </w:pPr>
    </w:p>
    <w:p w:rsidR="00C57953" w:rsidRDefault="00C57953" w:rsidP="00DA0A30">
      <w:pPr>
        <w:spacing w:line="480" w:lineRule="auto"/>
        <w:jc w:val="both"/>
        <w:rPr>
          <w:sz w:val="24"/>
          <w:szCs w:val="20"/>
          <w:lang w:val="en-US"/>
        </w:rPr>
      </w:pPr>
    </w:p>
    <w:p w:rsidR="00C57953" w:rsidRDefault="00C57953" w:rsidP="00DA0A30">
      <w:pPr>
        <w:spacing w:line="480" w:lineRule="auto"/>
        <w:jc w:val="both"/>
        <w:rPr>
          <w:sz w:val="24"/>
          <w:szCs w:val="20"/>
          <w:lang w:val="en-US"/>
        </w:rPr>
      </w:pPr>
    </w:p>
    <w:p w:rsidR="00974F29" w:rsidRPr="00974F29" w:rsidRDefault="00C57953" w:rsidP="00DA0A30">
      <w:pPr>
        <w:spacing w:line="480" w:lineRule="auto"/>
        <w:jc w:val="both"/>
        <w:rPr>
          <w:sz w:val="28"/>
          <w:lang w:val="en-US"/>
        </w:rPr>
      </w:pPr>
      <w:r>
        <w:rPr>
          <w:sz w:val="24"/>
          <w:szCs w:val="20"/>
          <w:lang w:val="en-US"/>
        </w:rPr>
        <w:lastRenderedPageBreak/>
        <w:t>E</w:t>
      </w:r>
      <w:r w:rsidR="00974F29" w:rsidRPr="00974F29">
        <w:rPr>
          <w:sz w:val="24"/>
          <w:szCs w:val="20"/>
          <w:lang w:val="en-US"/>
        </w:rPr>
        <w:t xml:space="preserve">. Effect of varying </w:t>
      </w:r>
      <w:r w:rsidR="00974F29">
        <w:rPr>
          <w:sz w:val="24"/>
          <w:szCs w:val="20"/>
          <w:lang w:val="en-US"/>
        </w:rPr>
        <w:t>injection temperature</w:t>
      </w:r>
      <w:r w:rsidR="00974F29" w:rsidRPr="00974F29">
        <w:rPr>
          <w:sz w:val="24"/>
          <w:szCs w:val="20"/>
          <w:lang w:val="en-US"/>
        </w:rPr>
        <w:t xml:space="preserve"> </w:t>
      </w:r>
      <w:r w:rsidR="00EE5A69">
        <w:rPr>
          <w:sz w:val="24"/>
          <w:szCs w:val="20"/>
          <w:lang w:val="en-US"/>
        </w:rPr>
        <w:t>on thermal breakthrough occurrence time</w:t>
      </w:r>
      <w:r w:rsidR="00974F29">
        <w:rPr>
          <w:sz w:val="24"/>
          <w:szCs w:val="20"/>
          <w:lang w:val="en-US"/>
        </w:rPr>
        <w:t xml:space="preserve"> </w:t>
      </w:r>
      <w:r w:rsidR="00F60191">
        <w:rPr>
          <w:sz w:val="24"/>
          <w:szCs w:val="20"/>
          <w:lang w:val="en-US"/>
        </w:rPr>
        <w:t xml:space="preserve">(Fig. </w:t>
      </w:r>
      <w:r>
        <w:rPr>
          <w:sz w:val="24"/>
          <w:szCs w:val="20"/>
          <w:lang w:val="en-US"/>
        </w:rPr>
        <w:t>E</w:t>
      </w:r>
      <w:r w:rsidR="00F60191">
        <w:rPr>
          <w:sz w:val="24"/>
          <w:szCs w:val="20"/>
          <w:lang w:val="en-US"/>
        </w:rPr>
        <w:t>.1</w:t>
      </w:r>
      <w:r w:rsidR="00EE5A69">
        <w:rPr>
          <w:sz w:val="24"/>
          <w:szCs w:val="20"/>
          <w:lang w:val="en-US"/>
        </w:rPr>
        <w:t>)</w:t>
      </w:r>
    </w:p>
    <w:p w:rsidR="00974F29" w:rsidRDefault="00974F29" w:rsidP="00DA0A30">
      <w:pPr>
        <w:spacing w:line="480" w:lineRule="auto"/>
        <w:jc w:val="both"/>
        <w:rPr>
          <w:lang w:val="en-US"/>
        </w:rPr>
      </w:pPr>
    </w:p>
    <w:p w:rsidR="00974F29" w:rsidRDefault="00974F29" w:rsidP="00DA0A30">
      <w:pPr>
        <w:spacing w:after="160" w:line="480" w:lineRule="auto"/>
        <w:jc w:val="both"/>
      </w:pPr>
      <w:r>
        <w:rPr>
          <w:noProof/>
          <w:lang w:val="de-DE"/>
        </w:rPr>
        <w:drawing>
          <wp:inline distT="114300" distB="114300" distL="114300" distR="114300" wp14:anchorId="7A7550D4" wp14:editId="01AABE98">
            <wp:extent cx="5344886" cy="3581400"/>
            <wp:effectExtent l="0" t="0" r="8255"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5366544" cy="3595912"/>
                    </a:xfrm>
                    <a:prstGeom prst="rect">
                      <a:avLst/>
                    </a:prstGeom>
                    <a:ln/>
                  </pic:spPr>
                </pic:pic>
              </a:graphicData>
            </a:graphic>
          </wp:inline>
        </w:drawing>
      </w:r>
    </w:p>
    <w:p w:rsidR="00974F29" w:rsidRPr="00E15ECC" w:rsidRDefault="0020211D" w:rsidP="00DA0A30">
      <w:pPr>
        <w:spacing w:after="160" w:line="480" w:lineRule="auto"/>
        <w:jc w:val="both"/>
        <w:rPr>
          <w:sz w:val="20"/>
          <w:szCs w:val="20"/>
          <w:lang w:val="en-US"/>
        </w:rPr>
      </w:pPr>
      <w:r>
        <w:rPr>
          <w:b/>
          <w:sz w:val="20"/>
          <w:szCs w:val="20"/>
          <w:lang w:val="en-US"/>
        </w:rPr>
        <w:t xml:space="preserve">Fig. </w:t>
      </w:r>
      <w:r w:rsidR="00C57953">
        <w:rPr>
          <w:b/>
          <w:sz w:val="20"/>
          <w:szCs w:val="20"/>
          <w:lang w:val="en-US"/>
        </w:rPr>
        <w:t>E</w:t>
      </w:r>
      <w:r w:rsidR="00F60191">
        <w:rPr>
          <w:b/>
          <w:sz w:val="20"/>
          <w:szCs w:val="20"/>
          <w:lang w:val="en-US"/>
        </w:rPr>
        <w:t>.1</w:t>
      </w:r>
      <w:r w:rsidR="00974F29" w:rsidRPr="00E15ECC">
        <w:rPr>
          <w:b/>
          <w:sz w:val="20"/>
          <w:szCs w:val="20"/>
          <w:lang w:val="en-US"/>
        </w:rPr>
        <w:t>.</w:t>
      </w:r>
      <w:r w:rsidR="00974F29" w:rsidRPr="00E15ECC">
        <w:rPr>
          <w:sz w:val="20"/>
          <w:szCs w:val="20"/>
          <w:lang w:val="en-US"/>
        </w:rPr>
        <w:t xml:space="preserve"> Influence of the injection temperature on thermal breakthrough occurrence time, </w:t>
      </w:r>
      <w:r w:rsidR="00974F29" w:rsidRPr="00E15ECC">
        <w:rPr>
          <w:i/>
          <w:sz w:val="20"/>
          <w:szCs w:val="20"/>
          <w:lang w:val="en-US"/>
        </w:rPr>
        <w:t>2a</w:t>
      </w:r>
      <w:r w:rsidR="00974F29" w:rsidRPr="00E15ECC">
        <w:rPr>
          <w:sz w:val="20"/>
          <w:szCs w:val="20"/>
          <w:lang w:val="en-US"/>
        </w:rPr>
        <w:t xml:space="preserve"> = 500 m. Pumping rate sweep is displayed through different colors and the number of neighboring wells with the aid of different shapes of the data points (symbols). </w:t>
      </w:r>
    </w:p>
    <w:p w:rsidR="00DE1A48" w:rsidRDefault="00DE1A48" w:rsidP="00DA0A30">
      <w:pPr>
        <w:spacing w:line="480" w:lineRule="auto"/>
        <w:jc w:val="both"/>
        <w:rPr>
          <w:sz w:val="24"/>
          <w:lang w:val="en-US"/>
        </w:rPr>
      </w:pPr>
    </w:p>
    <w:p w:rsidR="00C57953" w:rsidRDefault="00C57953" w:rsidP="00DA0A30">
      <w:pPr>
        <w:spacing w:line="480" w:lineRule="auto"/>
        <w:jc w:val="both"/>
        <w:rPr>
          <w:sz w:val="24"/>
          <w:lang w:val="en-US"/>
        </w:rPr>
      </w:pPr>
    </w:p>
    <w:p w:rsidR="00C57953" w:rsidRDefault="00C57953" w:rsidP="00DA0A30">
      <w:pPr>
        <w:spacing w:line="480" w:lineRule="auto"/>
        <w:jc w:val="both"/>
        <w:rPr>
          <w:sz w:val="24"/>
          <w:lang w:val="en-US"/>
        </w:rPr>
      </w:pPr>
    </w:p>
    <w:p w:rsidR="00C57953" w:rsidRDefault="00C57953" w:rsidP="00DA0A30">
      <w:pPr>
        <w:spacing w:line="480" w:lineRule="auto"/>
        <w:jc w:val="both"/>
        <w:rPr>
          <w:sz w:val="24"/>
          <w:lang w:val="en-US"/>
        </w:rPr>
      </w:pPr>
    </w:p>
    <w:p w:rsidR="00C57953" w:rsidRDefault="00C57953" w:rsidP="00DA0A30">
      <w:pPr>
        <w:spacing w:line="480" w:lineRule="auto"/>
        <w:jc w:val="both"/>
        <w:rPr>
          <w:sz w:val="24"/>
          <w:lang w:val="en-US"/>
        </w:rPr>
      </w:pPr>
    </w:p>
    <w:p w:rsidR="00C57953" w:rsidRDefault="00C57953" w:rsidP="00DA0A30">
      <w:pPr>
        <w:spacing w:line="480" w:lineRule="auto"/>
        <w:jc w:val="both"/>
        <w:rPr>
          <w:sz w:val="24"/>
          <w:lang w:val="en-US"/>
        </w:rPr>
      </w:pPr>
    </w:p>
    <w:p w:rsidR="00C57953" w:rsidRDefault="00C57953" w:rsidP="00DA0A30">
      <w:pPr>
        <w:spacing w:line="480" w:lineRule="auto"/>
        <w:jc w:val="both"/>
        <w:rPr>
          <w:sz w:val="24"/>
          <w:lang w:val="en-US"/>
        </w:rPr>
      </w:pPr>
    </w:p>
    <w:p w:rsidR="00C57953" w:rsidRDefault="00C57953" w:rsidP="00DA0A30">
      <w:pPr>
        <w:spacing w:line="480" w:lineRule="auto"/>
        <w:jc w:val="both"/>
        <w:rPr>
          <w:sz w:val="24"/>
          <w:lang w:val="en-US"/>
        </w:rPr>
      </w:pPr>
    </w:p>
    <w:p w:rsidR="00C57953" w:rsidRDefault="00C57953" w:rsidP="00DA0A30">
      <w:pPr>
        <w:spacing w:line="480" w:lineRule="auto"/>
        <w:jc w:val="both"/>
        <w:rPr>
          <w:sz w:val="24"/>
          <w:lang w:val="en-US"/>
        </w:rPr>
      </w:pPr>
    </w:p>
    <w:p w:rsidR="00D76E32" w:rsidRPr="00974F29" w:rsidRDefault="00C57953" w:rsidP="00DA0A30">
      <w:pPr>
        <w:spacing w:line="480" w:lineRule="auto"/>
        <w:jc w:val="both"/>
        <w:rPr>
          <w:sz w:val="28"/>
          <w:lang w:val="en-US"/>
        </w:rPr>
      </w:pPr>
      <w:r>
        <w:rPr>
          <w:sz w:val="24"/>
          <w:szCs w:val="20"/>
          <w:lang w:val="en-US"/>
        </w:rPr>
        <w:lastRenderedPageBreak/>
        <w:t>F</w:t>
      </w:r>
      <w:r w:rsidR="00D76E32">
        <w:rPr>
          <w:sz w:val="24"/>
          <w:szCs w:val="20"/>
          <w:lang w:val="en-US"/>
        </w:rPr>
        <w:t xml:space="preserve">. Effect of number of neighboring wells </w:t>
      </w:r>
      <w:r w:rsidR="00D76E32" w:rsidRPr="00974F29">
        <w:rPr>
          <w:sz w:val="24"/>
          <w:szCs w:val="20"/>
          <w:lang w:val="en-US"/>
        </w:rPr>
        <w:t xml:space="preserve">on </w:t>
      </w:r>
      <w:r w:rsidR="0020211D">
        <w:rPr>
          <w:sz w:val="24"/>
          <w:szCs w:val="20"/>
          <w:lang w:val="en-US"/>
        </w:rPr>
        <w:t xml:space="preserve">maximum cooling rate (Fig. </w:t>
      </w:r>
      <w:r>
        <w:rPr>
          <w:sz w:val="24"/>
          <w:szCs w:val="20"/>
          <w:lang w:val="en-US"/>
        </w:rPr>
        <w:t>F</w:t>
      </w:r>
      <w:r w:rsidR="00F60191">
        <w:rPr>
          <w:sz w:val="24"/>
          <w:szCs w:val="20"/>
          <w:lang w:val="en-US"/>
        </w:rPr>
        <w:t>.1</w:t>
      </w:r>
      <w:r w:rsidR="00EE5A69">
        <w:rPr>
          <w:sz w:val="24"/>
          <w:szCs w:val="20"/>
          <w:lang w:val="en-US"/>
        </w:rPr>
        <w:t>)</w:t>
      </w:r>
    </w:p>
    <w:p w:rsidR="00D76E32" w:rsidRDefault="00D76E32" w:rsidP="00DA0A30">
      <w:pPr>
        <w:spacing w:line="480" w:lineRule="auto"/>
        <w:jc w:val="both"/>
        <w:rPr>
          <w:lang w:val="en-US"/>
        </w:rPr>
      </w:pPr>
    </w:p>
    <w:p w:rsidR="00D76E32" w:rsidRDefault="00D76E32" w:rsidP="00DA0A30">
      <w:pPr>
        <w:spacing w:after="160" w:line="480" w:lineRule="auto"/>
        <w:jc w:val="center"/>
      </w:pPr>
      <w:r>
        <w:rPr>
          <w:noProof/>
          <w:lang w:val="de-DE"/>
        </w:rPr>
        <w:drawing>
          <wp:inline distT="114300" distB="114300" distL="114300" distR="114300" wp14:anchorId="7407F076" wp14:editId="6FA0C6B8">
            <wp:extent cx="5010150" cy="3495675"/>
            <wp:effectExtent l="0" t="0" r="0" b="9525"/>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5069335" cy="3536969"/>
                    </a:xfrm>
                    <a:prstGeom prst="rect">
                      <a:avLst/>
                    </a:prstGeom>
                    <a:ln/>
                  </pic:spPr>
                </pic:pic>
              </a:graphicData>
            </a:graphic>
          </wp:inline>
        </w:drawing>
      </w:r>
    </w:p>
    <w:p w:rsidR="00D76E32" w:rsidRPr="00E15ECC" w:rsidRDefault="00C57953" w:rsidP="00DA0A30">
      <w:pPr>
        <w:spacing w:after="160" w:line="480" w:lineRule="auto"/>
        <w:jc w:val="both"/>
        <w:rPr>
          <w:sz w:val="20"/>
          <w:szCs w:val="20"/>
          <w:lang w:val="en-US"/>
        </w:rPr>
      </w:pPr>
      <w:r>
        <w:rPr>
          <w:b/>
          <w:sz w:val="20"/>
          <w:szCs w:val="20"/>
          <w:lang w:val="en-US"/>
        </w:rPr>
        <w:t>Fig. F</w:t>
      </w:r>
      <w:r w:rsidR="00F60191">
        <w:rPr>
          <w:b/>
          <w:sz w:val="20"/>
          <w:szCs w:val="20"/>
          <w:lang w:val="en-US"/>
        </w:rPr>
        <w:t>.1</w:t>
      </w:r>
      <w:r w:rsidR="00D76E32" w:rsidRPr="00E15ECC">
        <w:rPr>
          <w:b/>
          <w:sz w:val="20"/>
          <w:szCs w:val="20"/>
          <w:lang w:val="en-US"/>
        </w:rPr>
        <w:t>.</w:t>
      </w:r>
      <w:r w:rsidR="00D76E32" w:rsidRPr="00E15ECC">
        <w:rPr>
          <w:sz w:val="20"/>
          <w:szCs w:val="20"/>
          <w:lang w:val="en-US"/>
        </w:rPr>
        <w:t xml:space="preserve"> Dependency of the maximum cooling rate from the number of neighboring wells </w:t>
      </w:r>
      <w:r w:rsidR="00D76E32" w:rsidRPr="00E15ECC">
        <w:rPr>
          <w:i/>
          <w:sz w:val="20"/>
          <w:szCs w:val="20"/>
          <w:lang w:val="en-US"/>
        </w:rPr>
        <w:t>n</w:t>
      </w:r>
      <w:r w:rsidR="00D76E32" w:rsidRPr="00E15ECC">
        <w:rPr>
          <w:sz w:val="20"/>
          <w:szCs w:val="20"/>
          <w:lang w:val="en-US"/>
        </w:rPr>
        <w:t xml:space="preserve">. The porosity and permeability sweep </w:t>
      </w:r>
      <w:proofErr w:type="gramStart"/>
      <w:r w:rsidR="00D76E32" w:rsidRPr="00E15ECC">
        <w:rPr>
          <w:sz w:val="20"/>
          <w:szCs w:val="20"/>
          <w:lang w:val="en-US"/>
        </w:rPr>
        <w:t>is displayed</w:t>
      </w:r>
      <w:proofErr w:type="gramEnd"/>
      <w:r w:rsidR="00D76E32" w:rsidRPr="00E15ECC">
        <w:rPr>
          <w:sz w:val="20"/>
          <w:szCs w:val="20"/>
          <w:lang w:val="en-US"/>
        </w:rPr>
        <w:t xml:space="preserve"> via different colors and the reservoir thickness sweep by increasing the size of the data points (solid circles). Inter-well distance is 700 m.</w:t>
      </w:r>
    </w:p>
    <w:sectPr w:rsidR="00D76E32" w:rsidRPr="00E15ECC" w:rsidSect="00605E3C">
      <w:footerReference w:type="default" r:id="rId13"/>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3FDF" w:rsidRDefault="00653FDF" w:rsidP="00D83BAE">
      <w:pPr>
        <w:spacing w:line="240" w:lineRule="auto"/>
      </w:pPr>
      <w:r>
        <w:separator/>
      </w:r>
    </w:p>
  </w:endnote>
  <w:endnote w:type="continuationSeparator" w:id="0">
    <w:p w:rsidR="00653FDF" w:rsidRDefault="00653FDF" w:rsidP="00D83B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9350444"/>
      <w:docPartObj>
        <w:docPartGallery w:val="Page Numbers (Bottom of Page)"/>
        <w:docPartUnique/>
      </w:docPartObj>
    </w:sdtPr>
    <w:sdtEndPr/>
    <w:sdtContent>
      <w:p w:rsidR="00D83BAE" w:rsidRDefault="00D83BAE">
        <w:pPr>
          <w:pStyle w:val="Fuzeile"/>
          <w:jc w:val="right"/>
        </w:pPr>
        <w:r>
          <w:fldChar w:fldCharType="begin"/>
        </w:r>
        <w:r>
          <w:instrText>PAGE   \* MERGEFORMAT</w:instrText>
        </w:r>
        <w:r>
          <w:fldChar w:fldCharType="separate"/>
        </w:r>
        <w:r w:rsidR="00605E3C" w:rsidRPr="00605E3C">
          <w:rPr>
            <w:noProof/>
            <w:lang w:val="de-DE"/>
          </w:rPr>
          <w:t>20</w:t>
        </w:r>
        <w:r>
          <w:fldChar w:fldCharType="end"/>
        </w:r>
      </w:p>
    </w:sdtContent>
  </w:sdt>
  <w:p w:rsidR="00D83BAE" w:rsidRDefault="00D83BA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3FDF" w:rsidRDefault="00653FDF" w:rsidP="00D83BAE">
      <w:pPr>
        <w:spacing w:line="240" w:lineRule="auto"/>
      </w:pPr>
      <w:r>
        <w:separator/>
      </w:r>
    </w:p>
  </w:footnote>
  <w:footnote w:type="continuationSeparator" w:id="0">
    <w:p w:rsidR="00653FDF" w:rsidRDefault="00653FDF" w:rsidP="00D83BA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FB58BD"/>
    <w:multiLevelType w:val="multilevel"/>
    <w:tmpl w:val="146A733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2A90C47"/>
    <w:multiLevelType w:val="hybridMultilevel"/>
    <w:tmpl w:val="15B89FD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6D"/>
    <w:rsid w:val="00013EF5"/>
    <w:rsid w:val="000208DC"/>
    <w:rsid w:val="00074B4C"/>
    <w:rsid w:val="000761BB"/>
    <w:rsid w:val="000B426A"/>
    <w:rsid w:val="000C03AE"/>
    <w:rsid w:val="001014D9"/>
    <w:rsid w:val="00111EC5"/>
    <w:rsid w:val="00116FA1"/>
    <w:rsid w:val="001A4DBD"/>
    <w:rsid w:val="001E75B7"/>
    <w:rsid w:val="0020211D"/>
    <w:rsid w:val="0024217D"/>
    <w:rsid w:val="002857FD"/>
    <w:rsid w:val="00325399"/>
    <w:rsid w:val="003F7AB8"/>
    <w:rsid w:val="004013CC"/>
    <w:rsid w:val="0043706D"/>
    <w:rsid w:val="00466677"/>
    <w:rsid w:val="004E7E91"/>
    <w:rsid w:val="004F56C1"/>
    <w:rsid w:val="0050423A"/>
    <w:rsid w:val="00507E6D"/>
    <w:rsid w:val="00511178"/>
    <w:rsid w:val="00540C57"/>
    <w:rsid w:val="0057143B"/>
    <w:rsid w:val="005829DE"/>
    <w:rsid w:val="00605E3C"/>
    <w:rsid w:val="00653FDF"/>
    <w:rsid w:val="00657C4E"/>
    <w:rsid w:val="00660158"/>
    <w:rsid w:val="006F75B0"/>
    <w:rsid w:val="00775142"/>
    <w:rsid w:val="00974F29"/>
    <w:rsid w:val="009A1F1B"/>
    <w:rsid w:val="00A17FD6"/>
    <w:rsid w:val="00A56B94"/>
    <w:rsid w:val="00AA7F0C"/>
    <w:rsid w:val="00AB333B"/>
    <w:rsid w:val="00AE0716"/>
    <w:rsid w:val="00AE1836"/>
    <w:rsid w:val="00B15C62"/>
    <w:rsid w:val="00B970C0"/>
    <w:rsid w:val="00BA4D21"/>
    <w:rsid w:val="00C251D3"/>
    <w:rsid w:val="00C57953"/>
    <w:rsid w:val="00C95708"/>
    <w:rsid w:val="00CB6942"/>
    <w:rsid w:val="00CD5B1A"/>
    <w:rsid w:val="00CF7741"/>
    <w:rsid w:val="00D03A65"/>
    <w:rsid w:val="00D70228"/>
    <w:rsid w:val="00D76E32"/>
    <w:rsid w:val="00D807D6"/>
    <w:rsid w:val="00D83BAE"/>
    <w:rsid w:val="00DA0A30"/>
    <w:rsid w:val="00DB0804"/>
    <w:rsid w:val="00DE1A48"/>
    <w:rsid w:val="00E432E9"/>
    <w:rsid w:val="00E66255"/>
    <w:rsid w:val="00EE5A69"/>
    <w:rsid w:val="00F60191"/>
    <w:rsid w:val="00F96DB3"/>
    <w:rsid w:val="00FA6A19"/>
    <w:rsid w:val="00FC2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35B94B-F973-48B3-B18B-240B7A974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0208DC"/>
    <w:pPr>
      <w:spacing w:after="0" w:line="276" w:lineRule="auto"/>
    </w:pPr>
    <w:rPr>
      <w:rFonts w:ascii="Arial" w:eastAsia="Arial" w:hAnsi="Arial" w:cs="Arial"/>
      <w:lang w:val="de" w:eastAsia="de-DE"/>
    </w:rPr>
  </w:style>
  <w:style w:type="paragraph" w:styleId="berschrift1">
    <w:name w:val="heading 1"/>
    <w:basedOn w:val="Standard"/>
    <w:next w:val="Standard"/>
    <w:link w:val="berschrift1Zchn"/>
    <w:rsid w:val="0043706D"/>
    <w:pPr>
      <w:keepNext/>
      <w:keepLines/>
      <w:spacing w:before="400" w:after="120"/>
      <w:outlineLvl w:val="0"/>
    </w:pPr>
    <w:rPr>
      <w:sz w:val="40"/>
      <w:szCs w:val="40"/>
    </w:rPr>
  </w:style>
  <w:style w:type="paragraph" w:styleId="berschrift2">
    <w:name w:val="heading 2"/>
    <w:basedOn w:val="Standard"/>
    <w:next w:val="Standard"/>
    <w:link w:val="berschrift2Zchn"/>
    <w:uiPriority w:val="9"/>
    <w:semiHidden/>
    <w:unhideWhenUsed/>
    <w:qFormat/>
    <w:rsid w:val="0024217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3706D"/>
    <w:pPr>
      <w:ind w:left="720"/>
      <w:contextualSpacing/>
    </w:pPr>
  </w:style>
  <w:style w:type="character" w:customStyle="1" w:styleId="berschrift1Zchn">
    <w:name w:val="Überschrift 1 Zchn"/>
    <w:basedOn w:val="Absatz-Standardschriftart"/>
    <w:link w:val="berschrift1"/>
    <w:rsid w:val="0043706D"/>
    <w:rPr>
      <w:rFonts w:ascii="Arial" w:eastAsia="Arial" w:hAnsi="Arial" w:cs="Arial"/>
      <w:sz w:val="40"/>
      <w:szCs w:val="40"/>
      <w:lang w:val="de" w:eastAsia="de-DE"/>
    </w:rPr>
  </w:style>
  <w:style w:type="character" w:customStyle="1" w:styleId="berschrift2Zchn">
    <w:name w:val="Überschrift 2 Zchn"/>
    <w:basedOn w:val="Absatz-Standardschriftart"/>
    <w:link w:val="berschrift2"/>
    <w:uiPriority w:val="9"/>
    <w:semiHidden/>
    <w:rsid w:val="0024217D"/>
    <w:rPr>
      <w:rFonts w:asciiTheme="majorHAnsi" w:eastAsiaTheme="majorEastAsia" w:hAnsiTheme="majorHAnsi" w:cstheme="majorBidi"/>
      <w:color w:val="2E74B5" w:themeColor="accent1" w:themeShade="BF"/>
      <w:sz w:val="26"/>
      <w:szCs w:val="26"/>
      <w:lang w:val="de" w:eastAsia="de-DE"/>
    </w:rPr>
  </w:style>
  <w:style w:type="paragraph" w:styleId="Kopfzeile">
    <w:name w:val="header"/>
    <w:basedOn w:val="Standard"/>
    <w:link w:val="KopfzeileZchn"/>
    <w:uiPriority w:val="99"/>
    <w:unhideWhenUsed/>
    <w:rsid w:val="00D83BAE"/>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D83BAE"/>
    <w:rPr>
      <w:rFonts w:ascii="Arial" w:eastAsia="Arial" w:hAnsi="Arial" w:cs="Arial"/>
      <w:lang w:val="de" w:eastAsia="de-DE"/>
    </w:rPr>
  </w:style>
  <w:style w:type="paragraph" w:styleId="Fuzeile">
    <w:name w:val="footer"/>
    <w:basedOn w:val="Standard"/>
    <w:link w:val="FuzeileZchn"/>
    <w:uiPriority w:val="99"/>
    <w:unhideWhenUsed/>
    <w:rsid w:val="00D83BAE"/>
    <w:pPr>
      <w:tabs>
        <w:tab w:val="center" w:pos="4536"/>
        <w:tab w:val="right" w:pos="9072"/>
      </w:tabs>
      <w:spacing w:line="240" w:lineRule="auto"/>
    </w:pPr>
  </w:style>
  <w:style w:type="character" w:customStyle="1" w:styleId="FuzeileZchn">
    <w:name w:val="Fußzeile Zchn"/>
    <w:basedOn w:val="Absatz-Standardschriftart"/>
    <w:link w:val="Fuzeile"/>
    <w:uiPriority w:val="99"/>
    <w:rsid w:val="00D83BAE"/>
    <w:rPr>
      <w:rFonts w:ascii="Arial" w:eastAsia="Arial" w:hAnsi="Arial" w:cs="Arial"/>
      <w:lang w:val="de" w:eastAsia="de-DE"/>
    </w:rPr>
  </w:style>
  <w:style w:type="character" w:styleId="Zeilennummer">
    <w:name w:val="line number"/>
    <w:basedOn w:val="Absatz-Standardschriftart"/>
    <w:uiPriority w:val="99"/>
    <w:semiHidden/>
    <w:unhideWhenUsed/>
    <w:rsid w:val="00605E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2315</Words>
  <Characters>14587</Characters>
  <Application>Microsoft Office Word</Application>
  <DocSecurity>0</DocSecurity>
  <Lines>121</Lines>
  <Paragraphs>33</Paragraphs>
  <ScaleCrop>false</ScaleCrop>
  <HeadingPairs>
    <vt:vector size="2" baseType="variant">
      <vt:variant>
        <vt:lpstr>Titel</vt:lpstr>
      </vt:variant>
      <vt:variant>
        <vt:i4>1</vt:i4>
      </vt:variant>
    </vt:vector>
  </HeadingPairs>
  <TitlesOfParts>
    <vt:vector size="1" baseType="lpstr">
      <vt:lpstr/>
    </vt:vector>
  </TitlesOfParts>
  <Company>GZH</Company>
  <LinksUpToDate>false</LinksUpToDate>
  <CharactersWithSpaces>16869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Mantei, Niklas</dc:creator>
  <cp:keywords/>
  <dc:description/>
  <cp:lastModifiedBy>Mantei, Niklas</cp:lastModifiedBy>
  <cp:revision>32</cp:revision>
  <dcterms:created xsi:type="dcterms:W3CDTF">2024-04-09T08:54:00Z</dcterms:created>
  <dcterms:modified xsi:type="dcterms:W3CDTF">2024-07-26T12:15:00Z</dcterms:modified>
</cp:coreProperties>
</file>