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E80D3" w14:textId="31DE9FDE" w:rsidR="00000000" w:rsidRDefault="00000000" w:rsidP="00425A18">
      <w:pPr>
        <w:spacing w:after="24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5A18">
        <w:rPr>
          <w:rFonts w:ascii="Times New Roman" w:eastAsia="Times New Roman" w:hAnsi="Times New Roman" w:cs="Times New Roman"/>
          <w:b/>
          <w:bCs/>
          <w:sz w:val="28"/>
          <w:szCs w:val="28"/>
        </w:rPr>
        <w:t>Supplementary information</w:t>
      </w:r>
    </w:p>
    <w:p w14:paraId="1A666075" w14:textId="0D247992" w:rsidR="00000000" w:rsidRDefault="00000000" w:rsidP="00275A3C">
      <w:pPr>
        <w:spacing w:after="0" w:line="480" w:lineRule="auto"/>
        <w:rPr>
          <w:rFonts w:ascii="Times New Roman" w:eastAsia="Times New Roman" w:hAnsi="Times New Roman" w:cs="Times New Roman"/>
          <w:bCs/>
        </w:rPr>
      </w:pPr>
      <w:r w:rsidRPr="00275A3C">
        <w:rPr>
          <w:rFonts w:ascii="Times New Roman" w:eastAsia="Times New Roman" w:hAnsi="Times New Roman" w:cs="Times New Roman"/>
          <w:b/>
          <w:bCs/>
        </w:rPr>
        <w:t>Additional file 1: Fig. S1.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F332FE">
        <w:rPr>
          <w:rFonts w:ascii="Times New Roman" w:eastAsia="Times New Roman" w:hAnsi="Times New Roman" w:cs="Times New Roman"/>
          <w:bCs/>
        </w:rPr>
        <w:t xml:space="preserve">Rarefaction analyses to ensure the equitable comparisons of species richness and diversity metrics across all samples. </w:t>
      </w:r>
      <w:r w:rsidRPr="00F332FE">
        <w:rPr>
          <w:rFonts w:ascii="Times New Roman" w:eastAsia="Times New Roman" w:hAnsi="Times New Roman" w:cs="Times New Roman"/>
          <w:bCs/>
        </w:rPr>
        <w:t>Samples with a rarefaction depth lower than 4000 were discarded from diversity analysis.</w:t>
      </w:r>
      <w:r>
        <w:rPr>
          <w:rFonts w:ascii="Times New Roman" w:eastAsia="Times New Roman" w:hAnsi="Times New Roman" w:cs="Times New Roman"/>
          <w:bCs/>
        </w:rPr>
        <w:t xml:space="preserve"> </w:t>
      </w:r>
    </w:p>
    <w:p w14:paraId="65D0F30D" w14:textId="75118495" w:rsidR="00000000" w:rsidRPr="00F332FE" w:rsidRDefault="00000000" w:rsidP="00275A3C">
      <w:pPr>
        <w:spacing w:after="0" w:line="480" w:lineRule="auto"/>
        <w:rPr>
          <w:rFonts w:ascii="Times New Roman" w:eastAsia="Times New Roman" w:hAnsi="Times New Roman" w:cs="Times New Roman"/>
          <w:b/>
        </w:rPr>
      </w:pPr>
      <w:r w:rsidRPr="00275A3C">
        <w:rPr>
          <w:rFonts w:ascii="Times New Roman" w:eastAsia="Times New Roman" w:hAnsi="Times New Roman" w:cs="Times New Roman"/>
          <w:b/>
          <w:bCs/>
        </w:rPr>
        <w:t>Additional file</w:t>
      </w:r>
      <w:r>
        <w:rPr>
          <w:rFonts w:ascii="Times New Roman" w:eastAsia="Times New Roman" w:hAnsi="Times New Roman" w:cs="Times New Roman"/>
          <w:b/>
          <w:bCs/>
        </w:rPr>
        <w:t xml:space="preserve"> 2: Table S1.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BA194E">
        <w:rPr>
          <w:rFonts w:ascii="Times New Roman" w:eastAsia="Times New Roman" w:hAnsi="Times New Roman" w:cs="Times New Roman"/>
        </w:rPr>
        <w:t>List of primers for gene expression analysis</w:t>
      </w:r>
      <w:r>
        <w:rPr>
          <w:rFonts w:ascii="Times New Roman" w:eastAsia="Times New Roman" w:hAnsi="Times New Roman" w:cs="Times New Roman"/>
        </w:rPr>
        <w:t>.</w:t>
      </w:r>
    </w:p>
    <w:p w14:paraId="308B1A09" w14:textId="5F496CA2" w:rsidR="00000000" w:rsidRPr="00F332FE" w:rsidRDefault="00000000" w:rsidP="00275A3C">
      <w:pPr>
        <w:spacing w:after="0" w:line="480" w:lineRule="auto"/>
        <w:rPr>
          <w:rFonts w:ascii="Times New Roman" w:eastAsia="Times New Roman" w:hAnsi="Times New Roman" w:cs="Times New Roman"/>
        </w:rPr>
      </w:pPr>
      <w:r w:rsidRPr="00275A3C">
        <w:rPr>
          <w:rFonts w:ascii="Times New Roman" w:eastAsia="Times New Roman" w:hAnsi="Times New Roman" w:cs="Times New Roman"/>
          <w:b/>
          <w:bCs/>
        </w:rPr>
        <w:t xml:space="preserve">Additional file </w:t>
      </w:r>
      <w:r>
        <w:rPr>
          <w:rFonts w:ascii="Times New Roman" w:eastAsia="Times New Roman" w:hAnsi="Times New Roman" w:cs="Times New Roman"/>
          <w:b/>
          <w:bCs/>
        </w:rPr>
        <w:t>3</w:t>
      </w:r>
      <w:r w:rsidRPr="00275A3C">
        <w:rPr>
          <w:rFonts w:ascii="Times New Roman" w:eastAsia="Times New Roman" w:hAnsi="Times New Roman" w:cs="Times New Roman"/>
          <w:b/>
          <w:bCs/>
        </w:rPr>
        <w:t>: Fig. S</w:t>
      </w:r>
      <w:r>
        <w:rPr>
          <w:rFonts w:ascii="Times New Roman" w:eastAsia="Times New Roman" w:hAnsi="Times New Roman" w:cs="Times New Roman"/>
          <w:b/>
          <w:bCs/>
        </w:rPr>
        <w:t>2</w:t>
      </w:r>
      <w:r w:rsidRPr="00F332FE">
        <w:rPr>
          <w:rFonts w:ascii="Times New Roman" w:eastAsia="Times New Roman" w:hAnsi="Times New Roman" w:cs="Times New Roman"/>
          <w:b/>
        </w:rPr>
        <w:t xml:space="preserve">. </w:t>
      </w:r>
      <w:r w:rsidRPr="00F332FE">
        <w:rPr>
          <w:rFonts w:ascii="Times New Roman" w:eastAsia="Times New Roman" w:hAnsi="Times New Roman" w:cs="Times New Roman"/>
          <w:bCs/>
        </w:rPr>
        <w:t>Susceptibility of</w:t>
      </w:r>
      <w:r w:rsidRPr="00F332FE">
        <w:rPr>
          <w:rFonts w:ascii="Times New Roman" w:eastAsia="Times New Roman" w:hAnsi="Times New Roman" w:cs="Times New Roman"/>
          <w:b/>
        </w:rPr>
        <w:t xml:space="preserve"> </w:t>
      </w:r>
      <w:r w:rsidRPr="00F332FE">
        <w:rPr>
          <w:rFonts w:ascii="Times New Roman" w:eastAsia="Times New Roman" w:hAnsi="Times New Roman" w:cs="Times New Roman"/>
          <w:bCs/>
        </w:rPr>
        <w:t xml:space="preserve">three different laboratory populations of </w:t>
      </w:r>
      <w:r w:rsidRPr="00F332FE">
        <w:rPr>
          <w:rFonts w:ascii="Times New Roman" w:eastAsia="Times New Roman" w:hAnsi="Times New Roman" w:cs="Times New Roman"/>
          <w:bCs/>
          <w:i/>
          <w:iCs/>
        </w:rPr>
        <w:t xml:space="preserve">Aedes albopictus </w:t>
      </w:r>
      <w:r w:rsidRPr="00F332FE">
        <w:rPr>
          <w:rFonts w:ascii="Times New Roman" w:eastAsia="Times New Roman" w:hAnsi="Times New Roman" w:cs="Times New Roman"/>
          <w:bCs/>
        </w:rPr>
        <w:t xml:space="preserve">to Bti-based bio-insecticide. </w:t>
      </w:r>
      <w:r w:rsidRPr="00F332FE">
        <w:rPr>
          <w:rFonts w:ascii="Times New Roman" w:eastAsia="Times New Roman" w:hAnsi="Times New Roman" w:cs="Times New Roman"/>
          <w:b/>
        </w:rPr>
        <w:t>A</w:t>
      </w:r>
      <w:r w:rsidRPr="00F332FE">
        <w:rPr>
          <w:rFonts w:ascii="Times New Roman" w:eastAsia="Times New Roman" w:hAnsi="Times New Roman" w:cs="Times New Roman"/>
        </w:rPr>
        <w:t>. Dose-response curve of Foshan, Tapachula and Crema populations exposed to different concentrations of Bti. Dashed line refers to the log dose of the LC</w:t>
      </w:r>
      <w:r w:rsidRPr="00F332FE">
        <w:rPr>
          <w:rFonts w:ascii="Times New Roman" w:eastAsia="Times New Roman" w:hAnsi="Times New Roman" w:cs="Times New Roman"/>
          <w:vertAlign w:val="subscript"/>
        </w:rPr>
        <w:t>50</w:t>
      </w:r>
      <w:r w:rsidRPr="00F332FE">
        <w:rPr>
          <w:rFonts w:ascii="Times New Roman" w:eastAsia="Times New Roman" w:hAnsi="Times New Roman" w:cs="Times New Roman"/>
        </w:rPr>
        <w:t xml:space="preserve">. </w:t>
      </w:r>
      <w:r w:rsidRPr="00F332FE">
        <w:rPr>
          <w:rFonts w:ascii="Times New Roman" w:eastAsia="Times New Roman" w:hAnsi="Times New Roman" w:cs="Times New Roman"/>
          <w:b/>
        </w:rPr>
        <w:t>B</w:t>
      </w:r>
      <w:r w:rsidRPr="00F332FE">
        <w:rPr>
          <w:rFonts w:ascii="Times New Roman" w:eastAsia="Times New Roman" w:hAnsi="Times New Roman" w:cs="Times New Roman"/>
        </w:rPr>
        <w:t xml:space="preserve">. </w:t>
      </w:r>
      <w:r w:rsidRPr="00F332FE" w:rsidDel="00B46419">
        <w:rPr>
          <w:rFonts w:ascii="Times New Roman" w:hAnsi="Times New Roman" w:cs="Times New Roman"/>
        </w:rPr>
        <w:t xml:space="preserve"> </w:t>
      </w:r>
      <w:r w:rsidRPr="00F332FE">
        <w:rPr>
          <w:rFonts w:ascii="Times New Roman" w:eastAsia="Times New Roman" w:hAnsi="Times New Roman" w:cs="Times New Roman"/>
        </w:rPr>
        <w:t xml:space="preserve">Probit analysis of Crema strain. The plot </w:t>
      </w:r>
      <w:r w:rsidRPr="00F332FE">
        <w:rPr>
          <w:rFonts w:ascii="Times New Roman" w:eastAsia="Times New Roman" w:hAnsi="Times New Roman" w:cs="Times New Roman"/>
        </w:rPr>
        <w:t>illustrates the transformation of the dose-response curve into the linear regression between the log dose and probit of mortality based on the Finney’s table [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8</w:t>
      </w:r>
      <w:r w:rsidRPr="00F332FE">
        <w:rPr>
          <w:rFonts w:ascii="Times New Roman" w:eastAsia="Times New Roman" w:hAnsi="Times New Roman" w:cs="Times New Roman"/>
        </w:rPr>
        <w:t>]. The dashed line refers to the log dose of the LC</w:t>
      </w:r>
      <w:r w:rsidRPr="00F332FE">
        <w:rPr>
          <w:rFonts w:ascii="Times New Roman" w:eastAsia="Times New Roman" w:hAnsi="Times New Roman" w:cs="Times New Roman"/>
          <w:vertAlign w:val="subscript"/>
        </w:rPr>
        <w:t>80</w:t>
      </w:r>
      <w:r w:rsidRPr="00F332FE">
        <w:rPr>
          <w:rFonts w:ascii="Times New Roman" w:eastAsia="Times New Roman" w:hAnsi="Times New Roman" w:cs="Times New Roman"/>
        </w:rPr>
        <w:t>. </w:t>
      </w:r>
    </w:p>
    <w:p w14:paraId="6372967F" w14:textId="482E5C53" w:rsidR="00000000" w:rsidRPr="00F332FE" w:rsidRDefault="00000000" w:rsidP="00275A3C">
      <w:pPr>
        <w:spacing w:after="0" w:line="480" w:lineRule="auto"/>
        <w:rPr>
          <w:rFonts w:ascii="Times New Roman" w:eastAsia="Times New Roman" w:hAnsi="Times New Roman" w:cs="Times New Roman"/>
        </w:rPr>
      </w:pPr>
      <w:r w:rsidRPr="00275A3C">
        <w:rPr>
          <w:rFonts w:ascii="Times New Roman" w:eastAsia="Times New Roman" w:hAnsi="Times New Roman" w:cs="Times New Roman"/>
          <w:b/>
          <w:bCs/>
        </w:rPr>
        <w:t>Additional file</w:t>
      </w:r>
      <w:r>
        <w:rPr>
          <w:rFonts w:ascii="Times New Roman" w:eastAsia="Times New Roman" w:hAnsi="Times New Roman" w:cs="Times New Roman"/>
          <w:b/>
          <w:bCs/>
        </w:rPr>
        <w:t xml:space="preserve"> 4: Table S2.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BA194E">
        <w:rPr>
          <w:rFonts w:ascii="Times New Roman" w:eastAsia="Times New Roman" w:hAnsi="Times New Roman" w:cs="Times New Roman"/>
        </w:rPr>
        <w:t>Comparison of values of life-table parameters in tolerant and control larvae, emerging adults and the progeny from these adults (F1)</w:t>
      </w:r>
      <w:r>
        <w:rPr>
          <w:rFonts w:ascii="Times New Roman" w:eastAsia="Times New Roman" w:hAnsi="Times New Roman" w:cs="Times New Roman"/>
        </w:rPr>
        <w:t>.</w:t>
      </w:r>
    </w:p>
    <w:p w14:paraId="3E046E10" w14:textId="5F8D14D8" w:rsidR="00000000" w:rsidRPr="00F332FE" w:rsidRDefault="00000000" w:rsidP="00275A3C">
      <w:pPr>
        <w:spacing w:after="0" w:line="480" w:lineRule="auto"/>
        <w:rPr>
          <w:rFonts w:ascii="Times New Roman" w:eastAsia="Times New Roman" w:hAnsi="Times New Roman" w:cs="Times New Roman"/>
          <w:bCs/>
        </w:rPr>
      </w:pPr>
      <w:r w:rsidRPr="00275A3C">
        <w:rPr>
          <w:rFonts w:ascii="Times New Roman" w:eastAsia="Times New Roman" w:hAnsi="Times New Roman" w:cs="Times New Roman"/>
          <w:b/>
          <w:bCs/>
        </w:rPr>
        <w:t>Additional file</w:t>
      </w:r>
      <w:r>
        <w:rPr>
          <w:rFonts w:ascii="Times New Roman" w:eastAsia="Times New Roman" w:hAnsi="Times New Roman" w:cs="Times New Roman"/>
          <w:b/>
          <w:bCs/>
        </w:rPr>
        <w:t xml:space="preserve"> 5: </w:t>
      </w:r>
      <w:r w:rsidRPr="00F332FE">
        <w:rPr>
          <w:rFonts w:ascii="Times New Roman" w:eastAsia="Times New Roman" w:hAnsi="Times New Roman" w:cs="Times New Roman"/>
          <w:b/>
        </w:rPr>
        <w:t>Fig</w:t>
      </w:r>
      <w:r>
        <w:rPr>
          <w:rFonts w:ascii="Times New Roman" w:eastAsia="Times New Roman" w:hAnsi="Times New Roman" w:cs="Times New Roman"/>
          <w:b/>
        </w:rPr>
        <w:t>.</w:t>
      </w:r>
      <w:r w:rsidRPr="00F332FE">
        <w:rPr>
          <w:rFonts w:ascii="Times New Roman" w:eastAsia="Times New Roman" w:hAnsi="Times New Roman" w:cs="Times New Roman"/>
          <w:b/>
        </w:rPr>
        <w:t xml:space="preserve"> S3. </w:t>
      </w:r>
      <w:r w:rsidRPr="00F332FE">
        <w:rPr>
          <w:rFonts w:ascii="Times New Roman" w:eastAsia="Times New Roman" w:hAnsi="Times New Roman" w:cs="Times New Roman"/>
          <w:bCs/>
        </w:rPr>
        <w:t>Fitness comparisons between Bti-tolerant and control adults. Percentage of adult emergence (</w:t>
      </w:r>
      <w:r w:rsidRPr="00F332FE">
        <w:rPr>
          <w:rFonts w:ascii="Times New Roman" w:eastAsia="Times New Roman" w:hAnsi="Times New Roman" w:cs="Times New Roman"/>
          <w:b/>
        </w:rPr>
        <w:t>A</w:t>
      </w:r>
      <w:r w:rsidRPr="00F332FE">
        <w:rPr>
          <w:rFonts w:ascii="Times New Roman" w:eastAsia="Times New Roman" w:hAnsi="Times New Roman" w:cs="Times New Roman"/>
          <w:bCs/>
        </w:rPr>
        <w:t xml:space="preserve">), </w:t>
      </w:r>
      <w:r w:rsidRPr="00F332FE">
        <w:rPr>
          <w:rFonts w:ascii="Times New Roman" w:eastAsia="Times New Roman" w:hAnsi="Times New Roman" w:cs="Times New Roman"/>
          <w:bCs/>
        </w:rPr>
        <w:t>blood feeding rate (</w:t>
      </w:r>
      <w:r w:rsidRPr="00F332FE">
        <w:rPr>
          <w:rFonts w:ascii="Times New Roman" w:eastAsia="Times New Roman" w:hAnsi="Times New Roman" w:cs="Times New Roman"/>
          <w:b/>
        </w:rPr>
        <w:t>B</w:t>
      </w:r>
      <w:r w:rsidRPr="00F332FE">
        <w:rPr>
          <w:rFonts w:ascii="Times New Roman" w:eastAsia="Times New Roman" w:hAnsi="Times New Roman" w:cs="Times New Roman"/>
          <w:bCs/>
        </w:rPr>
        <w:t>), sterile female (</w:t>
      </w:r>
      <w:r w:rsidRPr="00F332FE">
        <w:rPr>
          <w:rFonts w:ascii="Times New Roman" w:eastAsia="Times New Roman" w:hAnsi="Times New Roman" w:cs="Times New Roman"/>
          <w:b/>
        </w:rPr>
        <w:t>C</w:t>
      </w:r>
      <w:r w:rsidRPr="00F332FE">
        <w:rPr>
          <w:rFonts w:ascii="Times New Roman" w:eastAsia="Times New Roman" w:hAnsi="Times New Roman" w:cs="Times New Roman"/>
          <w:bCs/>
        </w:rPr>
        <w:t>) and non-fertile eggs (</w:t>
      </w:r>
      <w:r w:rsidRPr="00F332FE">
        <w:rPr>
          <w:rFonts w:ascii="Times New Roman" w:eastAsia="Times New Roman" w:hAnsi="Times New Roman" w:cs="Times New Roman"/>
          <w:b/>
        </w:rPr>
        <w:t>D</w:t>
      </w:r>
      <w:r w:rsidRPr="00F332FE">
        <w:rPr>
          <w:rFonts w:ascii="Times New Roman" w:eastAsia="Times New Roman" w:hAnsi="Times New Roman" w:cs="Times New Roman"/>
          <w:bCs/>
        </w:rPr>
        <w:t>) of Bti and control groups. Green and purple colors represent control and Bti groups, respectively. C</w:t>
      </w:r>
      <w:r w:rsidRPr="00F332FE">
        <w:rPr>
          <w:rFonts w:ascii="Times New Roman" w:eastAsia="Times New Roman" w:hAnsi="Times New Roman" w:cs="Times New Roman"/>
        </w:rPr>
        <w:t>omparison of the fitness parameters between Bti and control samples was performed using Student's t-test. * Represents P-value&lt;0.05.</w:t>
      </w:r>
    </w:p>
    <w:p w14:paraId="19E11E88" w14:textId="78502731" w:rsidR="00000000" w:rsidRPr="00BA194E" w:rsidRDefault="00000000" w:rsidP="00275A3C">
      <w:pPr>
        <w:spacing w:after="0" w:line="480" w:lineRule="auto"/>
        <w:rPr>
          <w:rFonts w:ascii="Times New Roman" w:eastAsia="Times New Roman" w:hAnsi="Times New Roman" w:cs="Times New Roman"/>
        </w:rPr>
      </w:pPr>
      <w:r w:rsidRPr="00275A3C">
        <w:rPr>
          <w:rFonts w:ascii="Times New Roman" w:eastAsia="Times New Roman" w:hAnsi="Times New Roman" w:cs="Times New Roman"/>
          <w:b/>
          <w:bCs/>
        </w:rPr>
        <w:t>Additional file</w:t>
      </w:r>
      <w:r>
        <w:rPr>
          <w:rFonts w:ascii="Times New Roman" w:eastAsia="Times New Roman" w:hAnsi="Times New Roman" w:cs="Times New Roman"/>
          <w:b/>
          <w:bCs/>
        </w:rPr>
        <w:t xml:space="preserve"> 6: Table S3.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BA194E">
        <w:rPr>
          <w:rFonts w:ascii="Times New Roman" w:eastAsia="Times New Roman" w:hAnsi="Times New Roman" w:cs="Times New Roman"/>
        </w:rPr>
        <w:t>Summary of number of sequences with DADA2 filtering</w:t>
      </w:r>
      <w:r>
        <w:rPr>
          <w:rFonts w:ascii="Times New Roman" w:eastAsia="Times New Roman" w:hAnsi="Times New Roman" w:cs="Times New Roman"/>
        </w:rPr>
        <w:t>.</w:t>
      </w:r>
    </w:p>
    <w:p w14:paraId="1D2E87E1" w14:textId="5089F3CA" w:rsidR="00000000" w:rsidRPr="00BA194E" w:rsidRDefault="00000000" w:rsidP="00275A3C">
      <w:pPr>
        <w:spacing w:after="0" w:line="480" w:lineRule="auto"/>
        <w:rPr>
          <w:rFonts w:ascii="Times New Roman" w:eastAsia="Times New Roman" w:hAnsi="Times New Roman" w:cs="Times New Roman"/>
        </w:rPr>
      </w:pPr>
      <w:r w:rsidRPr="00275A3C">
        <w:rPr>
          <w:rFonts w:ascii="Times New Roman" w:eastAsia="Times New Roman" w:hAnsi="Times New Roman" w:cs="Times New Roman"/>
          <w:b/>
          <w:bCs/>
        </w:rPr>
        <w:t>Additional file</w:t>
      </w:r>
      <w:r>
        <w:rPr>
          <w:rFonts w:ascii="Times New Roman" w:eastAsia="Times New Roman" w:hAnsi="Times New Roman" w:cs="Times New Roman"/>
          <w:b/>
          <w:bCs/>
        </w:rPr>
        <w:t xml:space="preserve"> 7: Table S4.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BA194E">
        <w:rPr>
          <w:rFonts w:ascii="Times New Roman" w:eastAsia="Times New Roman" w:hAnsi="Times New Roman" w:cs="Times New Roman"/>
        </w:rPr>
        <w:t>Average relative abundance of sequences assigned to a given bacterial taxon at genus level</w:t>
      </w:r>
      <w:r>
        <w:rPr>
          <w:rFonts w:ascii="Times New Roman" w:eastAsia="Times New Roman" w:hAnsi="Times New Roman" w:cs="Times New Roman"/>
        </w:rPr>
        <w:t>.</w:t>
      </w:r>
    </w:p>
    <w:p w14:paraId="49F7FEC4" w14:textId="316DE994" w:rsidR="00000000" w:rsidRPr="00BA194E" w:rsidRDefault="00000000" w:rsidP="00275A3C">
      <w:pPr>
        <w:spacing w:after="0" w:line="480" w:lineRule="auto"/>
        <w:rPr>
          <w:rFonts w:ascii="Times New Roman" w:eastAsia="Times New Roman" w:hAnsi="Times New Roman" w:cs="Times New Roman"/>
        </w:rPr>
      </w:pPr>
      <w:r w:rsidRPr="00275A3C">
        <w:rPr>
          <w:rFonts w:ascii="Times New Roman" w:eastAsia="Times New Roman" w:hAnsi="Times New Roman" w:cs="Times New Roman"/>
          <w:b/>
          <w:bCs/>
        </w:rPr>
        <w:t>Additional file</w:t>
      </w:r>
      <w:r>
        <w:rPr>
          <w:rFonts w:ascii="Times New Roman" w:eastAsia="Times New Roman" w:hAnsi="Times New Roman" w:cs="Times New Roman"/>
          <w:b/>
          <w:bCs/>
        </w:rPr>
        <w:t xml:space="preserve"> 8: Table S5.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BA194E">
        <w:rPr>
          <w:rFonts w:ascii="Times New Roman" w:eastAsia="Times New Roman" w:hAnsi="Times New Roman" w:cs="Times New Roman"/>
        </w:rPr>
        <w:t>Top 50 most abundant genera based on relative abundance.</w:t>
      </w:r>
    </w:p>
    <w:p w14:paraId="716A7F50" w14:textId="5FB84B73" w:rsidR="00000000" w:rsidRPr="00BA194E" w:rsidRDefault="00000000" w:rsidP="00275A3C">
      <w:pPr>
        <w:spacing w:after="0" w:line="480" w:lineRule="auto"/>
        <w:rPr>
          <w:rFonts w:ascii="Times New Roman" w:eastAsia="Times New Roman" w:hAnsi="Times New Roman" w:cs="Times New Roman"/>
        </w:rPr>
      </w:pPr>
      <w:r w:rsidRPr="00275A3C">
        <w:rPr>
          <w:rFonts w:ascii="Times New Roman" w:eastAsia="Times New Roman" w:hAnsi="Times New Roman" w:cs="Times New Roman"/>
          <w:b/>
          <w:bCs/>
        </w:rPr>
        <w:t>Additional file</w:t>
      </w:r>
      <w:r>
        <w:rPr>
          <w:rFonts w:ascii="Times New Roman" w:eastAsia="Times New Roman" w:hAnsi="Times New Roman" w:cs="Times New Roman"/>
          <w:b/>
          <w:bCs/>
        </w:rPr>
        <w:t xml:space="preserve"> 9: Table S6.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BA194E">
        <w:rPr>
          <w:rFonts w:ascii="Times New Roman" w:eastAsia="Times New Roman" w:hAnsi="Times New Roman" w:cs="Times New Roman"/>
        </w:rPr>
        <w:t>Comparison of diversity metrics of the gut microbiota</w:t>
      </w:r>
      <w:r>
        <w:rPr>
          <w:rFonts w:ascii="Times New Roman" w:eastAsia="Times New Roman" w:hAnsi="Times New Roman" w:cs="Times New Roman"/>
        </w:rPr>
        <w:t>.</w:t>
      </w:r>
    </w:p>
    <w:p w14:paraId="3B5B3D9C" w14:textId="7A289496" w:rsidR="00000000" w:rsidRPr="00F332FE" w:rsidRDefault="00000000" w:rsidP="00275A3C">
      <w:pPr>
        <w:spacing w:after="0" w:line="480" w:lineRule="auto"/>
        <w:rPr>
          <w:rFonts w:ascii="Times New Roman" w:eastAsia="Times New Roman" w:hAnsi="Times New Roman" w:cs="Times New Roman"/>
          <w:bCs/>
        </w:rPr>
      </w:pPr>
      <w:r w:rsidRPr="00275A3C">
        <w:rPr>
          <w:rFonts w:ascii="Times New Roman" w:eastAsia="Times New Roman" w:hAnsi="Times New Roman" w:cs="Times New Roman"/>
          <w:b/>
          <w:bCs/>
        </w:rPr>
        <w:lastRenderedPageBreak/>
        <w:t>Additional file</w:t>
      </w:r>
      <w:r>
        <w:rPr>
          <w:rFonts w:ascii="Times New Roman" w:eastAsia="Times New Roman" w:hAnsi="Times New Roman" w:cs="Times New Roman"/>
          <w:b/>
          <w:bCs/>
        </w:rPr>
        <w:t xml:space="preserve"> 10: </w:t>
      </w:r>
      <w:r w:rsidRPr="00F332FE">
        <w:rPr>
          <w:rFonts w:ascii="Times New Roman" w:eastAsia="Times New Roman" w:hAnsi="Times New Roman" w:cs="Times New Roman"/>
          <w:b/>
        </w:rPr>
        <w:t>Fig</w:t>
      </w:r>
      <w:r>
        <w:rPr>
          <w:rFonts w:ascii="Times New Roman" w:eastAsia="Times New Roman" w:hAnsi="Times New Roman" w:cs="Times New Roman"/>
          <w:b/>
        </w:rPr>
        <w:t>.</w:t>
      </w:r>
      <w:r w:rsidRPr="00F332FE">
        <w:rPr>
          <w:rFonts w:ascii="Times New Roman" w:eastAsia="Times New Roman" w:hAnsi="Times New Roman" w:cs="Times New Roman"/>
          <w:b/>
        </w:rPr>
        <w:t xml:space="preserve"> S4. </w:t>
      </w:r>
      <w:r w:rsidRPr="00F332FE">
        <w:rPr>
          <w:rFonts w:ascii="Times New Roman" w:eastAsia="Times New Roman" w:hAnsi="Times New Roman" w:cs="Times New Roman"/>
          <w:bCs/>
        </w:rPr>
        <w:t>Bar plot of the relative abundances of microbial community at the rank of phylum (</w:t>
      </w:r>
      <w:r w:rsidRPr="00F332FE">
        <w:rPr>
          <w:rFonts w:ascii="Times New Roman" w:eastAsia="Times New Roman" w:hAnsi="Times New Roman" w:cs="Times New Roman"/>
          <w:b/>
        </w:rPr>
        <w:t>A</w:t>
      </w:r>
      <w:r w:rsidRPr="00F332FE">
        <w:rPr>
          <w:rFonts w:ascii="Times New Roman" w:eastAsia="Times New Roman" w:hAnsi="Times New Roman" w:cs="Times New Roman"/>
          <w:bCs/>
        </w:rPr>
        <w:t>), family (</w:t>
      </w:r>
      <w:r w:rsidRPr="00F332FE">
        <w:rPr>
          <w:rFonts w:ascii="Times New Roman" w:eastAsia="Times New Roman" w:hAnsi="Times New Roman" w:cs="Times New Roman"/>
          <w:b/>
        </w:rPr>
        <w:t>B</w:t>
      </w:r>
      <w:r w:rsidRPr="00F332FE">
        <w:rPr>
          <w:rFonts w:ascii="Times New Roman" w:eastAsia="Times New Roman" w:hAnsi="Times New Roman" w:cs="Times New Roman"/>
          <w:bCs/>
        </w:rPr>
        <w:t>) and genus (</w:t>
      </w:r>
      <w:r w:rsidRPr="00F332FE">
        <w:rPr>
          <w:rFonts w:ascii="Times New Roman" w:eastAsia="Times New Roman" w:hAnsi="Times New Roman" w:cs="Times New Roman"/>
          <w:b/>
        </w:rPr>
        <w:t>C</w:t>
      </w:r>
      <w:r w:rsidRPr="00F332FE">
        <w:rPr>
          <w:rFonts w:ascii="Times New Roman" w:eastAsia="Times New Roman" w:hAnsi="Times New Roman" w:cs="Times New Roman"/>
          <w:bCs/>
        </w:rPr>
        <w:t xml:space="preserve">) in the gut of larvae and adults exposed to Bti and controls. </w:t>
      </w:r>
      <w:r w:rsidRPr="00F332FE">
        <w:rPr>
          <w:rFonts w:ascii="Times New Roman" w:eastAsia="Times New Roman" w:hAnsi="Times New Roman" w:cs="Times New Roman"/>
        </w:rPr>
        <w:t xml:space="preserve">Each bar in panels A and B represents the most abundant bacterial phylum and family respectively for each experimental group. Each bar in panel C shows the relative abundance assigned to a given bacterial genus, excluding </w:t>
      </w:r>
      <w:r w:rsidRPr="00F332FE">
        <w:rPr>
          <w:rFonts w:ascii="Times New Roman" w:eastAsia="Times New Roman" w:hAnsi="Times New Roman" w:cs="Times New Roman"/>
          <w:i/>
          <w:iCs/>
        </w:rPr>
        <w:t>Wolbachia</w:t>
      </w:r>
      <w:r w:rsidRPr="00F332FE">
        <w:rPr>
          <w:rFonts w:ascii="Times New Roman" w:eastAsia="Times New Roman" w:hAnsi="Times New Roman" w:cs="Times New Roman"/>
        </w:rPr>
        <w:t>, for each individual gut.</w:t>
      </w:r>
    </w:p>
    <w:p w14:paraId="47D5B961" w14:textId="77777777" w:rsidR="00000000" w:rsidRPr="00F332FE" w:rsidRDefault="00000000" w:rsidP="004C5170">
      <w:pPr>
        <w:spacing w:after="0" w:line="480" w:lineRule="auto"/>
        <w:rPr>
          <w:rFonts w:ascii="Times New Roman" w:eastAsia="Times New Roman" w:hAnsi="Times New Roman" w:cs="Times New Roman"/>
        </w:rPr>
      </w:pPr>
      <w:r w:rsidRPr="00275A3C">
        <w:rPr>
          <w:rFonts w:ascii="Times New Roman" w:eastAsia="Times New Roman" w:hAnsi="Times New Roman" w:cs="Times New Roman"/>
          <w:b/>
          <w:bCs/>
        </w:rPr>
        <w:t>Additional file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11</w:t>
      </w:r>
      <w:r>
        <w:rPr>
          <w:rFonts w:ascii="Times New Roman" w:eastAsia="Times New Roman" w:hAnsi="Times New Roman" w:cs="Times New Roman"/>
          <w:b/>
          <w:bCs/>
        </w:rPr>
        <w:t>: Table S</w:t>
      </w:r>
      <w:r>
        <w:rPr>
          <w:rFonts w:ascii="Times New Roman" w:eastAsia="Times New Roman" w:hAnsi="Times New Roman" w:cs="Times New Roman"/>
          <w:b/>
          <w:bCs/>
        </w:rPr>
        <w:t>7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BA194E">
        <w:rPr>
          <w:rFonts w:ascii="Times New Roman" w:eastAsia="Times New Roman" w:hAnsi="Times New Roman" w:cs="Times New Roman"/>
        </w:rPr>
        <w:t>Common bacterial genera between groups</w:t>
      </w:r>
      <w:r>
        <w:rPr>
          <w:rFonts w:ascii="Times New Roman" w:eastAsia="Times New Roman" w:hAnsi="Times New Roman" w:cs="Times New Roman"/>
        </w:rPr>
        <w:t xml:space="preserve"> and their average relative abundance.</w:t>
      </w:r>
    </w:p>
    <w:p w14:paraId="75C6D9AA" w14:textId="6576F6D3" w:rsidR="00000000" w:rsidRPr="00F332FE" w:rsidRDefault="00000000" w:rsidP="00275A3C">
      <w:pPr>
        <w:spacing w:after="0" w:line="480" w:lineRule="auto"/>
        <w:rPr>
          <w:rFonts w:ascii="Times New Roman" w:eastAsia="Times New Roman" w:hAnsi="Times New Roman" w:cs="Times New Roman"/>
        </w:rPr>
      </w:pPr>
      <w:r w:rsidRPr="00275A3C">
        <w:rPr>
          <w:rFonts w:ascii="Times New Roman" w:eastAsia="Times New Roman" w:hAnsi="Times New Roman" w:cs="Times New Roman"/>
          <w:b/>
          <w:bCs/>
        </w:rPr>
        <w:t>Additional file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12</w:t>
      </w:r>
      <w:r>
        <w:rPr>
          <w:rFonts w:ascii="Times New Roman" w:eastAsia="Times New Roman" w:hAnsi="Times New Roman" w:cs="Times New Roman"/>
          <w:b/>
          <w:bCs/>
        </w:rPr>
        <w:t>: Table S</w:t>
      </w:r>
      <w:r>
        <w:rPr>
          <w:rFonts w:ascii="Times New Roman" w:eastAsia="Times New Roman" w:hAnsi="Times New Roman" w:cs="Times New Roman"/>
          <w:b/>
          <w:bCs/>
        </w:rPr>
        <w:t>8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BA194E">
        <w:rPr>
          <w:rFonts w:ascii="Times New Roman" w:eastAsia="Times New Roman" w:hAnsi="Times New Roman" w:cs="Times New Roman"/>
        </w:rPr>
        <w:t>Statistical analysis of differentially abundant genus</w:t>
      </w:r>
      <w:r>
        <w:rPr>
          <w:rFonts w:ascii="Times New Roman" w:eastAsia="Times New Roman" w:hAnsi="Times New Roman" w:cs="Times New Roman"/>
        </w:rPr>
        <w:t xml:space="preserve"> in each experimental group.</w:t>
      </w:r>
    </w:p>
    <w:p w14:paraId="53D6726A" w14:textId="648F20A0" w:rsidR="00000000" w:rsidRPr="00275A3C" w:rsidRDefault="00000000" w:rsidP="00425A18">
      <w:pPr>
        <w:spacing w:after="240" w:line="480" w:lineRule="auto"/>
        <w:rPr>
          <w:rFonts w:ascii="Times New Roman" w:eastAsia="Times New Roman" w:hAnsi="Times New Roman" w:cs="Times New Roman"/>
          <w:b/>
          <w:bCs/>
        </w:rPr>
      </w:pPr>
    </w:p>
    <w:p w14:paraId="423D18C2" w14:textId="27B75C74" w:rsidR="00000000" w:rsidRDefault="00000000">
      <w:pPr>
        <w:rPr>
          <w:rFonts w:ascii="Times New Roman" w:eastAsia="Times New Roman" w:hAnsi="Times New Roman" w:cs="Times New Roman"/>
        </w:rPr>
      </w:pPr>
    </w:p>
    <w:sectPr w:rsidR="004E3F89" w:rsidSect="00F332FE">
      <w:footerReference w:type="default" r:id="rId7"/>
      <w:pgSz w:w="11906" w:h="16838"/>
      <w:pgMar w:top="1440" w:right="1440" w:bottom="1440" w:left="1440" w:header="708" w:footer="708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EF8215" w14:textId="77777777" w:rsidR="007A7567" w:rsidRDefault="007A7567">
      <w:pPr>
        <w:spacing w:after="0" w:line="240" w:lineRule="auto"/>
      </w:pPr>
      <w:r>
        <w:separator/>
      </w:r>
    </w:p>
  </w:endnote>
  <w:endnote w:type="continuationSeparator" w:id="0">
    <w:p w14:paraId="2C924B82" w14:textId="77777777" w:rsidR="007A7567" w:rsidRDefault="007A7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27469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DB6016" w14:textId="10DCF7F1" w:rsidR="00000000" w:rsidRDefault="00000000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421F94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D149D5" w14:textId="77777777" w:rsidR="007A7567" w:rsidRDefault="007A7567">
      <w:pPr>
        <w:spacing w:after="0" w:line="240" w:lineRule="auto"/>
      </w:pPr>
      <w:r>
        <w:separator/>
      </w:r>
    </w:p>
  </w:footnote>
  <w:footnote w:type="continuationSeparator" w:id="0">
    <w:p w14:paraId="5855B477" w14:textId="77777777" w:rsidR="007A7567" w:rsidRDefault="007A7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980019"/>
    <w:multiLevelType w:val="multilevel"/>
    <w:tmpl w:val="DD1C1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09143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BDF"/>
    <w:rsid w:val="007967E4"/>
    <w:rsid w:val="007A7567"/>
    <w:rsid w:val="00A11274"/>
    <w:rsid w:val="00DD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AD3AD"/>
  <w15:docId w15:val="{0BAB8C15-182A-45B3-B43D-152EC020A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96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Trupti Sudge</dc:creator>
  <cp:lastModifiedBy>Trupti Sudge</cp:lastModifiedBy>
  <cp:revision>1</cp:revision>
  <dcterms:created xsi:type="dcterms:W3CDTF">2024-08-22T11:53:00Z</dcterms:created>
  <dcterms:modified xsi:type="dcterms:W3CDTF">2024-08-22T11:57:00Z</dcterms:modified>
</cp:coreProperties>
</file>