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2DD68" w14:textId="77777777" w:rsidR="00E45152" w:rsidRPr="0041216F" w:rsidRDefault="00E45152" w:rsidP="00E45152">
      <w:pPr>
        <w:spacing w:line="480" w:lineRule="auto"/>
        <w:jc w:val="center"/>
        <w:rPr>
          <w:b/>
          <w:bCs/>
          <w:sz w:val="24"/>
          <w:szCs w:val="24"/>
          <w:lang w:val="en-CA"/>
        </w:rPr>
      </w:pPr>
      <w:r w:rsidRPr="0041216F">
        <w:rPr>
          <w:b/>
          <w:bCs/>
          <w:sz w:val="24"/>
          <w:szCs w:val="24"/>
          <w:lang w:val="en-CA"/>
        </w:rPr>
        <w:t>Appendix A</w:t>
      </w:r>
    </w:p>
    <w:p w14:paraId="3F048D9D" w14:textId="77777777" w:rsidR="00E45152" w:rsidRPr="0041216F" w:rsidRDefault="00E45152" w:rsidP="00E45152">
      <w:pPr>
        <w:spacing w:line="480" w:lineRule="auto"/>
        <w:rPr>
          <w:sz w:val="24"/>
          <w:szCs w:val="24"/>
          <w:lang w:val="en-CA"/>
        </w:rPr>
      </w:pPr>
      <w:r w:rsidRPr="0041216F">
        <w:rPr>
          <w:sz w:val="24"/>
          <w:szCs w:val="24"/>
          <w:lang w:val="en-CA"/>
        </w:rPr>
        <w:t>The minimum video length needed to obtain an accurate estimate of tentacle insertion rate (TIR) was determined experimentally. This was done by calculating TIR from the same video (</w:t>
      </w:r>
      <w:r w:rsidRPr="0041216F">
        <w:rPr>
          <w:i/>
          <w:iCs/>
          <w:sz w:val="24"/>
          <w:szCs w:val="24"/>
          <w:lang w:val="en-CA"/>
        </w:rPr>
        <w:t xml:space="preserve">n </w:t>
      </w:r>
      <w:r w:rsidRPr="0041216F">
        <w:rPr>
          <w:sz w:val="24"/>
          <w:szCs w:val="24"/>
          <w:lang w:val="en-CA"/>
        </w:rPr>
        <w:t>= 4 different videos) using video sections of varying lengths and then selecting the minimum video length after which variability in TIR was minimized (Figure A1A). Once 4 minutes was selected as the threshold, the spread in TIR obtained from several different 4-minute-long sections of the same video (</w:t>
      </w:r>
      <w:r w:rsidRPr="0041216F">
        <w:rPr>
          <w:i/>
          <w:iCs/>
          <w:sz w:val="24"/>
          <w:szCs w:val="24"/>
          <w:lang w:val="en-CA"/>
        </w:rPr>
        <w:t xml:space="preserve">n </w:t>
      </w:r>
      <w:r w:rsidRPr="0041216F">
        <w:rPr>
          <w:sz w:val="24"/>
          <w:szCs w:val="24"/>
          <w:lang w:val="en-CA"/>
        </w:rPr>
        <w:t xml:space="preserve">= 4 videos) was quantified and determined to be negligible (Figure A1B).  </w:t>
      </w:r>
    </w:p>
    <w:p w14:paraId="2CB987AB" w14:textId="77777777" w:rsidR="00E45152" w:rsidRPr="0041216F" w:rsidRDefault="00E45152" w:rsidP="00E45152">
      <w:pPr>
        <w:spacing w:line="240" w:lineRule="auto"/>
        <w:rPr>
          <w:b/>
          <w:bCs/>
          <w:sz w:val="24"/>
          <w:szCs w:val="24"/>
          <w:lang w:val="en-CA"/>
        </w:rPr>
      </w:pPr>
      <w:r>
        <w:rPr>
          <w:b/>
          <w:bCs/>
          <w:noProof/>
          <w:sz w:val="24"/>
          <w:szCs w:val="24"/>
          <w:lang w:val="en-CA"/>
        </w:rPr>
        <w:drawing>
          <wp:inline distT="0" distB="0" distL="0" distR="0" wp14:anchorId="5B7EA26E" wp14:editId="242A4B60">
            <wp:extent cx="5943600" cy="3073400"/>
            <wp:effectExtent l="0" t="0" r="0" b="0"/>
            <wp:docPr id="1369309800" name="Picture 31" descr="A comparison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309800" name="Picture 31" descr="A comparison of a graph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67779" w14:textId="77777777" w:rsidR="00E45152" w:rsidRPr="0041216F" w:rsidRDefault="00E45152" w:rsidP="00E45152">
      <w:pPr>
        <w:spacing w:line="240" w:lineRule="auto"/>
        <w:rPr>
          <w:b/>
          <w:bCs/>
          <w:sz w:val="24"/>
          <w:szCs w:val="24"/>
          <w:lang w:val="en-CA"/>
        </w:rPr>
      </w:pPr>
      <w:r w:rsidRPr="0041216F">
        <w:rPr>
          <w:b/>
          <w:bCs/>
          <w:sz w:val="24"/>
          <w:szCs w:val="24"/>
          <w:lang w:val="en-CA"/>
        </w:rPr>
        <w:t xml:space="preserve">Figure </w:t>
      </w:r>
      <w:r>
        <w:rPr>
          <w:b/>
          <w:bCs/>
          <w:sz w:val="24"/>
          <w:szCs w:val="24"/>
          <w:lang w:val="en-CA"/>
        </w:rPr>
        <w:t>8</w:t>
      </w:r>
      <w:r w:rsidRPr="0041216F">
        <w:rPr>
          <w:b/>
          <w:bCs/>
          <w:sz w:val="24"/>
          <w:szCs w:val="24"/>
          <w:lang w:val="en-CA"/>
        </w:rPr>
        <w:t>.</w:t>
      </w:r>
      <w:r w:rsidRPr="0041216F">
        <w:rPr>
          <w:sz w:val="24"/>
          <w:szCs w:val="24"/>
          <w:lang w:val="en-CA"/>
        </w:rPr>
        <w:t xml:space="preserve"> Variability in complete tentacle insertion rates (cTIR) calculated using video sections of different lengths (A) and variability in cTIR calculated using different four-minute sections of each video (B). In A, the dashed line corresponds to 4 minutes, the minimum video length threshold used for calculating TIR in this manuscript.</w:t>
      </w:r>
    </w:p>
    <w:p w14:paraId="7B723A50" w14:textId="77777777" w:rsidR="00E45152" w:rsidRPr="0041216F" w:rsidRDefault="00E45152" w:rsidP="00E45152">
      <w:pPr>
        <w:rPr>
          <w:b/>
          <w:bCs/>
          <w:sz w:val="24"/>
          <w:szCs w:val="24"/>
          <w:lang w:val="en-CA"/>
        </w:rPr>
      </w:pPr>
      <w:r w:rsidRPr="0041216F">
        <w:rPr>
          <w:b/>
          <w:bCs/>
          <w:sz w:val="24"/>
          <w:szCs w:val="24"/>
          <w:lang w:val="en-CA"/>
        </w:rPr>
        <w:br w:type="page"/>
      </w:r>
    </w:p>
    <w:p w14:paraId="68341BB3" w14:textId="77777777" w:rsidR="00E45152" w:rsidRPr="0041216F" w:rsidRDefault="00E45152" w:rsidP="00E45152">
      <w:pPr>
        <w:spacing w:line="480" w:lineRule="auto"/>
        <w:jc w:val="center"/>
        <w:rPr>
          <w:b/>
          <w:bCs/>
          <w:sz w:val="24"/>
          <w:szCs w:val="24"/>
          <w:lang w:val="en-CA"/>
        </w:rPr>
      </w:pPr>
      <w:r w:rsidRPr="0041216F">
        <w:rPr>
          <w:b/>
          <w:bCs/>
          <w:sz w:val="24"/>
          <w:szCs w:val="24"/>
          <w:lang w:val="en-CA"/>
        </w:rPr>
        <w:lastRenderedPageBreak/>
        <w:t>Appendix B</w:t>
      </w:r>
    </w:p>
    <w:p w14:paraId="32179FFC" w14:textId="77777777" w:rsidR="00E45152" w:rsidRPr="0041216F" w:rsidRDefault="00E45152" w:rsidP="00E45152">
      <w:pPr>
        <w:spacing w:line="240" w:lineRule="auto"/>
        <w:rPr>
          <w:sz w:val="24"/>
          <w:szCs w:val="24"/>
          <w:lang w:val="en-CA"/>
        </w:rPr>
      </w:pPr>
      <w:r>
        <w:rPr>
          <w:noProof/>
          <w:sz w:val="24"/>
          <w:szCs w:val="24"/>
          <w:lang w:val="en-CA"/>
        </w:rPr>
        <w:drawing>
          <wp:inline distT="0" distB="0" distL="0" distR="0" wp14:anchorId="059A6D8E" wp14:editId="1069A599">
            <wp:extent cx="5943600" cy="1244600"/>
            <wp:effectExtent l="0" t="0" r="0" b="0"/>
            <wp:docPr id="312403791" name="Picture 32" descr="A small animal in a contain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403791" name="Picture 32" descr="A small animal in a contain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146FC" w14:textId="77777777" w:rsidR="00E45152" w:rsidRPr="0041216F" w:rsidRDefault="00E45152" w:rsidP="00E45152">
      <w:pPr>
        <w:spacing w:line="240" w:lineRule="auto"/>
        <w:rPr>
          <w:sz w:val="24"/>
          <w:szCs w:val="24"/>
          <w:lang w:val="en-CA"/>
        </w:rPr>
      </w:pPr>
      <w:r w:rsidRPr="0041216F">
        <w:rPr>
          <w:b/>
          <w:bCs/>
          <w:sz w:val="24"/>
          <w:szCs w:val="24"/>
          <w:lang w:val="en-CA"/>
        </w:rPr>
        <w:t xml:space="preserve">Figure </w:t>
      </w:r>
      <w:r>
        <w:rPr>
          <w:b/>
          <w:bCs/>
          <w:sz w:val="24"/>
          <w:szCs w:val="24"/>
          <w:lang w:val="en-CA"/>
        </w:rPr>
        <w:t>9</w:t>
      </w:r>
      <w:r w:rsidRPr="0041216F">
        <w:rPr>
          <w:b/>
          <w:bCs/>
          <w:sz w:val="24"/>
          <w:szCs w:val="24"/>
          <w:lang w:val="en-CA"/>
        </w:rPr>
        <w:t>.</w:t>
      </w:r>
      <w:r w:rsidRPr="0041216F">
        <w:rPr>
          <w:sz w:val="24"/>
          <w:szCs w:val="24"/>
          <w:lang w:val="en-CA"/>
        </w:rPr>
        <w:t xml:space="preserve"> Sea cucumbers exhibiting closed (left), partially open (middle) and fully open (right) crown morphologies. </w:t>
      </w:r>
    </w:p>
    <w:p w14:paraId="61ED137A" w14:textId="77777777" w:rsidR="00E45152" w:rsidRPr="0041216F" w:rsidRDefault="00E45152" w:rsidP="00E45152">
      <w:pPr>
        <w:spacing w:line="240" w:lineRule="auto"/>
        <w:rPr>
          <w:sz w:val="24"/>
          <w:szCs w:val="24"/>
          <w:lang w:val="en-CA"/>
        </w:rPr>
      </w:pPr>
    </w:p>
    <w:p w14:paraId="5F1118AB" w14:textId="77777777" w:rsidR="00E45152" w:rsidRPr="0041216F" w:rsidRDefault="00E45152" w:rsidP="00E45152">
      <w:pPr>
        <w:spacing w:line="480" w:lineRule="auto"/>
        <w:rPr>
          <w:sz w:val="24"/>
          <w:szCs w:val="24"/>
          <w:lang w:val="en-CA"/>
        </w:rPr>
      </w:pPr>
      <w:r>
        <w:rPr>
          <w:noProof/>
          <w:sz w:val="24"/>
          <w:szCs w:val="24"/>
          <w:lang w:val="en-CA"/>
        </w:rPr>
        <w:drawing>
          <wp:inline distT="0" distB="0" distL="0" distR="0" wp14:anchorId="40029D39" wp14:editId="3F5667DA">
            <wp:extent cx="5943600" cy="1673860"/>
            <wp:effectExtent l="0" t="0" r="0" b="2540"/>
            <wp:docPr id="946845666" name="Picture 33" descr="A close up of a jellyfi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845666" name="Picture 33" descr="A close up of a jellyfish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C40CC" w14:textId="77777777" w:rsidR="00E45152" w:rsidRPr="0041216F" w:rsidRDefault="00E45152" w:rsidP="00E45152">
      <w:pPr>
        <w:spacing w:line="240" w:lineRule="auto"/>
        <w:rPr>
          <w:sz w:val="24"/>
          <w:szCs w:val="24"/>
          <w:lang w:val="en-CA"/>
        </w:rPr>
      </w:pPr>
      <w:r w:rsidRPr="0041216F">
        <w:rPr>
          <w:b/>
          <w:bCs/>
          <w:sz w:val="24"/>
          <w:szCs w:val="24"/>
          <w:lang w:val="en-CA"/>
        </w:rPr>
        <w:t xml:space="preserve">Figure </w:t>
      </w:r>
      <w:r>
        <w:rPr>
          <w:b/>
          <w:bCs/>
          <w:sz w:val="24"/>
          <w:szCs w:val="24"/>
          <w:lang w:val="en-CA"/>
        </w:rPr>
        <w:t>10</w:t>
      </w:r>
      <w:r w:rsidRPr="0041216F">
        <w:rPr>
          <w:b/>
          <w:bCs/>
          <w:sz w:val="24"/>
          <w:szCs w:val="24"/>
          <w:lang w:val="en-CA"/>
        </w:rPr>
        <w:t xml:space="preserve">. </w:t>
      </w:r>
      <w:r w:rsidRPr="0041216F">
        <w:rPr>
          <w:sz w:val="24"/>
          <w:szCs w:val="24"/>
          <w:lang w:val="en-CA"/>
        </w:rPr>
        <w:t>Complete tentacle insertion (cTIR; left), incomplete tentacle “insertion” (iTIR; middle) and oral pumping (OP; right).</w:t>
      </w:r>
    </w:p>
    <w:p w14:paraId="78707DB7" w14:textId="77777777" w:rsidR="00E8638D" w:rsidRDefault="00E8638D"/>
    <w:sectPr w:rsidR="00E8638D" w:rsidSect="00E45152">
      <w:headerReference w:type="even" r:id="rId7"/>
      <w:headerReference w:type="first" r:id="rId8"/>
      <w:pgSz w:w="12240" w:h="15840" w:code="1"/>
      <w:pgMar w:top="1440" w:right="1440" w:bottom="1440" w:left="1440" w:header="720" w:footer="720" w:gutter="0"/>
      <w:lnNumType w:countBy="1" w:start="458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E4BC9D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C34FE0F" wp14:editId="28035DB7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8890"/>
              <wp:wrapNone/>
              <wp:docPr id="2085530887" name="Text Box 2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DAEF5B" w14:textId="77777777" w:rsidR="00000000" w:rsidRPr="00234386" w:rsidRDefault="00000000" w:rsidP="0023438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23438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34FE0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UNCLASSIFIED - NON CLASSIFIÉ" style="position:absolute;margin-left:-16.25pt;margin-top:0;width:34.95pt;height:34.9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textbox style="mso-fit-shape-to-text:t" inset="0,15pt,20pt,0">
                <w:txbxContent>
                  <w:p w14:paraId="70DAEF5B" w14:textId="77777777" w:rsidR="00000000" w:rsidRPr="00234386" w:rsidRDefault="00000000" w:rsidP="0023438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234386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EDF1B" w14:textId="77777777" w:rsidR="00000000" w:rsidRDefault="00000000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42F0E46" wp14:editId="3C435046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8890"/>
              <wp:wrapNone/>
              <wp:docPr id="1438295765" name="Text Box 1" descr="UNCLASSIFIED - NON CLASSIFIÉ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2EEFFF" w14:textId="77777777" w:rsidR="00000000" w:rsidRPr="00234386" w:rsidRDefault="00000000" w:rsidP="00234386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23438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UNCLASSIFIED - NON CLASSIFIÉ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2F0E4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UNCLASSIFIED - NON CLASSIFIÉ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Bt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" filled="f" stroked="f">
              <v:textbox style="mso-fit-shape-to-text:t" inset="0,15pt,20pt,0">
                <w:txbxContent>
                  <w:p w14:paraId="782EEFFF" w14:textId="77777777" w:rsidR="00000000" w:rsidRPr="00234386" w:rsidRDefault="00000000" w:rsidP="00234386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234386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UNCLASSIFIED - NON CLASSIFIÉ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152"/>
    <w:rsid w:val="000C76F0"/>
    <w:rsid w:val="00E45152"/>
    <w:rsid w:val="00E8638D"/>
    <w:rsid w:val="00FF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847DF"/>
  <w15:chartTrackingRefBased/>
  <w15:docId w15:val="{798C2C0A-5CF0-4E2D-812A-5097AC3D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152"/>
    <w:pPr>
      <w:spacing w:line="259" w:lineRule="auto"/>
    </w:pPr>
    <w:rPr>
      <w:rFonts w:ascii="Times New Roman" w:hAnsi="Times New Roman" w:cs="Times New Roman"/>
      <w:sz w:val="25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51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1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1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1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1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15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15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15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15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1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1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1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1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1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1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1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1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1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5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15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5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152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51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152"/>
    <w:pPr>
      <w:spacing w:line="278" w:lineRule="auto"/>
      <w:ind w:left="720"/>
      <w:contextualSpacing/>
    </w:pPr>
    <w:rPr>
      <w:rFonts w:asciiTheme="minorHAnsi" w:hAnsiTheme="minorHAnsi" w:cstheme="minorBid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E451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1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1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15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451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5152"/>
    <w:rPr>
      <w:rFonts w:ascii="Times New Roman" w:hAnsi="Times New Roman" w:cs="Times New Roman"/>
      <w:sz w:val="25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E45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2024-08-26T08:20:00Z</dcterms:created>
  <dcterms:modified xsi:type="dcterms:W3CDTF">2024-08-26T08:20:00Z</dcterms:modified>
</cp:coreProperties>
</file>