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E407C1" w14:textId="77777777" w:rsidR="0095436D" w:rsidRDefault="00000000">
      <w:pPr>
        <w:pStyle w:val="Title"/>
      </w:pPr>
      <w:r>
        <w:t>Supplementary materials for ‘Bias and negative values of vaccine effectiveness estimates from a test-negative design without controlling for prior infection’</w:t>
      </w:r>
    </w:p>
    <w:p w14:paraId="1EE407C2" w14:textId="77777777" w:rsidR="0095436D" w:rsidRDefault="00000000">
      <w:pPr>
        <w:pStyle w:val="Author"/>
      </w:pPr>
      <w:r>
        <w:t>Ryan E. Wiegand, Bruce Fireman, Morgan Najdowski, Mark W. Tenforde, Ruth Link-Gelles, Jill M. Ferdinands</w:t>
      </w:r>
    </w:p>
    <w:sdt>
      <w:sdtPr>
        <w:id w:val="165293523"/>
        <w:docPartObj>
          <w:docPartGallery w:val="Table of Contents"/>
          <w:docPartUnique/>
        </w:docPartObj>
      </w:sdtPr>
      <w:sdtEndPr>
        <w:rPr>
          <w:rFonts w:asciiTheme="minorHAnsi" w:eastAsiaTheme="minorHAnsi" w:hAnsiTheme="minorHAnsi" w:cstheme="minorBidi"/>
          <w:b/>
          <w:bCs/>
          <w:noProof/>
          <w:color w:val="auto"/>
          <w:sz w:val="24"/>
          <w:szCs w:val="24"/>
        </w:rPr>
      </w:sdtEndPr>
      <w:sdtContent>
        <w:p w14:paraId="01A89D81" w14:textId="30C80824" w:rsidR="00D52F3E" w:rsidRDefault="00D52F3E">
          <w:pPr>
            <w:pStyle w:val="TOCHeading"/>
          </w:pPr>
          <w:r>
            <w:t>Contents</w:t>
          </w:r>
        </w:p>
        <w:p w14:paraId="3437D682" w14:textId="1425AA2D" w:rsidR="00D52F3E" w:rsidRDefault="00D52F3E">
          <w:pPr>
            <w:pStyle w:val="TOC1"/>
            <w:tabs>
              <w:tab w:val="right" w:leader="dot" w:pos="9350"/>
            </w:tabs>
            <w:rPr>
              <w:noProof/>
            </w:rPr>
          </w:pPr>
          <w:r>
            <w:fldChar w:fldCharType="begin"/>
          </w:r>
          <w:r>
            <w:instrText xml:space="preserve"> TOC \o "1-3" \h \z \u </w:instrText>
          </w:r>
          <w:r>
            <w:fldChar w:fldCharType="separate"/>
          </w:r>
          <w:hyperlink w:anchor="_Toc172030362" w:history="1">
            <w:r w:rsidRPr="00622DEE">
              <w:rPr>
                <w:rStyle w:val="Hyperlink"/>
                <w:noProof/>
              </w:rPr>
              <w:t>Simulation methods</w:t>
            </w:r>
            <w:r>
              <w:rPr>
                <w:noProof/>
                <w:webHidden/>
              </w:rPr>
              <w:tab/>
            </w:r>
            <w:r>
              <w:rPr>
                <w:noProof/>
                <w:webHidden/>
              </w:rPr>
              <w:fldChar w:fldCharType="begin"/>
            </w:r>
            <w:r>
              <w:rPr>
                <w:noProof/>
                <w:webHidden/>
              </w:rPr>
              <w:instrText xml:space="preserve"> PAGEREF _Toc172030362 \h </w:instrText>
            </w:r>
            <w:r>
              <w:rPr>
                <w:noProof/>
                <w:webHidden/>
              </w:rPr>
            </w:r>
            <w:r>
              <w:rPr>
                <w:noProof/>
                <w:webHidden/>
              </w:rPr>
              <w:fldChar w:fldCharType="separate"/>
            </w:r>
            <w:r>
              <w:rPr>
                <w:noProof/>
                <w:webHidden/>
              </w:rPr>
              <w:t>2</w:t>
            </w:r>
            <w:r>
              <w:rPr>
                <w:noProof/>
                <w:webHidden/>
              </w:rPr>
              <w:fldChar w:fldCharType="end"/>
            </w:r>
          </w:hyperlink>
        </w:p>
        <w:p w14:paraId="5D2D11DE" w14:textId="73917684" w:rsidR="00D52F3E" w:rsidRDefault="00D52F3E">
          <w:pPr>
            <w:pStyle w:val="TOC2"/>
            <w:tabs>
              <w:tab w:val="right" w:leader="dot" w:pos="9350"/>
            </w:tabs>
            <w:rPr>
              <w:noProof/>
            </w:rPr>
          </w:pPr>
          <w:hyperlink w:anchor="_Toc172030363" w:history="1">
            <w:r w:rsidRPr="00622DEE">
              <w:rPr>
                <w:rStyle w:val="Hyperlink"/>
                <w:noProof/>
              </w:rPr>
              <w:t>Part 1: historical period</w:t>
            </w:r>
            <w:r>
              <w:rPr>
                <w:noProof/>
                <w:webHidden/>
              </w:rPr>
              <w:tab/>
            </w:r>
            <w:r>
              <w:rPr>
                <w:noProof/>
                <w:webHidden/>
              </w:rPr>
              <w:fldChar w:fldCharType="begin"/>
            </w:r>
            <w:r>
              <w:rPr>
                <w:noProof/>
                <w:webHidden/>
              </w:rPr>
              <w:instrText xml:space="preserve"> PAGEREF _Toc172030363 \h </w:instrText>
            </w:r>
            <w:r>
              <w:rPr>
                <w:noProof/>
                <w:webHidden/>
              </w:rPr>
            </w:r>
            <w:r>
              <w:rPr>
                <w:noProof/>
                <w:webHidden/>
              </w:rPr>
              <w:fldChar w:fldCharType="separate"/>
            </w:r>
            <w:r>
              <w:rPr>
                <w:noProof/>
                <w:webHidden/>
              </w:rPr>
              <w:t>2</w:t>
            </w:r>
            <w:r>
              <w:rPr>
                <w:noProof/>
                <w:webHidden/>
              </w:rPr>
              <w:fldChar w:fldCharType="end"/>
            </w:r>
          </w:hyperlink>
        </w:p>
        <w:p w14:paraId="251346EB" w14:textId="5942D6D1" w:rsidR="00D52F3E" w:rsidRDefault="00D52F3E">
          <w:pPr>
            <w:pStyle w:val="TOC3"/>
            <w:tabs>
              <w:tab w:val="right" w:leader="dot" w:pos="9350"/>
            </w:tabs>
            <w:rPr>
              <w:noProof/>
            </w:rPr>
          </w:pPr>
          <w:hyperlink w:anchor="_Toc172030364" w:history="1">
            <w:r w:rsidRPr="00622DEE">
              <w:rPr>
                <w:rStyle w:val="Hyperlink"/>
                <w:noProof/>
              </w:rPr>
              <w:t>Probability of cases</w:t>
            </w:r>
            <w:r>
              <w:rPr>
                <w:noProof/>
                <w:webHidden/>
              </w:rPr>
              <w:tab/>
            </w:r>
            <w:r>
              <w:rPr>
                <w:noProof/>
                <w:webHidden/>
              </w:rPr>
              <w:fldChar w:fldCharType="begin"/>
            </w:r>
            <w:r>
              <w:rPr>
                <w:noProof/>
                <w:webHidden/>
              </w:rPr>
              <w:instrText xml:space="preserve"> PAGEREF _Toc172030364 \h </w:instrText>
            </w:r>
            <w:r>
              <w:rPr>
                <w:noProof/>
                <w:webHidden/>
              </w:rPr>
            </w:r>
            <w:r>
              <w:rPr>
                <w:noProof/>
                <w:webHidden/>
              </w:rPr>
              <w:fldChar w:fldCharType="separate"/>
            </w:r>
            <w:r>
              <w:rPr>
                <w:noProof/>
                <w:webHidden/>
              </w:rPr>
              <w:t>2</w:t>
            </w:r>
            <w:r>
              <w:rPr>
                <w:noProof/>
                <w:webHidden/>
              </w:rPr>
              <w:fldChar w:fldCharType="end"/>
            </w:r>
          </w:hyperlink>
        </w:p>
        <w:p w14:paraId="6F9473F8" w14:textId="0E2A8AAE" w:rsidR="00D52F3E" w:rsidRDefault="00D52F3E">
          <w:pPr>
            <w:pStyle w:val="TOC3"/>
            <w:tabs>
              <w:tab w:val="right" w:leader="dot" w:pos="9350"/>
            </w:tabs>
            <w:rPr>
              <w:noProof/>
            </w:rPr>
          </w:pPr>
          <w:hyperlink w:anchor="_Toc172030365" w:history="1">
            <w:r w:rsidRPr="00622DEE">
              <w:rPr>
                <w:rStyle w:val="Hyperlink"/>
                <w:noProof/>
              </w:rPr>
              <w:t>Probability of vaccination</w:t>
            </w:r>
            <w:r>
              <w:rPr>
                <w:noProof/>
                <w:webHidden/>
              </w:rPr>
              <w:tab/>
            </w:r>
            <w:r>
              <w:rPr>
                <w:noProof/>
                <w:webHidden/>
              </w:rPr>
              <w:fldChar w:fldCharType="begin"/>
            </w:r>
            <w:r>
              <w:rPr>
                <w:noProof/>
                <w:webHidden/>
              </w:rPr>
              <w:instrText xml:space="preserve"> PAGEREF _Toc172030365 \h </w:instrText>
            </w:r>
            <w:r>
              <w:rPr>
                <w:noProof/>
                <w:webHidden/>
              </w:rPr>
            </w:r>
            <w:r>
              <w:rPr>
                <w:noProof/>
                <w:webHidden/>
              </w:rPr>
              <w:fldChar w:fldCharType="separate"/>
            </w:r>
            <w:r>
              <w:rPr>
                <w:noProof/>
                <w:webHidden/>
              </w:rPr>
              <w:t>4</w:t>
            </w:r>
            <w:r>
              <w:rPr>
                <w:noProof/>
                <w:webHidden/>
              </w:rPr>
              <w:fldChar w:fldCharType="end"/>
            </w:r>
          </w:hyperlink>
        </w:p>
        <w:p w14:paraId="2D31DFB0" w14:textId="2C0B636C" w:rsidR="00D52F3E" w:rsidRDefault="00D52F3E">
          <w:pPr>
            <w:pStyle w:val="TOC3"/>
            <w:tabs>
              <w:tab w:val="right" w:leader="dot" w:pos="9350"/>
            </w:tabs>
            <w:rPr>
              <w:noProof/>
            </w:rPr>
          </w:pPr>
          <w:hyperlink w:anchor="_Toc172030366" w:history="1">
            <w:r w:rsidRPr="00622DEE">
              <w:rPr>
                <w:rStyle w:val="Hyperlink"/>
                <w:noProof/>
              </w:rPr>
              <w:t>Protection</w:t>
            </w:r>
            <w:r>
              <w:rPr>
                <w:noProof/>
                <w:webHidden/>
              </w:rPr>
              <w:tab/>
            </w:r>
            <w:r>
              <w:rPr>
                <w:noProof/>
                <w:webHidden/>
              </w:rPr>
              <w:fldChar w:fldCharType="begin"/>
            </w:r>
            <w:r>
              <w:rPr>
                <w:noProof/>
                <w:webHidden/>
              </w:rPr>
              <w:instrText xml:space="preserve"> PAGEREF _Toc172030366 \h </w:instrText>
            </w:r>
            <w:r>
              <w:rPr>
                <w:noProof/>
                <w:webHidden/>
              </w:rPr>
            </w:r>
            <w:r>
              <w:rPr>
                <w:noProof/>
                <w:webHidden/>
              </w:rPr>
              <w:fldChar w:fldCharType="separate"/>
            </w:r>
            <w:r>
              <w:rPr>
                <w:noProof/>
                <w:webHidden/>
              </w:rPr>
              <w:t>6</w:t>
            </w:r>
            <w:r>
              <w:rPr>
                <w:noProof/>
                <w:webHidden/>
              </w:rPr>
              <w:fldChar w:fldCharType="end"/>
            </w:r>
          </w:hyperlink>
        </w:p>
        <w:p w14:paraId="6D5F40AC" w14:textId="18108B8B" w:rsidR="00D52F3E" w:rsidRDefault="00D52F3E">
          <w:pPr>
            <w:pStyle w:val="TOC3"/>
            <w:tabs>
              <w:tab w:val="right" w:leader="dot" w:pos="9350"/>
            </w:tabs>
            <w:rPr>
              <w:noProof/>
            </w:rPr>
          </w:pPr>
          <w:hyperlink w:anchor="_Toc172030367" w:history="1">
            <w:r w:rsidRPr="00622DEE">
              <w:rPr>
                <w:rStyle w:val="Hyperlink"/>
                <w:noProof/>
              </w:rPr>
              <w:t>Generation of infection and vaccination</w:t>
            </w:r>
            <w:r>
              <w:rPr>
                <w:noProof/>
                <w:webHidden/>
              </w:rPr>
              <w:tab/>
            </w:r>
            <w:r>
              <w:rPr>
                <w:noProof/>
                <w:webHidden/>
              </w:rPr>
              <w:fldChar w:fldCharType="begin"/>
            </w:r>
            <w:r>
              <w:rPr>
                <w:noProof/>
                <w:webHidden/>
              </w:rPr>
              <w:instrText xml:space="preserve"> PAGEREF _Toc172030367 \h </w:instrText>
            </w:r>
            <w:r>
              <w:rPr>
                <w:noProof/>
                <w:webHidden/>
              </w:rPr>
            </w:r>
            <w:r>
              <w:rPr>
                <w:noProof/>
                <w:webHidden/>
              </w:rPr>
              <w:fldChar w:fldCharType="separate"/>
            </w:r>
            <w:r>
              <w:rPr>
                <w:noProof/>
                <w:webHidden/>
              </w:rPr>
              <w:t>11</w:t>
            </w:r>
            <w:r>
              <w:rPr>
                <w:noProof/>
                <w:webHidden/>
              </w:rPr>
              <w:fldChar w:fldCharType="end"/>
            </w:r>
          </w:hyperlink>
        </w:p>
        <w:p w14:paraId="7A40E93D" w14:textId="24691215" w:rsidR="00D52F3E" w:rsidRDefault="00D52F3E">
          <w:pPr>
            <w:pStyle w:val="TOC3"/>
            <w:tabs>
              <w:tab w:val="right" w:leader="dot" w:pos="9350"/>
            </w:tabs>
            <w:rPr>
              <w:noProof/>
            </w:rPr>
          </w:pPr>
          <w:hyperlink w:anchor="_Toc172030368" w:history="1">
            <w:r w:rsidRPr="00622DEE">
              <w:rPr>
                <w:rStyle w:val="Hyperlink"/>
                <w:noProof/>
              </w:rPr>
              <w:t>Example plot of protection</w:t>
            </w:r>
            <w:r>
              <w:rPr>
                <w:noProof/>
                <w:webHidden/>
              </w:rPr>
              <w:tab/>
            </w:r>
            <w:r>
              <w:rPr>
                <w:noProof/>
                <w:webHidden/>
              </w:rPr>
              <w:fldChar w:fldCharType="begin"/>
            </w:r>
            <w:r>
              <w:rPr>
                <w:noProof/>
                <w:webHidden/>
              </w:rPr>
              <w:instrText xml:space="preserve"> PAGEREF _Toc172030368 \h </w:instrText>
            </w:r>
            <w:r>
              <w:rPr>
                <w:noProof/>
                <w:webHidden/>
              </w:rPr>
            </w:r>
            <w:r>
              <w:rPr>
                <w:noProof/>
                <w:webHidden/>
              </w:rPr>
              <w:fldChar w:fldCharType="separate"/>
            </w:r>
            <w:r>
              <w:rPr>
                <w:noProof/>
                <w:webHidden/>
              </w:rPr>
              <w:t>12</w:t>
            </w:r>
            <w:r>
              <w:rPr>
                <w:noProof/>
                <w:webHidden/>
              </w:rPr>
              <w:fldChar w:fldCharType="end"/>
            </w:r>
          </w:hyperlink>
        </w:p>
        <w:p w14:paraId="2740B296" w14:textId="17E0088D" w:rsidR="00D52F3E" w:rsidRDefault="00D52F3E">
          <w:pPr>
            <w:pStyle w:val="TOC2"/>
            <w:tabs>
              <w:tab w:val="right" w:leader="dot" w:pos="9350"/>
            </w:tabs>
            <w:rPr>
              <w:noProof/>
            </w:rPr>
          </w:pPr>
          <w:hyperlink w:anchor="_Toc172030369" w:history="1">
            <w:r w:rsidRPr="00622DEE">
              <w:rPr>
                <w:rStyle w:val="Hyperlink"/>
                <w:noProof/>
              </w:rPr>
              <w:t>Part 2: analytic period</w:t>
            </w:r>
            <w:r>
              <w:rPr>
                <w:noProof/>
                <w:webHidden/>
              </w:rPr>
              <w:tab/>
            </w:r>
            <w:r>
              <w:rPr>
                <w:noProof/>
                <w:webHidden/>
              </w:rPr>
              <w:fldChar w:fldCharType="begin"/>
            </w:r>
            <w:r>
              <w:rPr>
                <w:noProof/>
                <w:webHidden/>
              </w:rPr>
              <w:instrText xml:space="preserve"> PAGEREF _Toc172030369 \h </w:instrText>
            </w:r>
            <w:r>
              <w:rPr>
                <w:noProof/>
                <w:webHidden/>
              </w:rPr>
            </w:r>
            <w:r>
              <w:rPr>
                <w:noProof/>
                <w:webHidden/>
              </w:rPr>
              <w:fldChar w:fldCharType="separate"/>
            </w:r>
            <w:r>
              <w:rPr>
                <w:noProof/>
                <w:webHidden/>
              </w:rPr>
              <w:t>13</w:t>
            </w:r>
            <w:r>
              <w:rPr>
                <w:noProof/>
                <w:webHidden/>
              </w:rPr>
              <w:fldChar w:fldCharType="end"/>
            </w:r>
          </w:hyperlink>
        </w:p>
        <w:p w14:paraId="780FEDD8" w14:textId="696DA5B7" w:rsidR="00D52F3E" w:rsidRDefault="00D52F3E">
          <w:pPr>
            <w:pStyle w:val="TOC3"/>
            <w:tabs>
              <w:tab w:val="right" w:leader="dot" w:pos="9350"/>
            </w:tabs>
            <w:rPr>
              <w:noProof/>
            </w:rPr>
          </w:pPr>
          <w:hyperlink w:anchor="_Toc172030370" w:history="1">
            <w:r w:rsidRPr="00622DEE">
              <w:rPr>
                <w:rStyle w:val="Hyperlink"/>
                <w:noProof/>
              </w:rPr>
              <w:t>Probability of cases</w:t>
            </w:r>
            <w:r>
              <w:rPr>
                <w:noProof/>
                <w:webHidden/>
              </w:rPr>
              <w:tab/>
            </w:r>
            <w:r>
              <w:rPr>
                <w:noProof/>
                <w:webHidden/>
              </w:rPr>
              <w:fldChar w:fldCharType="begin"/>
            </w:r>
            <w:r>
              <w:rPr>
                <w:noProof/>
                <w:webHidden/>
              </w:rPr>
              <w:instrText xml:space="preserve"> PAGEREF _Toc172030370 \h </w:instrText>
            </w:r>
            <w:r>
              <w:rPr>
                <w:noProof/>
                <w:webHidden/>
              </w:rPr>
            </w:r>
            <w:r>
              <w:rPr>
                <w:noProof/>
                <w:webHidden/>
              </w:rPr>
              <w:fldChar w:fldCharType="separate"/>
            </w:r>
            <w:r>
              <w:rPr>
                <w:noProof/>
                <w:webHidden/>
              </w:rPr>
              <w:t>14</w:t>
            </w:r>
            <w:r>
              <w:rPr>
                <w:noProof/>
                <w:webHidden/>
              </w:rPr>
              <w:fldChar w:fldCharType="end"/>
            </w:r>
          </w:hyperlink>
        </w:p>
        <w:p w14:paraId="16247101" w14:textId="051957B3" w:rsidR="00D52F3E" w:rsidRDefault="00D52F3E">
          <w:pPr>
            <w:pStyle w:val="TOC3"/>
            <w:tabs>
              <w:tab w:val="right" w:leader="dot" w:pos="9350"/>
            </w:tabs>
            <w:rPr>
              <w:noProof/>
            </w:rPr>
          </w:pPr>
          <w:hyperlink w:anchor="_Toc172030371" w:history="1">
            <w:r w:rsidRPr="00622DEE">
              <w:rPr>
                <w:rStyle w:val="Hyperlink"/>
                <w:noProof/>
              </w:rPr>
              <w:t>Probability of vaccination</w:t>
            </w:r>
            <w:r>
              <w:rPr>
                <w:noProof/>
                <w:webHidden/>
              </w:rPr>
              <w:tab/>
            </w:r>
            <w:r>
              <w:rPr>
                <w:noProof/>
                <w:webHidden/>
              </w:rPr>
              <w:fldChar w:fldCharType="begin"/>
            </w:r>
            <w:r>
              <w:rPr>
                <w:noProof/>
                <w:webHidden/>
              </w:rPr>
              <w:instrText xml:space="preserve"> PAGEREF _Toc172030371 \h </w:instrText>
            </w:r>
            <w:r>
              <w:rPr>
                <w:noProof/>
                <w:webHidden/>
              </w:rPr>
            </w:r>
            <w:r>
              <w:rPr>
                <w:noProof/>
                <w:webHidden/>
              </w:rPr>
              <w:fldChar w:fldCharType="separate"/>
            </w:r>
            <w:r>
              <w:rPr>
                <w:noProof/>
                <w:webHidden/>
              </w:rPr>
              <w:t>15</w:t>
            </w:r>
            <w:r>
              <w:rPr>
                <w:noProof/>
                <w:webHidden/>
              </w:rPr>
              <w:fldChar w:fldCharType="end"/>
            </w:r>
          </w:hyperlink>
        </w:p>
        <w:p w14:paraId="0F0FFED2" w14:textId="45C2124E" w:rsidR="00D52F3E" w:rsidRDefault="00D52F3E">
          <w:pPr>
            <w:pStyle w:val="TOC3"/>
            <w:tabs>
              <w:tab w:val="right" w:leader="dot" w:pos="9350"/>
            </w:tabs>
            <w:rPr>
              <w:noProof/>
            </w:rPr>
          </w:pPr>
          <w:hyperlink w:anchor="_Toc172030372" w:history="1">
            <w:r w:rsidRPr="00622DEE">
              <w:rPr>
                <w:rStyle w:val="Hyperlink"/>
                <w:noProof/>
              </w:rPr>
              <w:t>Symptoms</w:t>
            </w:r>
            <w:r>
              <w:rPr>
                <w:noProof/>
                <w:webHidden/>
              </w:rPr>
              <w:tab/>
            </w:r>
            <w:r>
              <w:rPr>
                <w:noProof/>
                <w:webHidden/>
              </w:rPr>
              <w:fldChar w:fldCharType="begin"/>
            </w:r>
            <w:r>
              <w:rPr>
                <w:noProof/>
                <w:webHidden/>
              </w:rPr>
              <w:instrText xml:space="preserve"> PAGEREF _Toc172030372 \h </w:instrText>
            </w:r>
            <w:r>
              <w:rPr>
                <w:noProof/>
                <w:webHidden/>
              </w:rPr>
            </w:r>
            <w:r>
              <w:rPr>
                <w:noProof/>
                <w:webHidden/>
              </w:rPr>
              <w:fldChar w:fldCharType="separate"/>
            </w:r>
            <w:r>
              <w:rPr>
                <w:noProof/>
                <w:webHidden/>
              </w:rPr>
              <w:t>16</w:t>
            </w:r>
            <w:r>
              <w:rPr>
                <w:noProof/>
                <w:webHidden/>
              </w:rPr>
              <w:fldChar w:fldCharType="end"/>
            </w:r>
          </w:hyperlink>
        </w:p>
        <w:p w14:paraId="73AF6E64" w14:textId="5C0A6EA5" w:rsidR="00D52F3E" w:rsidRDefault="00D52F3E">
          <w:pPr>
            <w:pStyle w:val="TOC3"/>
            <w:tabs>
              <w:tab w:val="right" w:leader="dot" w:pos="9350"/>
            </w:tabs>
            <w:rPr>
              <w:noProof/>
            </w:rPr>
          </w:pPr>
          <w:hyperlink w:anchor="_Toc172030373" w:history="1">
            <w:r w:rsidRPr="00622DEE">
              <w:rPr>
                <w:rStyle w:val="Hyperlink"/>
                <w:noProof/>
              </w:rPr>
              <w:t>Test Characteristics</w:t>
            </w:r>
            <w:r>
              <w:rPr>
                <w:noProof/>
                <w:webHidden/>
              </w:rPr>
              <w:tab/>
            </w:r>
            <w:r>
              <w:rPr>
                <w:noProof/>
                <w:webHidden/>
              </w:rPr>
              <w:fldChar w:fldCharType="begin"/>
            </w:r>
            <w:r>
              <w:rPr>
                <w:noProof/>
                <w:webHidden/>
              </w:rPr>
              <w:instrText xml:space="preserve"> PAGEREF _Toc172030373 \h </w:instrText>
            </w:r>
            <w:r>
              <w:rPr>
                <w:noProof/>
                <w:webHidden/>
              </w:rPr>
            </w:r>
            <w:r>
              <w:rPr>
                <w:noProof/>
                <w:webHidden/>
              </w:rPr>
              <w:fldChar w:fldCharType="separate"/>
            </w:r>
            <w:r>
              <w:rPr>
                <w:noProof/>
                <w:webHidden/>
              </w:rPr>
              <w:t>17</w:t>
            </w:r>
            <w:r>
              <w:rPr>
                <w:noProof/>
                <w:webHidden/>
              </w:rPr>
              <w:fldChar w:fldCharType="end"/>
            </w:r>
          </w:hyperlink>
        </w:p>
        <w:p w14:paraId="2C2AE3B2" w14:textId="20AE5D0E" w:rsidR="00D52F3E" w:rsidRDefault="00D52F3E">
          <w:pPr>
            <w:pStyle w:val="TOC3"/>
            <w:tabs>
              <w:tab w:val="right" w:leader="dot" w:pos="9350"/>
            </w:tabs>
            <w:rPr>
              <w:noProof/>
            </w:rPr>
          </w:pPr>
          <w:hyperlink w:anchor="_Toc172030374" w:history="1">
            <w:r w:rsidRPr="00622DEE">
              <w:rPr>
                <w:rStyle w:val="Hyperlink"/>
                <w:noProof/>
              </w:rPr>
              <w:t>Symptomatic infection outcome</w:t>
            </w:r>
            <w:r>
              <w:rPr>
                <w:noProof/>
                <w:webHidden/>
              </w:rPr>
              <w:tab/>
            </w:r>
            <w:r>
              <w:rPr>
                <w:noProof/>
                <w:webHidden/>
              </w:rPr>
              <w:fldChar w:fldCharType="begin"/>
            </w:r>
            <w:r>
              <w:rPr>
                <w:noProof/>
                <w:webHidden/>
              </w:rPr>
              <w:instrText xml:space="preserve"> PAGEREF _Toc172030374 \h </w:instrText>
            </w:r>
            <w:r>
              <w:rPr>
                <w:noProof/>
                <w:webHidden/>
              </w:rPr>
            </w:r>
            <w:r>
              <w:rPr>
                <w:noProof/>
                <w:webHidden/>
              </w:rPr>
              <w:fldChar w:fldCharType="separate"/>
            </w:r>
            <w:r>
              <w:rPr>
                <w:noProof/>
                <w:webHidden/>
              </w:rPr>
              <w:t>18</w:t>
            </w:r>
            <w:r>
              <w:rPr>
                <w:noProof/>
                <w:webHidden/>
              </w:rPr>
              <w:fldChar w:fldCharType="end"/>
            </w:r>
          </w:hyperlink>
        </w:p>
        <w:p w14:paraId="046DF6C3" w14:textId="6FED4898" w:rsidR="00D52F3E" w:rsidRDefault="00D52F3E">
          <w:pPr>
            <w:pStyle w:val="TOC3"/>
            <w:tabs>
              <w:tab w:val="right" w:leader="dot" w:pos="9350"/>
            </w:tabs>
            <w:rPr>
              <w:noProof/>
            </w:rPr>
          </w:pPr>
          <w:hyperlink w:anchor="_Toc172030375" w:history="1">
            <w:r w:rsidRPr="00622DEE">
              <w:rPr>
                <w:rStyle w:val="Hyperlink"/>
                <w:noProof/>
              </w:rPr>
              <w:t>Severe disease outcome</w:t>
            </w:r>
            <w:r>
              <w:rPr>
                <w:noProof/>
                <w:webHidden/>
              </w:rPr>
              <w:tab/>
            </w:r>
            <w:r>
              <w:rPr>
                <w:noProof/>
                <w:webHidden/>
              </w:rPr>
              <w:fldChar w:fldCharType="begin"/>
            </w:r>
            <w:r>
              <w:rPr>
                <w:noProof/>
                <w:webHidden/>
              </w:rPr>
              <w:instrText xml:space="preserve"> PAGEREF _Toc172030375 \h </w:instrText>
            </w:r>
            <w:r>
              <w:rPr>
                <w:noProof/>
                <w:webHidden/>
              </w:rPr>
            </w:r>
            <w:r>
              <w:rPr>
                <w:noProof/>
                <w:webHidden/>
              </w:rPr>
              <w:fldChar w:fldCharType="separate"/>
            </w:r>
            <w:r>
              <w:rPr>
                <w:noProof/>
                <w:webHidden/>
              </w:rPr>
              <w:t>18</w:t>
            </w:r>
            <w:r>
              <w:rPr>
                <w:noProof/>
                <w:webHidden/>
              </w:rPr>
              <w:fldChar w:fldCharType="end"/>
            </w:r>
          </w:hyperlink>
        </w:p>
        <w:p w14:paraId="09A05B2E" w14:textId="76F113B4" w:rsidR="00D52F3E" w:rsidRDefault="00D52F3E">
          <w:pPr>
            <w:pStyle w:val="TOC1"/>
            <w:tabs>
              <w:tab w:val="right" w:leader="dot" w:pos="9350"/>
            </w:tabs>
            <w:rPr>
              <w:noProof/>
            </w:rPr>
          </w:pPr>
          <w:hyperlink w:anchor="_Toc172030376" w:history="1">
            <w:r w:rsidRPr="00622DEE">
              <w:rPr>
                <w:rStyle w:val="Hyperlink"/>
                <w:noProof/>
              </w:rPr>
              <w:t>Analytic methods</w:t>
            </w:r>
            <w:r>
              <w:rPr>
                <w:noProof/>
                <w:webHidden/>
              </w:rPr>
              <w:tab/>
            </w:r>
            <w:r>
              <w:rPr>
                <w:noProof/>
                <w:webHidden/>
              </w:rPr>
              <w:fldChar w:fldCharType="begin"/>
            </w:r>
            <w:r>
              <w:rPr>
                <w:noProof/>
                <w:webHidden/>
              </w:rPr>
              <w:instrText xml:space="preserve"> PAGEREF _Toc172030376 \h </w:instrText>
            </w:r>
            <w:r>
              <w:rPr>
                <w:noProof/>
                <w:webHidden/>
              </w:rPr>
            </w:r>
            <w:r>
              <w:rPr>
                <w:noProof/>
                <w:webHidden/>
              </w:rPr>
              <w:fldChar w:fldCharType="separate"/>
            </w:r>
            <w:r>
              <w:rPr>
                <w:noProof/>
                <w:webHidden/>
              </w:rPr>
              <w:t>20</w:t>
            </w:r>
            <w:r>
              <w:rPr>
                <w:noProof/>
                <w:webHidden/>
              </w:rPr>
              <w:fldChar w:fldCharType="end"/>
            </w:r>
          </w:hyperlink>
        </w:p>
        <w:p w14:paraId="67D699FF" w14:textId="4DFE22F1" w:rsidR="00D52F3E" w:rsidRDefault="00D52F3E">
          <w:pPr>
            <w:pStyle w:val="TOC2"/>
            <w:tabs>
              <w:tab w:val="right" w:leader="dot" w:pos="9350"/>
            </w:tabs>
            <w:rPr>
              <w:noProof/>
            </w:rPr>
          </w:pPr>
          <w:hyperlink w:anchor="_Toc172030377" w:history="1">
            <w:r w:rsidRPr="00622DEE">
              <w:rPr>
                <w:rStyle w:val="Hyperlink"/>
                <w:noProof/>
              </w:rPr>
              <w:t>Models</w:t>
            </w:r>
            <w:r>
              <w:rPr>
                <w:noProof/>
                <w:webHidden/>
              </w:rPr>
              <w:tab/>
            </w:r>
            <w:r>
              <w:rPr>
                <w:noProof/>
                <w:webHidden/>
              </w:rPr>
              <w:fldChar w:fldCharType="begin"/>
            </w:r>
            <w:r>
              <w:rPr>
                <w:noProof/>
                <w:webHidden/>
              </w:rPr>
              <w:instrText xml:space="preserve"> PAGEREF _Toc172030377 \h </w:instrText>
            </w:r>
            <w:r>
              <w:rPr>
                <w:noProof/>
                <w:webHidden/>
              </w:rPr>
            </w:r>
            <w:r>
              <w:rPr>
                <w:noProof/>
                <w:webHidden/>
              </w:rPr>
              <w:fldChar w:fldCharType="separate"/>
            </w:r>
            <w:r>
              <w:rPr>
                <w:noProof/>
                <w:webHidden/>
              </w:rPr>
              <w:t>20</w:t>
            </w:r>
            <w:r>
              <w:rPr>
                <w:noProof/>
                <w:webHidden/>
              </w:rPr>
              <w:fldChar w:fldCharType="end"/>
            </w:r>
          </w:hyperlink>
        </w:p>
        <w:p w14:paraId="2EDEC4DF" w14:textId="542AAA15" w:rsidR="00D52F3E" w:rsidRDefault="00D52F3E">
          <w:pPr>
            <w:pStyle w:val="TOC2"/>
            <w:tabs>
              <w:tab w:val="right" w:leader="dot" w:pos="9350"/>
            </w:tabs>
            <w:rPr>
              <w:noProof/>
            </w:rPr>
          </w:pPr>
          <w:hyperlink w:anchor="_Toc172030378" w:history="1">
            <w:r w:rsidRPr="00622DEE">
              <w:rPr>
                <w:rStyle w:val="Hyperlink"/>
                <w:noProof/>
              </w:rPr>
              <w:t>Bias</w:t>
            </w:r>
            <w:r>
              <w:rPr>
                <w:noProof/>
                <w:webHidden/>
              </w:rPr>
              <w:tab/>
            </w:r>
            <w:r>
              <w:rPr>
                <w:noProof/>
                <w:webHidden/>
              </w:rPr>
              <w:fldChar w:fldCharType="begin"/>
            </w:r>
            <w:r>
              <w:rPr>
                <w:noProof/>
                <w:webHidden/>
              </w:rPr>
              <w:instrText xml:space="preserve"> PAGEREF _Toc172030378 \h </w:instrText>
            </w:r>
            <w:r>
              <w:rPr>
                <w:noProof/>
                <w:webHidden/>
              </w:rPr>
            </w:r>
            <w:r>
              <w:rPr>
                <w:noProof/>
                <w:webHidden/>
              </w:rPr>
              <w:fldChar w:fldCharType="separate"/>
            </w:r>
            <w:r>
              <w:rPr>
                <w:noProof/>
                <w:webHidden/>
              </w:rPr>
              <w:t>21</w:t>
            </w:r>
            <w:r>
              <w:rPr>
                <w:noProof/>
                <w:webHidden/>
              </w:rPr>
              <w:fldChar w:fldCharType="end"/>
            </w:r>
          </w:hyperlink>
        </w:p>
        <w:p w14:paraId="333374CE" w14:textId="6C8B7963" w:rsidR="00D52F3E" w:rsidRDefault="00D52F3E">
          <w:pPr>
            <w:pStyle w:val="TOC2"/>
            <w:tabs>
              <w:tab w:val="right" w:leader="dot" w:pos="9350"/>
            </w:tabs>
            <w:rPr>
              <w:noProof/>
            </w:rPr>
          </w:pPr>
          <w:hyperlink w:anchor="_Toc172030379" w:history="1">
            <w:r w:rsidRPr="00622DEE">
              <w:rPr>
                <w:rStyle w:val="Hyperlink"/>
                <w:noProof/>
              </w:rPr>
              <w:t>Unstable estimates</w:t>
            </w:r>
            <w:r>
              <w:rPr>
                <w:noProof/>
                <w:webHidden/>
              </w:rPr>
              <w:tab/>
            </w:r>
            <w:r>
              <w:rPr>
                <w:noProof/>
                <w:webHidden/>
              </w:rPr>
              <w:fldChar w:fldCharType="begin"/>
            </w:r>
            <w:r>
              <w:rPr>
                <w:noProof/>
                <w:webHidden/>
              </w:rPr>
              <w:instrText xml:space="preserve"> PAGEREF _Toc172030379 \h </w:instrText>
            </w:r>
            <w:r>
              <w:rPr>
                <w:noProof/>
                <w:webHidden/>
              </w:rPr>
            </w:r>
            <w:r>
              <w:rPr>
                <w:noProof/>
                <w:webHidden/>
              </w:rPr>
              <w:fldChar w:fldCharType="separate"/>
            </w:r>
            <w:r>
              <w:rPr>
                <w:noProof/>
                <w:webHidden/>
              </w:rPr>
              <w:t>21</w:t>
            </w:r>
            <w:r>
              <w:rPr>
                <w:noProof/>
                <w:webHidden/>
              </w:rPr>
              <w:fldChar w:fldCharType="end"/>
            </w:r>
          </w:hyperlink>
        </w:p>
        <w:p w14:paraId="5814DBD9" w14:textId="181075B9" w:rsidR="00D52F3E" w:rsidRDefault="00D52F3E">
          <w:pPr>
            <w:pStyle w:val="TOC1"/>
            <w:tabs>
              <w:tab w:val="right" w:leader="dot" w:pos="9350"/>
            </w:tabs>
            <w:rPr>
              <w:noProof/>
            </w:rPr>
          </w:pPr>
          <w:hyperlink w:anchor="_Toc172030380" w:history="1">
            <w:r w:rsidRPr="00622DEE">
              <w:rPr>
                <w:rStyle w:val="Hyperlink"/>
                <w:noProof/>
              </w:rPr>
              <w:t>Supplemental Results</w:t>
            </w:r>
            <w:r>
              <w:rPr>
                <w:noProof/>
                <w:webHidden/>
              </w:rPr>
              <w:tab/>
            </w:r>
            <w:r>
              <w:rPr>
                <w:noProof/>
                <w:webHidden/>
              </w:rPr>
              <w:fldChar w:fldCharType="begin"/>
            </w:r>
            <w:r>
              <w:rPr>
                <w:noProof/>
                <w:webHidden/>
              </w:rPr>
              <w:instrText xml:space="preserve"> PAGEREF _Toc172030380 \h </w:instrText>
            </w:r>
            <w:r>
              <w:rPr>
                <w:noProof/>
                <w:webHidden/>
              </w:rPr>
            </w:r>
            <w:r>
              <w:rPr>
                <w:noProof/>
                <w:webHidden/>
              </w:rPr>
              <w:fldChar w:fldCharType="separate"/>
            </w:r>
            <w:r>
              <w:rPr>
                <w:noProof/>
                <w:webHidden/>
              </w:rPr>
              <w:t>23</w:t>
            </w:r>
            <w:r>
              <w:rPr>
                <w:noProof/>
                <w:webHidden/>
              </w:rPr>
              <w:fldChar w:fldCharType="end"/>
            </w:r>
          </w:hyperlink>
        </w:p>
        <w:p w14:paraId="33430BF1" w14:textId="44DC2410" w:rsidR="00D52F3E" w:rsidRDefault="00D52F3E">
          <w:pPr>
            <w:pStyle w:val="TOC2"/>
            <w:tabs>
              <w:tab w:val="right" w:leader="dot" w:pos="9350"/>
            </w:tabs>
            <w:rPr>
              <w:noProof/>
            </w:rPr>
          </w:pPr>
          <w:hyperlink w:anchor="_Toc172030381" w:history="1">
            <w:r w:rsidRPr="00622DEE">
              <w:rPr>
                <w:rStyle w:val="Hyperlink"/>
                <w:noProof/>
              </w:rPr>
              <w:t>Supplemental Tables</w:t>
            </w:r>
            <w:r>
              <w:rPr>
                <w:noProof/>
                <w:webHidden/>
              </w:rPr>
              <w:tab/>
            </w:r>
            <w:r>
              <w:rPr>
                <w:noProof/>
                <w:webHidden/>
              </w:rPr>
              <w:fldChar w:fldCharType="begin"/>
            </w:r>
            <w:r>
              <w:rPr>
                <w:noProof/>
                <w:webHidden/>
              </w:rPr>
              <w:instrText xml:space="preserve"> PAGEREF _Toc172030381 \h </w:instrText>
            </w:r>
            <w:r>
              <w:rPr>
                <w:noProof/>
                <w:webHidden/>
              </w:rPr>
            </w:r>
            <w:r>
              <w:rPr>
                <w:noProof/>
                <w:webHidden/>
              </w:rPr>
              <w:fldChar w:fldCharType="separate"/>
            </w:r>
            <w:r>
              <w:rPr>
                <w:noProof/>
                <w:webHidden/>
              </w:rPr>
              <w:t>23</w:t>
            </w:r>
            <w:r>
              <w:rPr>
                <w:noProof/>
                <w:webHidden/>
              </w:rPr>
              <w:fldChar w:fldCharType="end"/>
            </w:r>
          </w:hyperlink>
        </w:p>
        <w:p w14:paraId="2E2DFCE9" w14:textId="45247DDB" w:rsidR="00D52F3E" w:rsidRDefault="00D52F3E">
          <w:pPr>
            <w:pStyle w:val="TOC2"/>
            <w:tabs>
              <w:tab w:val="right" w:leader="dot" w:pos="9350"/>
            </w:tabs>
            <w:rPr>
              <w:noProof/>
            </w:rPr>
          </w:pPr>
          <w:hyperlink w:anchor="_Toc172030382" w:history="1">
            <w:r w:rsidRPr="00622DEE">
              <w:rPr>
                <w:rStyle w:val="Hyperlink"/>
                <w:noProof/>
              </w:rPr>
              <w:t>Supplemental Figures</w:t>
            </w:r>
            <w:r>
              <w:rPr>
                <w:noProof/>
                <w:webHidden/>
              </w:rPr>
              <w:tab/>
            </w:r>
            <w:r>
              <w:rPr>
                <w:noProof/>
                <w:webHidden/>
              </w:rPr>
              <w:fldChar w:fldCharType="begin"/>
            </w:r>
            <w:r>
              <w:rPr>
                <w:noProof/>
                <w:webHidden/>
              </w:rPr>
              <w:instrText xml:space="preserve"> PAGEREF _Toc172030382 \h </w:instrText>
            </w:r>
            <w:r>
              <w:rPr>
                <w:noProof/>
                <w:webHidden/>
              </w:rPr>
            </w:r>
            <w:r>
              <w:rPr>
                <w:noProof/>
                <w:webHidden/>
              </w:rPr>
              <w:fldChar w:fldCharType="separate"/>
            </w:r>
            <w:r>
              <w:rPr>
                <w:noProof/>
                <w:webHidden/>
              </w:rPr>
              <w:t>26</w:t>
            </w:r>
            <w:r>
              <w:rPr>
                <w:noProof/>
                <w:webHidden/>
              </w:rPr>
              <w:fldChar w:fldCharType="end"/>
            </w:r>
          </w:hyperlink>
        </w:p>
        <w:p w14:paraId="354C40C0" w14:textId="43AF9933" w:rsidR="00D52F3E" w:rsidRDefault="00D52F3E">
          <w:pPr>
            <w:pStyle w:val="TOC3"/>
            <w:tabs>
              <w:tab w:val="right" w:leader="dot" w:pos="9350"/>
            </w:tabs>
            <w:rPr>
              <w:noProof/>
            </w:rPr>
          </w:pPr>
          <w:hyperlink w:anchor="_Toc172030383" w:history="1">
            <w:r w:rsidRPr="00622DEE">
              <w:rPr>
                <w:rStyle w:val="Hyperlink"/>
                <w:noProof/>
              </w:rPr>
              <w:t>VE against symptomatic infection</w:t>
            </w:r>
            <w:r>
              <w:rPr>
                <w:noProof/>
                <w:webHidden/>
              </w:rPr>
              <w:tab/>
            </w:r>
            <w:r>
              <w:rPr>
                <w:noProof/>
                <w:webHidden/>
              </w:rPr>
              <w:fldChar w:fldCharType="begin"/>
            </w:r>
            <w:r>
              <w:rPr>
                <w:noProof/>
                <w:webHidden/>
              </w:rPr>
              <w:instrText xml:space="preserve"> PAGEREF _Toc172030383 \h </w:instrText>
            </w:r>
            <w:r>
              <w:rPr>
                <w:noProof/>
                <w:webHidden/>
              </w:rPr>
            </w:r>
            <w:r>
              <w:rPr>
                <w:noProof/>
                <w:webHidden/>
              </w:rPr>
              <w:fldChar w:fldCharType="separate"/>
            </w:r>
            <w:r>
              <w:rPr>
                <w:noProof/>
                <w:webHidden/>
              </w:rPr>
              <w:t>27</w:t>
            </w:r>
            <w:r>
              <w:rPr>
                <w:noProof/>
                <w:webHidden/>
              </w:rPr>
              <w:fldChar w:fldCharType="end"/>
            </w:r>
          </w:hyperlink>
        </w:p>
        <w:p w14:paraId="495CD1E0" w14:textId="6D1805E3" w:rsidR="00D52F3E" w:rsidRDefault="00D52F3E">
          <w:pPr>
            <w:pStyle w:val="TOC3"/>
            <w:tabs>
              <w:tab w:val="right" w:leader="dot" w:pos="9350"/>
            </w:tabs>
            <w:rPr>
              <w:noProof/>
            </w:rPr>
          </w:pPr>
          <w:hyperlink w:anchor="_Toc172030384" w:history="1">
            <w:r w:rsidRPr="00622DEE">
              <w:rPr>
                <w:rStyle w:val="Hyperlink"/>
                <w:noProof/>
              </w:rPr>
              <w:t>VE against severe disease</w:t>
            </w:r>
            <w:r>
              <w:rPr>
                <w:noProof/>
                <w:webHidden/>
              </w:rPr>
              <w:tab/>
            </w:r>
            <w:r>
              <w:rPr>
                <w:noProof/>
                <w:webHidden/>
              </w:rPr>
              <w:fldChar w:fldCharType="begin"/>
            </w:r>
            <w:r>
              <w:rPr>
                <w:noProof/>
                <w:webHidden/>
              </w:rPr>
              <w:instrText xml:space="preserve"> PAGEREF _Toc172030384 \h </w:instrText>
            </w:r>
            <w:r>
              <w:rPr>
                <w:noProof/>
                <w:webHidden/>
              </w:rPr>
            </w:r>
            <w:r>
              <w:rPr>
                <w:noProof/>
                <w:webHidden/>
              </w:rPr>
              <w:fldChar w:fldCharType="separate"/>
            </w:r>
            <w:r>
              <w:rPr>
                <w:noProof/>
                <w:webHidden/>
              </w:rPr>
              <w:t>40</w:t>
            </w:r>
            <w:r>
              <w:rPr>
                <w:noProof/>
                <w:webHidden/>
              </w:rPr>
              <w:fldChar w:fldCharType="end"/>
            </w:r>
          </w:hyperlink>
        </w:p>
        <w:p w14:paraId="08EC6D33" w14:textId="1058ECC0" w:rsidR="00D52F3E" w:rsidRDefault="00D52F3E">
          <w:pPr>
            <w:pStyle w:val="TOC1"/>
            <w:tabs>
              <w:tab w:val="right" w:leader="dot" w:pos="9350"/>
            </w:tabs>
            <w:rPr>
              <w:noProof/>
            </w:rPr>
          </w:pPr>
          <w:hyperlink w:anchor="_Toc172030385" w:history="1">
            <w:r w:rsidRPr="00622DEE">
              <w:rPr>
                <w:rStyle w:val="Hyperlink"/>
                <w:noProof/>
              </w:rPr>
              <w:t>Bibliography</w:t>
            </w:r>
            <w:r>
              <w:rPr>
                <w:noProof/>
                <w:webHidden/>
              </w:rPr>
              <w:tab/>
            </w:r>
            <w:r>
              <w:rPr>
                <w:noProof/>
                <w:webHidden/>
              </w:rPr>
              <w:fldChar w:fldCharType="begin"/>
            </w:r>
            <w:r>
              <w:rPr>
                <w:noProof/>
                <w:webHidden/>
              </w:rPr>
              <w:instrText xml:space="preserve"> PAGEREF _Toc172030385 \h </w:instrText>
            </w:r>
            <w:r>
              <w:rPr>
                <w:noProof/>
                <w:webHidden/>
              </w:rPr>
            </w:r>
            <w:r>
              <w:rPr>
                <w:noProof/>
                <w:webHidden/>
              </w:rPr>
              <w:fldChar w:fldCharType="separate"/>
            </w:r>
            <w:r>
              <w:rPr>
                <w:noProof/>
                <w:webHidden/>
              </w:rPr>
              <w:t>53</w:t>
            </w:r>
            <w:r>
              <w:rPr>
                <w:noProof/>
                <w:webHidden/>
              </w:rPr>
              <w:fldChar w:fldCharType="end"/>
            </w:r>
          </w:hyperlink>
        </w:p>
        <w:p w14:paraId="3CAF0F04" w14:textId="3E7F32AE" w:rsidR="00D52F3E" w:rsidRDefault="00D52F3E">
          <w:r>
            <w:rPr>
              <w:b/>
              <w:bCs/>
              <w:noProof/>
            </w:rPr>
            <w:fldChar w:fldCharType="end"/>
          </w:r>
        </w:p>
      </w:sdtContent>
    </w:sdt>
    <w:p w14:paraId="1CC5A2C7" w14:textId="77777777" w:rsidR="00D52F3E" w:rsidRPr="00D52F3E" w:rsidRDefault="00D52F3E" w:rsidP="00D52F3E">
      <w:pPr>
        <w:pStyle w:val="BodyText"/>
      </w:pPr>
    </w:p>
    <w:p w14:paraId="1EE407C3" w14:textId="77777777" w:rsidR="0095436D" w:rsidRDefault="00000000">
      <w:pPr>
        <w:pStyle w:val="Heading1"/>
      </w:pPr>
      <w:bookmarkStart w:id="0" w:name="simulation-methods"/>
      <w:bookmarkStart w:id="1" w:name="_Toc172030362"/>
      <w:r>
        <w:t>Simulation methods</w:t>
      </w:r>
      <w:bookmarkEnd w:id="1"/>
    </w:p>
    <w:p w14:paraId="1EE407C4" w14:textId="77777777" w:rsidR="0095436D" w:rsidRDefault="00000000">
      <w:pPr>
        <w:pStyle w:val="FirstParagraph"/>
      </w:pPr>
      <w:r>
        <w:t>The simulation process was split into two parts. The goals of part one were to</w:t>
      </w:r>
    </w:p>
    <w:p w14:paraId="1EE407C5" w14:textId="77777777" w:rsidR="0095436D" w:rsidRDefault="00000000">
      <w:pPr>
        <w:pStyle w:val="Compact"/>
        <w:numPr>
          <w:ilvl w:val="0"/>
          <w:numId w:val="2"/>
        </w:numPr>
      </w:pPr>
      <w:r>
        <w:t>create a vaccination and infection history for each person aged 18-49 years up to the week of 2023-05-07 to be used as covariates in modeling and</w:t>
      </w:r>
    </w:p>
    <w:p w14:paraId="1EE407C6" w14:textId="77777777" w:rsidR="0095436D" w:rsidRDefault="00000000">
      <w:pPr>
        <w:pStyle w:val="Compact"/>
        <w:numPr>
          <w:ilvl w:val="0"/>
          <w:numId w:val="2"/>
        </w:numPr>
      </w:pPr>
      <w:r>
        <w:t>generate each person’s protection level since a majority of people have existing protection against SARS-CoV-2 infection.</w:t>
      </w:r>
    </w:p>
    <w:p w14:paraId="1EE407C7" w14:textId="77777777" w:rsidR="0095436D" w:rsidRDefault="00000000">
      <w:pPr>
        <w:pStyle w:val="FirstParagraph"/>
      </w:pPr>
      <w:r>
        <w:t>Part two then utilized the historical and protection information and applied those to a test-negative design (TND) to estimate vaccine effectiveness (VE) against symptomatic infection or severe disease.</w:t>
      </w:r>
    </w:p>
    <w:p w14:paraId="1EE407C8" w14:textId="77777777" w:rsidR="0095436D" w:rsidRDefault="00000000">
      <w:pPr>
        <w:pStyle w:val="Heading2"/>
      </w:pPr>
      <w:bookmarkStart w:id="2" w:name="part-1-historical-period"/>
      <w:bookmarkStart w:id="3" w:name="_Toc172030363"/>
      <w:r>
        <w:t>Part 1: historical period</w:t>
      </w:r>
      <w:bookmarkEnd w:id="3"/>
    </w:p>
    <w:p w14:paraId="1EE407C9" w14:textId="77777777" w:rsidR="0095436D" w:rsidRDefault="00000000">
      <w:pPr>
        <w:pStyle w:val="Heading3"/>
      </w:pPr>
      <w:bookmarkStart w:id="4" w:name="probability-of-cases"/>
      <w:bookmarkStart w:id="5" w:name="_Toc172030364"/>
      <w:r>
        <w:t>Probability of cases</w:t>
      </w:r>
      <w:bookmarkEnd w:id="5"/>
    </w:p>
    <w:p w14:paraId="1EE407CA" w14:textId="77777777" w:rsidR="0095436D" w:rsidRDefault="00000000">
      <w:pPr>
        <w:pStyle w:val="FirstParagraph"/>
      </w:pPr>
      <w:r>
        <w:t>Case count data from 60 U.S. jurisdictions [1] were summed by week to create weekly, national case counts. Weekly case counts were then divided by the 2020 U.S. population estimates to create provisional weekly probabilities of infection (Figure S1).</w:t>
      </w:r>
    </w:p>
    <w:p w14:paraId="1EE407CB" w14:textId="77777777" w:rsidR="0095436D" w:rsidRDefault="00000000">
      <w:pPr>
        <w:pStyle w:val="CaptionedFigure"/>
      </w:pPr>
      <w:r>
        <w:rPr>
          <w:noProof/>
        </w:rPr>
        <w:drawing>
          <wp:inline distT="0" distB="0" distL="0" distR="0" wp14:anchorId="1EE409B3" wp14:editId="1EE409B4">
            <wp:extent cx="5334000" cy="3048000"/>
            <wp:effectExtent l="0" t="0" r="0" b="0"/>
            <wp:docPr id="21" name="Picture" descr="Figure S1: Weekly probability of infection based on U.S. jurisdictional case counts and 2020 U.S. population estimates."/>
            <wp:cNvGraphicFramePr/>
            <a:graphic xmlns:a="http://schemas.openxmlformats.org/drawingml/2006/main">
              <a:graphicData uri="http://schemas.openxmlformats.org/drawingml/2006/picture">
                <pic:pic xmlns:pic="http://schemas.openxmlformats.org/drawingml/2006/picture">
                  <pic:nvPicPr>
                    <pic:cNvPr id="22" name="Picture" descr="tnd_prior_infection_supplement_unedited_2024-07-16_files/figure-docx/case.dist-1.png"/>
                    <pic:cNvPicPr>
                      <a:picLocks noChangeAspect="1" noChangeArrowheads="1"/>
                    </pic:cNvPicPr>
                  </pic:nvPicPr>
                  <pic:blipFill>
                    <a:blip r:embed="rId8"/>
                    <a:stretch>
                      <a:fillRect/>
                    </a:stretch>
                  </pic:blipFill>
                  <pic:spPr bwMode="auto">
                    <a:xfrm>
                      <a:off x="0" y="0"/>
                      <a:ext cx="5334000" cy="3048000"/>
                    </a:xfrm>
                    <a:prstGeom prst="rect">
                      <a:avLst/>
                    </a:prstGeom>
                    <a:noFill/>
                    <a:ln w="9525">
                      <a:noFill/>
                      <a:headEnd/>
                      <a:tailEnd/>
                    </a:ln>
                  </pic:spPr>
                </pic:pic>
              </a:graphicData>
            </a:graphic>
          </wp:inline>
        </w:drawing>
      </w:r>
    </w:p>
    <w:p w14:paraId="1EE407CC" w14:textId="77777777" w:rsidR="0095436D" w:rsidRDefault="00000000">
      <w:pPr>
        <w:pStyle w:val="ImageCaption"/>
      </w:pPr>
      <w:r>
        <w:t>Figure S1: Weekly probability of infection based on U.S. jurisdictional case counts and 2020 U.S. population estimates.</w:t>
      </w:r>
    </w:p>
    <w:p w14:paraId="1EE407CD" w14:textId="77777777" w:rsidR="0095436D" w:rsidRDefault="0095436D">
      <w:pPr>
        <w:pStyle w:val="BodyText"/>
      </w:pPr>
    </w:p>
    <w:p w14:paraId="1EE407CE" w14:textId="77777777" w:rsidR="0095436D" w:rsidRDefault="00000000">
      <w:pPr>
        <w:pStyle w:val="FirstParagraph"/>
      </w:pPr>
      <w:r>
        <w:lastRenderedPageBreak/>
        <w:t xml:space="preserve">Since case count data suffered from underreporting of infections that varied by time [2], we adjusted the distribution to be in line with seroprevalence studies that explored the underreporting [2] and found approximately 95%-98% of the population possessed at least one infection by the week of 2023-05-07 [3]. For each realized population, the adjustment factor was varied allowing for some randomness in that factor. The distribution for the adjustment factor was </w:t>
      </w:r>
      <m:oMath>
        <m:r>
          <m:rPr>
            <m:scr m:val="script"/>
            <m:sty m:val="p"/>
          </m:rPr>
          <w:rPr>
            <w:rFonts w:ascii="Cambria Math" w:hAnsi="Cambria Math"/>
          </w:rPr>
          <m:t>N</m:t>
        </m:r>
        <m:d>
          <m:dPr>
            <m:ctrlPr>
              <w:rPr>
                <w:rFonts w:ascii="Cambria Math" w:hAnsi="Cambria Math"/>
              </w:rPr>
            </m:ctrlPr>
          </m:dPr>
          <m:e>
            <m:r>
              <w:rPr>
                <w:rFonts w:ascii="Cambria Math" w:hAnsi="Cambria Math"/>
              </w:rPr>
              <m:t>μ</m:t>
            </m:r>
            <m:r>
              <m:rPr>
                <m:sty m:val="p"/>
              </m:rPr>
              <w:rPr>
                <w:rFonts w:ascii="Cambria Math" w:hAnsi="Cambria Math"/>
              </w:rPr>
              <m:t>=</m:t>
            </m:r>
            <m:r>
              <w:rPr>
                <w:rFonts w:ascii="Cambria Math" w:hAnsi="Cambria Math"/>
              </w:rPr>
              <m:t>4</m:t>
            </m:r>
            <m:r>
              <m:rPr>
                <m:sty m:val="p"/>
              </m:rPr>
              <w:rPr>
                <w:rFonts w:ascii="Cambria Math" w:hAnsi="Cambria Math"/>
              </w:rPr>
              <m:t>,</m:t>
            </m:r>
            <m:r>
              <w:rPr>
                <w:rFonts w:ascii="Cambria Math" w:hAnsi="Cambria Math"/>
              </w:rPr>
              <m:t>σ</m:t>
            </m:r>
            <m:r>
              <m:rPr>
                <m:sty m:val="p"/>
              </m:rPr>
              <w:rPr>
                <w:rFonts w:ascii="Cambria Math" w:hAnsi="Cambria Math"/>
              </w:rPr>
              <m:t>=</m:t>
            </m:r>
            <m:r>
              <w:rPr>
                <w:rFonts w:ascii="Cambria Math" w:hAnsi="Cambria Math"/>
              </w:rPr>
              <m:t>0.5</m:t>
            </m:r>
          </m:e>
        </m:d>
      </m:oMath>
      <w:r>
        <w:t xml:space="preserve"> (Figure S2).</w:t>
      </w:r>
    </w:p>
    <w:p w14:paraId="1EE407CF" w14:textId="77777777" w:rsidR="0095436D" w:rsidRDefault="00000000">
      <w:pPr>
        <w:pStyle w:val="CaptionedFigure"/>
      </w:pPr>
      <w:r>
        <w:rPr>
          <w:noProof/>
        </w:rPr>
        <w:drawing>
          <wp:inline distT="0" distB="0" distL="0" distR="0" wp14:anchorId="1EE409B5" wp14:editId="1EE409B6">
            <wp:extent cx="4620126" cy="2772075"/>
            <wp:effectExtent l="0" t="0" r="0" b="0"/>
            <wp:docPr id="24" name="Picture" descr="Figure S2: Distribution of the case distribution adjustment factor."/>
            <wp:cNvGraphicFramePr/>
            <a:graphic xmlns:a="http://schemas.openxmlformats.org/drawingml/2006/main">
              <a:graphicData uri="http://schemas.openxmlformats.org/drawingml/2006/picture">
                <pic:pic xmlns:pic="http://schemas.openxmlformats.org/drawingml/2006/picture">
                  <pic:nvPicPr>
                    <pic:cNvPr id="25" name="Picture" descr="tnd_prior_infection_supplement_unedited_2024-07-16_files/figure-docx/case.dise.adj-1.png"/>
                    <pic:cNvPicPr>
                      <a:picLocks noChangeAspect="1" noChangeArrowheads="1"/>
                    </pic:cNvPicPr>
                  </pic:nvPicPr>
                  <pic:blipFill>
                    <a:blip r:embed="rId9"/>
                    <a:stretch>
                      <a:fillRect/>
                    </a:stretch>
                  </pic:blipFill>
                  <pic:spPr bwMode="auto">
                    <a:xfrm>
                      <a:off x="0" y="0"/>
                      <a:ext cx="4620126" cy="2772075"/>
                    </a:xfrm>
                    <a:prstGeom prst="rect">
                      <a:avLst/>
                    </a:prstGeom>
                    <a:noFill/>
                    <a:ln w="9525">
                      <a:noFill/>
                      <a:headEnd/>
                      <a:tailEnd/>
                    </a:ln>
                  </pic:spPr>
                </pic:pic>
              </a:graphicData>
            </a:graphic>
          </wp:inline>
        </w:drawing>
      </w:r>
    </w:p>
    <w:p w14:paraId="1EE407D0" w14:textId="77777777" w:rsidR="0095436D" w:rsidRDefault="00000000">
      <w:pPr>
        <w:pStyle w:val="ImageCaption"/>
      </w:pPr>
      <w:r>
        <w:t>Figure S2: Distribution of the case distribution adjustment factor.</w:t>
      </w:r>
    </w:p>
    <w:p w14:paraId="1EE407D1" w14:textId="77777777" w:rsidR="0095436D" w:rsidRDefault="0095436D">
      <w:pPr>
        <w:pStyle w:val="BodyText"/>
      </w:pPr>
    </w:p>
    <w:p w14:paraId="1EE407D2" w14:textId="77777777" w:rsidR="0095436D" w:rsidRDefault="00000000">
      <w:pPr>
        <w:pStyle w:val="FirstParagraph"/>
      </w:pPr>
      <w:r>
        <w:t xml:space="preserve">After accounting for the adjustment factor, the distribution became the weekly probability of infection without any protection. We used </w:t>
      </w:r>
      <m:oMath>
        <m:r>
          <m:rPr>
            <m:sty m:val="p"/>
          </m:rPr>
          <w:rPr>
            <w:rFonts w:ascii="Cambria Math" w:hAnsi="Cambria Math"/>
          </w:rPr>
          <m:t>Pr</m:t>
        </m:r>
        <m:d>
          <m:dPr>
            <m:ctrlPr>
              <w:rPr>
                <w:rFonts w:ascii="Cambria Math" w:hAnsi="Cambria Math"/>
              </w:rPr>
            </m:ctrlPr>
          </m:dPr>
          <m:e>
            <m:sSub>
              <m:sSubPr>
                <m:ctrlPr>
                  <w:rPr>
                    <w:rFonts w:ascii="Cambria Math" w:hAnsi="Cambria Math"/>
                  </w:rPr>
                </m:ctrlPr>
              </m:sSubPr>
              <m:e>
                <m:r>
                  <w:rPr>
                    <w:rFonts w:ascii="Cambria Math" w:hAnsi="Cambria Math"/>
                  </w:rPr>
                  <m:t>c</m:t>
                </m:r>
              </m:e>
              <m:sub>
                <m:r>
                  <w:rPr>
                    <w:rFonts w:ascii="Cambria Math" w:hAnsi="Cambria Math"/>
                  </w:rPr>
                  <m:t>k</m:t>
                </m:r>
              </m:sub>
            </m:sSub>
          </m:e>
        </m:d>
      </m:oMath>
      <w:r>
        <w:t xml:space="preserve"> to denote the probability of infection in week </w:t>
      </w:r>
      <m:oMath>
        <m:r>
          <w:rPr>
            <w:rFonts w:ascii="Cambria Math" w:hAnsi="Cambria Math"/>
          </w:rPr>
          <m:t>k</m:t>
        </m:r>
      </m:oMath>
      <w:r>
        <w:t xml:space="preserve"> and plotted this below with the mean adjustment factor of 4 (Figure S3)</w:t>
      </w:r>
    </w:p>
    <w:p w14:paraId="1EE407D3" w14:textId="77777777" w:rsidR="0095436D" w:rsidRDefault="00000000">
      <w:pPr>
        <w:pStyle w:val="CaptionedFigure"/>
      </w:pPr>
      <w:r>
        <w:rPr>
          <w:noProof/>
        </w:rPr>
        <w:lastRenderedPageBreak/>
        <w:drawing>
          <wp:inline distT="0" distB="0" distL="0" distR="0" wp14:anchorId="1EE409B7" wp14:editId="1EE409B8">
            <wp:extent cx="5334000" cy="3048000"/>
            <wp:effectExtent l="0" t="0" r="0" b="0"/>
            <wp:docPr id="27" name="Picture" descr="Figure S3: Weekly probability of infection with an adjustment factor of 4, the expected value of the adjustment factor distribution."/>
            <wp:cNvGraphicFramePr/>
            <a:graphic xmlns:a="http://schemas.openxmlformats.org/drawingml/2006/main">
              <a:graphicData uri="http://schemas.openxmlformats.org/drawingml/2006/picture">
                <pic:pic xmlns:pic="http://schemas.openxmlformats.org/drawingml/2006/picture">
                  <pic:nvPicPr>
                    <pic:cNvPr id="28" name="Picture" descr="tnd_prior_infection_supplement_unedited_2024-07-16_files/figure-docx/adj.pr.case-1.png"/>
                    <pic:cNvPicPr>
                      <a:picLocks noChangeAspect="1" noChangeArrowheads="1"/>
                    </pic:cNvPicPr>
                  </pic:nvPicPr>
                  <pic:blipFill>
                    <a:blip r:embed="rId10"/>
                    <a:stretch>
                      <a:fillRect/>
                    </a:stretch>
                  </pic:blipFill>
                  <pic:spPr bwMode="auto">
                    <a:xfrm>
                      <a:off x="0" y="0"/>
                      <a:ext cx="5334000" cy="3048000"/>
                    </a:xfrm>
                    <a:prstGeom prst="rect">
                      <a:avLst/>
                    </a:prstGeom>
                    <a:noFill/>
                    <a:ln w="9525">
                      <a:noFill/>
                      <a:headEnd/>
                      <a:tailEnd/>
                    </a:ln>
                  </pic:spPr>
                </pic:pic>
              </a:graphicData>
            </a:graphic>
          </wp:inline>
        </w:drawing>
      </w:r>
    </w:p>
    <w:p w14:paraId="1EE407D4" w14:textId="77777777" w:rsidR="0095436D" w:rsidRDefault="00000000">
      <w:pPr>
        <w:pStyle w:val="ImageCaption"/>
      </w:pPr>
      <w:r>
        <w:t>Figure S3: Weekly probability of infection with an adjustment factor of 4, the expected value of the adjustment factor distribution.</w:t>
      </w:r>
    </w:p>
    <w:p w14:paraId="1EE407D5" w14:textId="77777777" w:rsidR="0095436D" w:rsidRDefault="0095436D">
      <w:pPr>
        <w:pStyle w:val="BodyText"/>
      </w:pPr>
    </w:p>
    <w:p w14:paraId="1EE407D6" w14:textId="77777777" w:rsidR="0095436D" w:rsidRDefault="00000000">
      <w:pPr>
        <w:pStyle w:val="Heading3"/>
      </w:pPr>
      <w:bookmarkStart w:id="6" w:name="probability-of-vaccination"/>
      <w:bookmarkStart w:id="7" w:name="_Toc172030365"/>
      <w:bookmarkEnd w:id="4"/>
      <w:r>
        <w:t>Probability of vaccination</w:t>
      </w:r>
      <w:bookmarkEnd w:id="7"/>
    </w:p>
    <w:p w14:paraId="1EE407D7" w14:textId="77777777" w:rsidR="0095436D" w:rsidRDefault="00000000">
      <w:pPr>
        <w:pStyle w:val="FirstParagraph"/>
      </w:pPr>
      <w:r>
        <w:t xml:space="preserve">The probability that person </w:t>
      </w:r>
      <m:oMath>
        <m:r>
          <w:rPr>
            <w:rFonts w:ascii="Cambria Math" w:hAnsi="Cambria Math"/>
          </w:rPr>
          <m:t>j</m:t>
        </m:r>
      </m:oMath>
      <w:r>
        <w:t xml:space="preserve"> got an additional vaccination dose in week </w:t>
      </w:r>
      <m:oMath>
        <m:r>
          <w:rPr>
            <w:rFonts w:ascii="Cambria Math" w:hAnsi="Cambria Math"/>
          </w:rPr>
          <m:t>k</m:t>
        </m:r>
      </m:oMath>
      <w:r>
        <w:t xml:space="preserve"> was conditional on their current dose. If </w:t>
      </w:r>
      <m:oMath>
        <m:sSub>
          <m:sSubPr>
            <m:ctrlPr>
              <w:rPr>
                <w:rFonts w:ascii="Cambria Math" w:hAnsi="Cambria Math"/>
              </w:rPr>
            </m:ctrlPr>
          </m:sSubPr>
          <m:e>
            <m:r>
              <w:rPr>
                <w:rFonts w:ascii="Cambria Math" w:hAnsi="Cambria Math"/>
              </w:rPr>
              <m:t>D</m:t>
            </m:r>
          </m:e>
          <m:sub>
            <m:r>
              <w:rPr>
                <w:rFonts w:ascii="Cambria Math" w:hAnsi="Cambria Math"/>
              </w:rPr>
              <m:t>j</m:t>
            </m:r>
            <m:r>
              <m:rPr>
                <m:sty m:val="p"/>
              </m:rPr>
              <w:rPr>
                <w:rFonts w:ascii="Cambria Math" w:hAnsi="Cambria Math"/>
              </w:rPr>
              <m:t>,</m:t>
            </m:r>
            <m:r>
              <w:rPr>
                <w:rFonts w:ascii="Cambria Math" w:hAnsi="Cambria Math"/>
              </w:rPr>
              <m:t>k</m:t>
            </m:r>
          </m:sub>
        </m:sSub>
      </m:oMath>
      <w:r>
        <w:t xml:space="preserve"> was person </w:t>
      </w:r>
      <m:oMath>
        <m:r>
          <w:rPr>
            <w:rFonts w:ascii="Cambria Math" w:hAnsi="Cambria Math"/>
          </w:rPr>
          <m:t>j</m:t>
        </m:r>
      </m:oMath>
      <w:r>
        <w:t xml:space="preserve">’s number of vaccination doses at the beginning of week </w:t>
      </w:r>
      <m:oMath>
        <m:r>
          <w:rPr>
            <w:rFonts w:ascii="Cambria Math" w:hAnsi="Cambria Math"/>
          </w:rPr>
          <m:t>k</m:t>
        </m:r>
      </m:oMath>
      <w:r>
        <w:t xml:space="preserve"> and </w:t>
      </w:r>
      <m:oMath>
        <m:sSubSup>
          <m:sSubSupPr>
            <m:ctrlPr>
              <w:rPr>
                <w:rFonts w:ascii="Cambria Math" w:hAnsi="Cambria Math"/>
              </w:rPr>
            </m:ctrlPr>
          </m:sSubSupPr>
          <m:e>
            <m:r>
              <w:rPr>
                <w:rFonts w:ascii="Cambria Math" w:hAnsi="Cambria Math"/>
              </w:rPr>
              <m:t>D</m:t>
            </m:r>
          </m:e>
          <m:sub>
            <m:r>
              <w:rPr>
                <w:rFonts w:ascii="Cambria Math" w:hAnsi="Cambria Math"/>
              </w:rPr>
              <m:t>j</m:t>
            </m:r>
            <m:r>
              <m:rPr>
                <m:sty m:val="p"/>
              </m:rPr>
              <w:rPr>
                <w:rFonts w:ascii="Cambria Math" w:hAnsi="Cambria Math"/>
              </w:rPr>
              <m:t>,</m:t>
            </m:r>
            <m:r>
              <w:rPr>
                <w:rFonts w:ascii="Cambria Math" w:hAnsi="Cambria Math"/>
              </w:rPr>
              <m:t>k</m:t>
            </m:r>
          </m:sub>
          <m:sup>
            <m:r>
              <m:rPr>
                <m:sty m:val="p"/>
              </m:rPr>
              <w:rPr>
                <w:rFonts w:ascii="Cambria Math" w:hAnsi="Cambria Math"/>
              </w:rPr>
              <m:t>'</m:t>
            </m:r>
          </m:sup>
        </m:sSubSup>
      </m:oMath>
      <w:r>
        <w:t xml:space="preserve"> the next dose for person </w:t>
      </w:r>
      <m:oMath>
        <m:r>
          <w:rPr>
            <w:rFonts w:ascii="Cambria Math" w:hAnsi="Cambria Math"/>
          </w:rPr>
          <m:t>j</m:t>
        </m:r>
      </m:oMath>
      <w:r>
        <w:t xml:space="preserve"> in week </w:t>
      </w:r>
      <m:oMath>
        <m:r>
          <w:rPr>
            <w:rFonts w:ascii="Cambria Math" w:hAnsi="Cambria Math"/>
          </w:rPr>
          <m:t>k</m:t>
        </m:r>
      </m:oMath>
      <w:r>
        <w:t xml:space="preserve">, then </w:t>
      </w:r>
      <m:oMath>
        <m:r>
          <m:rPr>
            <m:sty m:val="p"/>
          </m:rPr>
          <w:rPr>
            <w:rFonts w:ascii="Cambria Math" w:hAnsi="Cambria Math"/>
          </w:rPr>
          <m:t>Pr</m:t>
        </m:r>
        <m:d>
          <m:dPr>
            <m:ctrlPr>
              <w:rPr>
                <w:rFonts w:ascii="Cambria Math" w:hAnsi="Cambria Math"/>
              </w:rPr>
            </m:ctrlPr>
          </m:dPr>
          <m:e>
            <m:sSubSup>
              <m:sSubSupPr>
                <m:ctrlPr>
                  <w:rPr>
                    <w:rFonts w:ascii="Cambria Math" w:hAnsi="Cambria Math"/>
                  </w:rPr>
                </m:ctrlPr>
              </m:sSubSupPr>
              <m:e>
                <m:r>
                  <w:rPr>
                    <w:rFonts w:ascii="Cambria Math" w:hAnsi="Cambria Math"/>
                  </w:rPr>
                  <m:t>D</m:t>
                </m:r>
              </m:e>
              <m:sub>
                <m:r>
                  <w:rPr>
                    <w:rFonts w:ascii="Cambria Math" w:hAnsi="Cambria Math"/>
                  </w:rPr>
                  <m:t>j</m:t>
                </m:r>
                <m:r>
                  <m:rPr>
                    <m:sty m:val="p"/>
                  </m:rPr>
                  <w:rPr>
                    <w:rFonts w:ascii="Cambria Math" w:hAnsi="Cambria Math"/>
                  </w:rPr>
                  <m:t>,</m:t>
                </m:r>
                <m:r>
                  <w:rPr>
                    <w:rFonts w:ascii="Cambria Math" w:hAnsi="Cambria Math"/>
                  </w:rPr>
                  <m:t>k</m:t>
                </m:r>
              </m:sub>
              <m:sup>
                <m:r>
                  <m:rPr>
                    <m:sty m:val="p"/>
                  </m:rPr>
                  <w:rPr>
                    <w:rFonts w:ascii="Cambria Math" w:hAnsi="Cambria Math"/>
                  </w:rPr>
                  <m:t>'</m:t>
                </m:r>
              </m:sup>
            </m:sSubSup>
            <m:r>
              <m:rPr>
                <m:sty m:val="p"/>
              </m:rPr>
              <w:rPr>
                <w:rFonts w:ascii="Cambria Math" w:hAnsi="Cambria Math"/>
              </w:rPr>
              <m:t>∣</m:t>
            </m:r>
            <m:sSub>
              <m:sSubPr>
                <m:ctrlPr>
                  <w:rPr>
                    <w:rFonts w:ascii="Cambria Math" w:hAnsi="Cambria Math"/>
                  </w:rPr>
                </m:ctrlPr>
              </m:sSubPr>
              <m:e>
                <m:r>
                  <w:rPr>
                    <w:rFonts w:ascii="Cambria Math" w:hAnsi="Cambria Math"/>
                  </w:rPr>
                  <m:t>D</m:t>
                </m:r>
              </m:e>
              <m:sub>
                <m:r>
                  <w:rPr>
                    <w:rFonts w:ascii="Cambria Math" w:hAnsi="Cambria Math"/>
                  </w:rPr>
                  <m:t>j</m:t>
                </m:r>
                <m:r>
                  <m:rPr>
                    <m:sty m:val="p"/>
                  </m:rPr>
                  <w:rPr>
                    <w:rFonts w:ascii="Cambria Math" w:hAnsi="Cambria Math"/>
                  </w:rPr>
                  <m:t>,</m:t>
                </m:r>
                <m:r>
                  <w:rPr>
                    <w:rFonts w:ascii="Cambria Math" w:hAnsi="Cambria Math"/>
                  </w:rPr>
                  <m:t>k</m:t>
                </m:r>
              </m:sub>
            </m:sSub>
          </m:e>
        </m:d>
      </m:oMath>
      <w:r>
        <w:t xml:space="preserve"> was the likelihood of person </w:t>
      </w:r>
      <m:oMath>
        <m:r>
          <w:rPr>
            <w:rFonts w:ascii="Cambria Math" w:hAnsi="Cambria Math"/>
          </w:rPr>
          <m:t>j</m:t>
        </m:r>
      </m:oMath>
      <w:r>
        <w:t xml:space="preserve"> obtaining an additional vaccination dose in week </w:t>
      </w:r>
      <m:oMath>
        <m:r>
          <w:rPr>
            <w:rFonts w:ascii="Cambria Math" w:hAnsi="Cambria Math"/>
          </w:rPr>
          <m:t>k</m:t>
        </m:r>
      </m:oMath>
      <w:r>
        <w:t xml:space="preserve">. In our simulations, we considered three distributions: </w:t>
      </w:r>
      <m:oMath>
        <m:r>
          <m:rPr>
            <m:sty m:val="p"/>
          </m:rPr>
          <w:rPr>
            <w:rFonts w:ascii="Cambria Math" w:hAnsi="Cambria Math"/>
          </w:rPr>
          <m:t>Pr</m:t>
        </m:r>
        <m:d>
          <m:dPr>
            <m:ctrlPr>
              <w:rPr>
                <w:rFonts w:ascii="Cambria Math" w:hAnsi="Cambria Math"/>
              </w:rPr>
            </m:ctrlPr>
          </m:dPr>
          <m:e>
            <m:sSubSup>
              <m:sSubSupPr>
                <m:ctrlPr>
                  <w:rPr>
                    <w:rFonts w:ascii="Cambria Math" w:hAnsi="Cambria Math"/>
                  </w:rPr>
                </m:ctrlPr>
              </m:sSubSupPr>
              <m:e>
                <m:r>
                  <w:rPr>
                    <w:rFonts w:ascii="Cambria Math" w:hAnsi="Cambria Math"/>
                  </w:rPr>
                  <m:t>D</m:t>
                </m:r>
              </m:e>
              <m:sub>
                <m:r>
                  <w:rPr>
                    <w:rFonts w:ascii="Cambria Math" w:hAnsi="Cambria Math"/>
                  </w:rPr>
                  <m:t>j</m:t>
                </m:r>
                <m:r>
                  <m:rPr>
                    <m:sty m:val="p"/>
                  </m:rPr>
                  <w:rPr>
                    <w:rFonts w:ascii="Cambria Math" w:hAnsi="Cambria Math"/>
                  </w:rPr>
                  <m:t>,</m:t>
                </m:r>
                <m:r>
                  <w:rPr>
                    <w:rFonts w:ascii="Cambria Math" w:hAnsi="Cambria Math"/>
                  </w:rPr>
                  <m:t>k</m:t>
                </m:r>
              </m:sub>
              <m:sup>
                <m:r>
                  <m:rPr>
                    <m:sty m:val="p"/>
                  </m:rPr>
                  <w:rPr>
                    <w:rFonts w:ascii="Cambria Math" w:hAnsi="Cambria Math"/>
                  </w:rPr>
                  <m:t>'</m:t>
                </m:r>
              </m:sup>
            </m:sSubSup>
            <m:r>
              <m:rPr>
                <m:sty m:val="p"/>
              </m:rPr>
              <w:rPr>
                <w:rFonts w:ascii="Cambria Math" w:hAnsi="Cambria Math"/>
              </w:rPr>
              <m:t>=</m:t>
            </m:r>
            <m:r>
              <w:rPr>
                <w:rFonts w:ascii="Cambria Math" w:hAnsi="Cambria Math"/>
              </w:rPr>
              <m:t>2</m:t>
            </m:r>
            <m:r>
              <m:rPr>
                <m:sty m:val="p"/>
              </m:rPr>
              <w:rPr>
                <w:rFonts w:ascii="Cambria Math" w:hAnsi="Cambria Math"/>
              </w:rPr>
              <m:t>∣</m:t>
            </m:r>
            <m:sSub>
              <m:sSubPr>
                <m:ctrlPr>
                  <w:rPr>
                    <w:rFonts w:ascii="Cambria Math" w:hAnsi="Cambria Math"/>
                  </w:rPr>
                </m:ctrlPr>
              </m:sSubPr>
              <m:e>
                <m:r>
                  <w:rPr>
                    <w:rFonts w:ascii="Cambria Math" w:hAnsi="Cambria Math"/>
                  </w:rPr>
                  <m:t>D</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0</m:t>
            </m:r>
          </m:e>
        </m:d>
      </m:oMath>
      <w:r>
        <w:t xml:space="preserve">; </w:t>
      </w:r>
      <m:oMath>
        <m:r>
          <m:rPr>
            <m:sty m:val="p"/>
          </m:rPr>
          <w:rPr>
            <w:rFonts w:ascii="Cambria Math" w:hAnsi="Cambria Math"/>
          </w:rPr>
          <m:t>Pr</m:t>
        </m:r>
        <m:d>
          <m:dPr>
            <m:ctrlPr>
              <w:rPr>
                <w:rFonts w:ascii="Cambria Math" w:hAnsi="Cambria Math"/>
              </w:rPr>
            </m:ctrlPr>
          </m:dPr>
          <m:e>
            <m:sSubSup>
              <m:sSubSupPr>
                <m:ctrlPr>
                  <w:rPr>
                    <w:rFonts w:ascii="Cambria Math" w:hAnsi="Cambria Math"/>
                  </w:rPr>
                </m:ctrlPr>
              </m:sSubSupPr>
              <m:e>
                <m:r>
                  <w:rPr>
                    <w:rFonts w:ascii="Cambria Math" w:hAnsi="Cambria Math"/>
                  </w:rPr>
                  <m:t>D</m:t>
                </m:r>
              </m:e>
              <m:sub>
                <m:r>
                  <w:rPr>
                    <w:rFonts w:ascii="Cambria Math" w:hAnsi="Cambria Math"/>
                  </w:rPr>
                  <m:t>j</m:t>
                </m:r>
                <m:r>
                  <m:rPr>
                    <m:sty m:val="p"/>
                  </m:rPr>
                  <w:rPr>
                    <w:rFonts w:ascii="Cambria Math" w:hAnsi="Cambria Math"/>
                  </w:rPr>
                  <m:t>,</m:t>
                </m:r>
                <m:r>
                  <w:rPr>
                    <w:rFonts w:ascii="Cambria Math" w:hAnsi="Cambria Math"/>
                  </w:rPr>
                  <m:t>k</m:t>
                </m:r>
              </m:sub>
              <m:sup>
                <m:r>
                  <m:rPr>
                    <m:sty m:val="p"/>
                  </m:rPr>
                  <w:rPr>
                    <w:rFonts w:ascii="Cambria Math" w:hAnsi="Cambria Math"/>
                  </w:rPr>
                  <m:t>'</m:t>
                </m:r>
              </m:sup>
            </m:sSubSup>
            <m:r>
              <m:rPr>
                <m:sty m:val="p"/>
              </m:rPr>
              <w:rPr>
                <w:rFonts w:ascii="Cambria Math" w:hAnsi="Cambria Math"/>
              </w:rPr>
              <m:t>=</m:t>
            </m:r>
            <m:r>
              <w:rPr>
                <w:rFonts w:ascii="Cambria Math" w:hAnsi="Cambria Math"/>
              </w:rPr>
              <m:t>3</m:t>
            </m:r>
            <m:r>
              <m:rPr>
                <m:sty m:val="p"/>
              </m:rPr>
              <w:rPr>
                <w:rFonts w:ascii="Cambria Math" w:hAnsi="Cambria Math"/>
              </w:rPr>
              <m:t>∣</m:t>
            </m:r>
            <m:sSub>
              <m:sSubPr>
                <m:ctrlPr>
                  <w:rPr>
                    <w:rFonts w:ascii="Cambria Math" w:hAnsi="Cambria Math"/>
                  </w:rPr>
                </m:ctrlPr>
              </m:sSubPr>
              <m:e>
                <m:r>
                  <w:rPr>
                    <w:rFonts w:ascii="Cambria Math" w:hAnsi="Cambria Math"/>
                  </w:rPr>
                  <m:t>D</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2</m:t>
            </m:r>
          </m:e>
        </m:d>
      </m:oMath>
      <w:r>
        <w:t xml:space="preserve">; and </w:t>
      </w:r>
      <m:oMath>
        <m:r>
          <m:rPr>
            <m:sty m:val="p"/>
          </m:rPr>
          <w:rPr>
            <w:rFonts w:ascii="Cambria Math" w:hAnsi="Cambria Math"/>
          </w:rPr>
          <m:t>Pr</m:t>
        </m:r>
        <m:d>
          <m:dPr>
            <m:ctrlPr>
              <w:rPr>
                <w:rFonts w:ascii="Cambria Math" w:hAnsi="Cambria Math"/>
              </w:rPr>
            </m:ctrlPr>
          </m:dPr>
          <m:e>
            <m:sSubSup>
              <m:sSubSupPr>
                <m:ctrlPr>
                  <w:rPr>
                    <w:rFonts w:ascii="Cambria Math" w:hAnsi="Cambria Math"/>
                  </w:rPr>
                </m:ctrlPr>
              </m:sSubSupPr>
              <m:e>
                <m:r>
                  <w:rPr>
                    <w:rFonts w:ascii="Cambria Math" w:hAnsi="Cambria Math"/>
                  </w:rPr>
                  <m:t>D</m:t>
                </m:r>
              </m:e>
              <m:sub>
                <m:r>
                  <w:rPr>
                    <w:rFonts w:ascii="Cambria Math" w:hAnsi="Cambria Math"/>
                  </w:rPr>
                  <m:t>j</m:t>
                </m:r>
                <m:r>
                  <m:rPr>
                    <m:sty m:val="p"/>
                  </m:rPr>
                  <w:rPr>
                    <w:rFonts w:ascii="Cambria Math" w:hAnsi="Cambria Math"/>
                  </w:rPr>
                  <m:t>,</m:t>
                </m:r>
                <m:r>
                  <w:rPr>
                    <w:rFonts w:ascii="Cambria Math" w:hAnsi="Cambria Math"/>
                  </w:rPr>
                  <m:t>k</m:t>
                </m:r>
              </m:sub>
              <m:sup>
                <m:r>
                  <m:rPr>
                    <m:sty m:val="p"/>
                  </m:rPr>
                  <w:rPr>
                    <w:rFonts w:ascii="Cambria Math" w:hAnsi="Cambria Math"/>
                  </w:rPr>
                  <m:t>'</m:t>
                </m:r>
              </m:sup>
            </m:sSubSup>
            <m:r>
              <m:rPr>
                <m:sty m:val="p"/>
              </m:rPr>
              <w:rPr>
                <w:rFonts w:ascii="Cambria Math" w:hAnsi="Cambria Math"/>
              </w:rPr>
              <m:t>=</m:t>
            </m:r>
            <m:r>
              <w:rPr>
                <w:rFonts w:ascii="Cambria Math" w:hAnsi="Cambria Math"/>
              </w:rPr>
              <m:t>4</m:t>
            </m:r>
            <m:r>
              <m:rPr>
                <m:sty m:val="p"/>
              </m:rPr>
              <w:rPr>
                <w:rFonts w:ascii="Cambria Math" w:hAnsi="Cambria Math"/>
              </w:rPr>
              <m:t>∣</m:t>
            </m:r>
            <m:sSub>
              <m:sSubPr>
                <m:ctrlPr>
                  <w:rPr>
                    <w:rFonts w:ascii="Cambria Math" w:hAnsi="Cambria Math"/>
                  </w:rPr>
                </m:ctrlPr>
              </m:sSubPr>
              <m:e>
                <m:r>
                  <w:rPr>
                    <w:rFonts w:ascii="Cambria Math" w:hAnsi="Cambria Math"/>
                  </w:rPr>
                  <m:t>D</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3</m:t>
            </m:r>
          </m:e>
        </m:d>
      </m:oMath>
    </w:p>
    <w:p w14:paraId="1EE407D8" w14:textId="77777777" w:rsidR="0095436D" w:rsidRDefault="00000000">
      <w:pPr>
        <w:pStyle w:val="BodyText"/>
      </w:pPr>
      <w:r>
        <w:t>We used publicly available data of vaccination distributions for people aged 18-49 years by day [4] and converted them to weekly probabilities (Figure S4) for the vaccination distributions.</w:t>
      </w:r>
    </w:p>
    <w:p w14:paraId="1EE407D9" w14:textId="77777777" w:rsidR="0095436D" w:rsidRDefault="00000000">
      <w:pPr>
        <w:pStyle w:val="CaptionedFigure"/>
      </w:pPr>
      <w:r>
        <w:rPr>
          <w:noProof/>
        </w:rPr>
        <w:lastRenderedPageBreak/>
        <w:drawing>
          <wp:inline distT="0" distB="0" distL="0" distR="0" wp14:anchorId="1EE409B9" wp14:editId="1EE409BA">
            <wp:extent cx="5334000" cy="3809999"/>
            <wp:effectExtent l="0" t="0" r="0" b="0"/>
            <wp:docPr id="31" name="Picture" descr="Figure S4: Weekly probabilities of a vaccination dose receipt based on daily vaccination data and U.S. population estimates."/>
            <wp:cNvGraphicFramePr/>
            <a:graphic xmlns:a="http://schemas.openxmlformats.org/drawingml/2006/main">
              <a:graphicData uri="http://schemas.openxmlformats.org/drawingml/2006/picture">
                <pic:pic xmlns:pic="http://schemas.openxmlformats.org/drawingml/2006/picture">
                  <pic:nvPicPr>
                    <pic:cNvPr id="32" name="Picture" descr="tnd_prior_infection_supplement_unedited_2024-07-16_files/figure-docx/raw.vax.dist-1.png"/>
                    <pic:cNvPicPr>
                      <a:picLocks noChangeAspect="1" noChangeArrowheads="1"/>
                    </pic:cNvPicPr>
                  </pic:nvPicPr>
                  <pic:blipFill>
                    <a:blip r:embed="rId11"/>
                    <a:stretch>
                      <a:fillRect/>
                    </a:stretch>
                  </pic:blipFill>
                  <pic:spPr bwMode="auto">
                    <a:xfrm>
                      <a:off x="0" y="0"/>
                      <a:ext cx="5334000" cy="3809999"/>
                    </a:xfrm>
                    <a:prstGeom prst="rect">
                      <a:avLst/>
                    </a:prstGeom>
                    <a:noFill/>
                    <a:ln w="9525">
                      <a:noFill/>
                      <a:headEnd/>
                      <a:tailEnd/>
                    </a:ln>
                  </pic:spPr>
                </pic:pic>
              </a:graphicData>
            </a:graphic>
          </wp:inline>
        </w:drawing>
      </w:r>
    </w:p>
    <w:p w14:paraId="1EE407DA" w14:textId="77777777" w:rsidR="0095436D" w:rsidRDefault="00000000">
      <w:pPr>
        <w:pStyle w:val="ImageCaption"/>
      </w:pPr>
      <w:r>
        <w:t>Figure S4: Weekly probabilities of a vaccination dose receipt based on daily vaccination data and U.S. population estimates.</w:t>
      </w:r>
    </w:p>
    <w:p w14:paraId="1EE407DB" w14:textId="77777777" w:rsidR="0095436D" w:rsidRDefault="0095436D">
      <w:pPr>
        <w:pStyle w:val="BodyText"/>
      </w:pPr>
    </w:p>
    <w:p w14:paraId="1EE407DC" w14:textId="77777777" w:rsidR="0095436D" w:rsidRDefault="00000000">
      <w:pPr>
        <w:pStyle w:val="FirstParagraph"/>
      </w:pPr>
      <w:r>
        <w:t>The curves were standardized so that the cumulative probability of vaccination equaled 1 and then fit to a Beta distribution to find an estimated, smoothed curve of vaccination probability by week (Figure S5).</w:t>
      </w:r>
    </w:p>
    <w:p w14:paraId="1EE407DD" w14:textId="77777777" w:rsidR="0095436D" w:rsidRDefault="00000000">
      <w:pPr>
        <w:pStyle w:val="CaptionedFigure"/>
      </w:pPr>
      <w:r>
        <w:rPr>
          <w:noProof/>
        </w:rPr>
        <w:lastRenderedPageBreak/>
        <w:drawing>
          <wp:inline distT="0" distB="0" distL="0" distR="0" wp14:anchorId="1EE409BB" wp14:editId="1EE409BC">
            <wp:extent cx="5334000" cy="3809999"/>
            <wp:effectExtent l="0" t="0" r="0" b="0"/>
            <wp:docPr id="34" name="Picture" descr="Figure S5: Beta distributions of weekly probability of an additional vaccination dose conditional on a person having had the prior vaccination dose."/>
            <wp:cNvGraphicFramePr/>
            <a:graphic xmlns:a="http://schemas.openxmlformats.org/drawingml/2006/main">
              <a:graphicData uri="http://schemas.openxmlformats.org/drawingml/2006/picture">
                <pic:pic xmlns:pic="http://schemas.openxmlformats.org/drawingml/2006/picture">
                  <pic:nvPicPr>
                    <pic:cNvPr id="35" name="Picture" descr="tnd_prior_infection_supplement_unedited_2024-07-16_files/figure-docx/vax.dist-1.png"/>
                    <pic:cNvPicPr>
                      <a:picLocks noChangeAspect="1" noChangeArrowheads="1"/>
                    </pic:cNvPicPr>
                  </pic:nvPicPr>
                  <pic:blipFill>
                    <a:blip r:embed="rId12"/>
                    <a:stretch>
                      <a:fillRect/>
                    </a:stretch>
                  </pic:blipFill>
                  <pic:spPr bwMode="auto">
                    <a:xfrm>
                      <a:off x="0" y="0"/>
                      <a:ext cx="5334000" cy="3809999"/>
                    </a:xfrm>
                    <a:prstGeom prst="rect">
                      <a:avLst/>
                    </a:prstGeom>
                    <a:noFill/>
                    <a:ln w="9525">
                      <a:noFill/>
                      <a:headEnd/>
                      <a:tailEnd/>
                    </a:ln>
                  </pic:spPr>
                </pic:pic>
              </a:graphicData>
            </a:graphic>
          </wp:inline>
        </w:drawing>
      </w:r>
    </w:p>
    <w:p w14:paraId="1EE407DE" w14:textId="77777777" w:rsidR="0095436D" w:rsidRDefault="00000000">
      <w:pPr>
        <w:pStyle w:val="ImageCaption"/>
      </w:pPr>
      <w:r>
        <w:t>Figure S5: Beta distributions of weekly probability of an additional vaccination dose conditional on a person having had the prior vaccination dose.</w:t>
      </w:r>
    </w:p>
    <w:p w14:paraId="1EE407DF" w14:textId="77777777" w:rsidR="0095436D" w:rsidRDefault="0095436D">
      <w:pPr>
        <w:pStyle w:val="BodyText"/>
      </w:pPr>
    </w:p>
    <w:p w14:paraId="1EE407E0" w14:textId="77777777" w:rsidR="0095436D" w:rsidRDefault="00000000">
      <w:pPr>
        <w:pStyle w:val="FirstParagraph"/>
      </w:pPr>
      <w:r>
        <w:t>In addition, research suggests that people have been less likely to obtain a COVID-19 vaccination after a known SARS-CoV-2 infection. Multiple studies explored whether people with prior infection were less likely to get vaccinated than people without a known prior infection, each with slightly different questions posed to participants. In our search of the literature, we found the following odds ratios (ORs) with the specific comparison estimated:</w:t>
      </w:r>
    </w:p>
    <w:p w14:paraId="1EE407E1" w14:textId="77777777" w:rsidR="0095436D" w:rsidRDefault="00000000">
      <w:pPr>
        <w:pStyle w:val="Compact"/>
        <w:numPr>
          <w:ilvl w:val="0"/>
          <w:numId w:val="3"/>
        </w:numPr>
      </w:pPr>
      <w:r>
        <w:t>Probably/definitely will not get a vaccine: OR=0.63757. [5]</w:t>
      </w:r>
    </w:p>
    <w:p w14:paraId="1EE407E2" w14:textId="77777777" w:rsidR="0095436D" w:rsidRDefault="00000000">
      <w:pPr>
        <w:pStyle w:val="Compact"/>
        <w:numPr>
          <w:ilvl w:val="0"/>
          <w:numId w:val="3"/>
        </w:numPr>
      </w:pPr>
      <w:r>
        <w:t>Reachable vs. reluctant: OR=0.62361. [6]</w:t>
      </w:r>
    </w:p>
    <w:p w14:paraId="1EE407E3" w14:textId="77777777" w:rsidR="0095436D" w:rsidRDefault="00000000">
      <w:pPr>
        <w:pStyle w:val="Compact"/>
        <w:numPr>
          <w:ilvl w:val="0"/>
          <w:numId w:val="3"/>
        </w:numPr>
      </w:pPr>
      <w:r>
        <w:t>Plans to receive vaccination: OR=0.55. [7]</w:t>
      </w:r>
    </w:p>
    <w:p w14:paraId="1EE407E4" w14:textId="77777777" w:rsidR="0095436D" w:rsidRDefault="00000000">
      <w:pPr>
        <w:pStyle w:val="Compact"/>
        <w:numPr>
          <w:ilvl w:val="0"/>
          <w:numId w:val="3"/>
        </w:numPr>
      </w:pPr>
      <w:r>
        <w:t>Intention to receive vaccine: OR=0.40. [8]</w:t>
      </w:r>
    </w:p>
    <w:p w14:paraId="1EE407E5" w14:textId="77777777" w:rsidR="0095436D" w:rsidRDefault="00000000">
      <w:pPr>
        <w:pStyle w:val="Compact"/>
        <w:numPr>
          <w:ilvl w:val="0"/>
          <w:numId w:val="3"/>
        </w:numPr>
      </w:pPr>
      <w:r>
        <w:t>Self-reported past vaccination: OR=0.50. [9]</w:t>
      </w:r>
    </w:p>
    <w:p w14:paraId="1EE407E6" w14:textId="77777777" w:rsidR="0095436D" w:rsidRDefault="00000000">
      <w:pPr>
        <w:pStyle w:val="Compact"/>
        <w:numPr>
          <w:ilvl w:val="0"/>
          <w:numId w:val="3"/>
        </w:numPr>
      </w:pPr>
      <w:r>
        <w:t>Receiving or planning to receive vaccination: OR=0.45833. [10]</w:t>
      </w:r>
    </w:p>
    <w:p w14:paraId="1EE407E7" w14:textId="77777777" w:rsidR="0095436D" w:rsidRDefault="00000000">
      <w:pPr>
        <w:pStyle w:val="FirstParagraph"/>
      </w:pPr>
      <w:r>
        <w:t>Please note our search may not have been exhaustive. From those studies, the median OR was 0.525 which was used in simulations. In our simulations, the ratios did not depend on the dose, e.g., an unvaccinated person was treated the same as someone with three vaccination doses</w:t>
      </w:r>
    </w:p>
    <w:p w14:paraId="1EE407E8" w14:textId="77777777" w:rsidR="0095436D" w:rsidRDefault="00000000">
      <w:pPr>
        <w:pStyle w:val="BodyText"/>
      </w:pPr>
      <w:r>
        <w:lastRenderedPageBreak/>
        <w:t xml:space="preserve">In an attempt to realize the median OR at each week </w:t>
      </w:r>
      <m:oMath>
        <m:r>
          <w:rPr>
            <w:rFonts w:ascii="Cambria Math" w:hAnsi="Cambria Math"/>
          </w:rPr>
          <m:t>k</m:t>
        </m:r>
      </m:oMath>
      <w:r>
        <w:t xml:space="preserve">, the expected marginal totals were calculated for each combination of </w:t>
      </w:r>
      <m:oMath>
        <m:sSubSup>
          <m:sSubSupPr>
            <m:ctrlPr>
              <w:rPr>
                <w:rFonts w:ascii="Cambria Math" w:hAnsi="Cambria Math"/>
              </w:rPr>
            </m:ctrlPr>
          </m:sSubSupPr>
          <m:e>
            <m:r>
              <w:rPr>
                <w:rFonts w:ascii="Cambria Math" w:hAnsi="Cambria Math"/>
              </w:rPr>
              <m:t>D</m:t>
            </m:r>
          </m:e>
          <m:sub>
            <m:r>
              <w:rPr>
                <w:rFonts w:ascii="Cambria Math" w:hAnsi="Cambria Math"/>
              </w:rPr>
              <m:t>j</m:t>
            </m:r>
            <m:r>
              <m:rPr>
                <m:sty m:val="p"/>
              </m:rPr>
              <w:rPr>
                <w:rFonts w:ascii="Cambria Math" w:hAnsi="Cambria Math"/>
              </w:rPr>
              <m:t>,</m:t>
            </m:r>
            <m:r>
              <w:rPr>
                <w:rFonts w:ascii="Cambria Math" w:hAnsi="Cambria Math"/>
              </w:rPr>
              <m:t>k</m:t>
            </m:r>
          </m:sub>
          <m:sup>
            <m:r>
              <m:rPr>
                <m:sty m:val="p"/>
              </m:rPr>
              <w:rPr>
                <w:rFonts w:ascii="Cambria Math" w:hAnsi="Cambria Math"/>
              </w:rPr>
              <m:t>'</m:t>
            </m:r>
          </m:sup>
        </m:sSubSup>
      </m:oMath>
      <w:r>
        <w:t xml:space="preserve"> and </w:t>
      </w:r>
      <m:oMath>
        <m:sSub>
          <m:sSubPr>
            <m:ctrlPr>
              <w:rPr>
                <w:rFonts w:ascii="Cambria Math" w:hAnsi="Cambria Math"/>
              </w:rPr>
            </m:ctrlPr>
          </m:sSubPr>
          <m:e>
            <m:r>
              <w:rPr>
                <w:rFonts w:ascii="Cambria Math" w:hAnsi="Cambria Math"/>
              </w:rPr>
              <m:t>D</m:t>
            </m:r>
          </m:e>
          <m:sub>
            <m:r>
              <w:rPr>
                <w:rFonts w:ascii="Cambria Math" w:hAnsi="Cambria Math"/>
              </w:rPr>
              <m:t>j</m:t>
            </m:r>
            <m:r>
              <m:rPr>
                <m:sty m:val="p"/>
              </m:rPr>
              <w:rPr>
                <w:rFonts w:ascii="Cambria Math" w:hAnsi="Cambria Math"/>
              </w:rPr>
              <m:t>,</m:t>
            </m:r>
            <m:r>
              <w:rPr>
                <w:rFonts w:ascii="Cambria Math" w:hAnsi="Cambria Math"/>
              </w:rPr>
              <m:t>k</m:t>
            </m:r>
          </m:sub>
        </m:sSub>
      </m:oMath>
      <w:r>
        <w:t>. Those marginal totals were naive people (</w:t>
      </w:r>
      <m:oMath>
        <m:sSub>
          <m:sSubPr>
            <m:ctrlPr>
              <w:rPr>
                <w:rFonts w:ascii="Cambria Math" w:hAnsi="Cambria Math"/>
              </w:rPr>
            </m:ctrlPr>
          </m:sSubPr>
          <m:e>
            <m:r>
              <w:rPr>
                <w:rFonts w:ascii="Cambria Math" w:hAnsi="Cambria Math"/>
              </w:rPr>
              <m:t>n</m:t>
            </m:r>
          </m:e>
          <m:sub>
            <m:r>
              <w:rPr>
                <w:rFonts w:ascii="Cambria Math" w:hAnsi="Cambria Math"/>
              </w:rPr>
              <m:t>1</m:t>
            </m:r>
            <m:r>
              <m:rPr>
                <m:sty m:val="p"/>
              </m:rPr>
              <w:rPr>
                <w:rFonts w:ascii="Cambria Math" w:hAnsi="Cambria Math"/>
              </w:rPr>
              <m:t>,</m:t>
            </m:r>
            <m:r>
              <w:rPr>
                <w:rFonts w:ascii="Cambria Math" w:hAnsi="Cambria Math"/>
              </w:rPr>
              <m:t>k</m:t>
            </m:r>
          </m:sub>
        </m:sSub>
      </m:oMath>
      <w:r>
        <w:t>), people with a prior infection (</w:t>
      </w:r>
      <m:oMath>
        <m:sSub>
          <m:sSubPr>
            <m:ctrlPr>
              <w:rPr>
                <w:rFonts w:ascii="Cambria Math" w:hAnsi="Cambria Math"/>
              </w:rPr>
            </m:ctrlPr>
          </m:sSubPr>
          <m:e>
            <m:r>
              <w:rPr>
                <w:rFonts w:ascii="Cambria Math" w:hAnsi="Cambria Math"/>
              </w:rPr>
              <m:t>n</m:t>
            </m:r>
          </m:e>
          <m:sub>
            <m:r>
              <w:rPr>
                <w:rFonts w:ascii="Cambria Math" w:hAnsi="Cambria Math"/>
              </w:rPr>
              <m:t>2</m:t>
            </m:r>
            <m:r>
              <m:rPr>
                <m:sty m:val="p"/>
              </m:rPr>
              <w:rPr>
                <w:rFonts w:ascii="Cambria Math" w:hAnsi="Cambria Math"/>
              </w:rPr>
              <m:t>,</m:t>
            </m:r>
            <m:r>
              <w:rPr>
                <w:rFonts w:ascii="Cambria Math" w:hAnsi="Cambria Math"/>
              </w:rPr>
              <m:t>k</m:t>
            </m:r>
          </m:sub>
        </m:sSub>
      </m:oMath>
      <w:r>
        <w:t xml:space="preserve">), expected number of people with a vaccination in week </w:t>
      </w:r>
      <m:oMath>
        <m:r>
          <w:rPr>
            <w:rFonts w:ascii="Cambria Math" w:hAnsi="Cambria Math"/>
          </w:rPr>
          <m:t>k</m:t>
        </m:r>
      </m:oMath>
      <w:r>
        <w:t xml:space="preserve"> (</w:t>
      </w:r>
      <m:oMath>
        <m:sSub>
          <m:sSubPr>
            <m:ctrlPr>
              <w:rPr>
                <w:rFonts w:ascii="Cambria Math" w:hAnsi="Cambria Math"/>
              </w:rPr>
            </m:ctrlPr>
          </m:sSubPr>
          <m:e>
            <m:r>
              <w:rPr>
                <w:rFonts w:ascii="Cambria Math" w:hAnsi="Cambria Math"/>
              </w:rPr>
              <m:t>n</m:t>
            </m:r>
          </m:e>
          <m:sub>
            <m:r>
              <w:rPr>
                <w:rFonts w:ascii="Cambria Math" w:hAnsi="Cambria Math"/>
              </w:rPr>
              <m:t>3</m:t>
            </m:r>
            <m:r>
              <m:rPr>
                <m:sty m:val="p"/>
              </m:rPr>
              <w:rPr>
                <w:rFonts w:ascii="Cambria Math" w:hAnsi="Cambria Math"/>
              </w:rPr>
              <m:t>,</m:t>
            </m:r>
            <m:r>
              <w:rPr>
                <w:rFonts w:ascii="Cambria Math" w:hAnsi="Cambria Math"/>
              </w:rPr>
              <m:t>k</m:t>
            </m:r>
          </m:sub>
        </m:sSub>
      </m:oMath>
      <w:r>
        <w:t xml:space="preserve">), and expected number of people without a vaccination in week </w:t>
      </w:r>
      <m:oMath>
        <m:r>
          <w:rPr>
            <w:rFonts w:ascii="Cambria Math" w:hAnsi="Cambria Math"/>
          </w:rPr>
          <m:t>k</m:t>
        </m:r>
      </m:oMath>
      <w:r>
        <w:t xml:space="preserve"> (</w:t>
      </w:r>
      <m:oMath>
        <m:sSub>
          <m:sSubPr>
            <m:ctrlPr>
              <w:rPr>
                <w:rFonts w:ascii="Cambria Math" w:hAnsi="Cambria Math"/>
              </w:rPr>
            </m:ctrlPr>
          </m:sSubPr>
          <m:e>
            <m:r>
              <w:rPr>
                <w:rFonts w:ascii="Cambria Math" w:hAnsi="Cambria Math"/>
              </w:rPr>
              <m:t>n</m:t>
            </m:r>
          </m:e>
          <m:sub>
            <m:r>
              <w:rPr>
                <w:rFonts w:ascii="Cambria Math" w:hAnsi="Cambria Math"/>
              </w:rPr>
              <m:t>4</m:t>
            </m:r>
            <m:r>
              <m:rPr>
                <m:sty m:val="p"/>
              </m:rPr>
              <w:rPr>
                <w:rFonts w:ascii="Cambria Math" w:hAnsi="Cambria Math"/>
              </w:rPr>
              <m:t>,</m:t>
            </m:r>
            <m:r>
              <w:rPr>
                <w:rFonts w:ascii="Cambria Math" w:hAnsi="Cambria Math"/>
              </w:rPr>
              <m:t>k</m:t>
            </m:r>
          </m:sub>
        </m:sSub>
      </m:oMath>
      <w:r>
        <w:t>). The marginal totals were used to calculate the probabilities of vaccination in people with prior infection and naive people are determined. That was done by solving the formula</w:t>
      </w:r>
    </w:p>
    <w:p w14:paraId="1EE407E9" w14:textId="77777777" w:rsidR="0095436D" w:rsidRDefault="00000000">
      <w:pPr>
        <w:pStyle w:val="BodyText"/>
      </w:pPr>
      <m:oMathPara>
        <m:oMathParaPr>
          <m:jc m:val="center"/>
        </m:oMathParaPr>
        <m:oMath>
          <m:f>
            <m:fPr>
              <m:ctrlPr>
                <w:rPr>
                  <w:rFonts w:ascii="Cambria Math" w:hAnsi="Cambria Math"/>
                </w:rPr>
              </m:ctrlPr>
            </m:fPr>
            <m:num>
              <m:sSub>
                <m:sSubPr>
                  <m:ctrlPr>
                    <w:rPr>
                      <w:rFonts w:ascii="Cambria Math" w:hAnsi="Cambria Math"/>
                    </w:rPr>
                  </m:ctrlPr>
                </m:sSubPr>
                <m:e>
                  <m:r>
                    <w:rPr>
                      <w:rFonts w:ascii="Cambria Math" w:hAnsi="Cambria Math"/>
                    </w:rPr>
                    <m:t>ω</m:t>
                  </m:r>
                </m:e>
                <m:sub>
                  <m:r>
                    <w:rPr>
                      <w:rFonts w:ascii="Cambria Math" w:hAnsi="Cambria Math"/>
                    </w:rPr>
                    <m:t>k</m:t>
                  </m:r>
                </m:sub>
              </m:sSub>
              <m:r>
                <m:rPr>
                  <m:sty m:val="p"/>
                </m:rPr>
                <w:rPr>
                  <w:rFonts w:ascii="Cambria Math" w:hAnsi="Cambria Math"/>
                </w:rPr>
                <m:t>*</m:t>
              </m:r>
              <m:d>
                <m:dPr>
                  <m:ctrlPr>
                    <w:rPr>
                      <w:rFonts w:ascii="Cambria Math" w:hAnsi="Cambria Math"/>
                    </w:rPr>
                  </m:ctrlPr>
                </m:dPr>
                <m:e>
                  <m:sSub>
                    <m:sSubPr>
                      <m:ctrlPr>
                        <w:rPr>
                          <w:rFonts w:ascii="Cambria Math" w:hAnsi="Cambria Math"/>
                        </w:rPr>
                      </m:ctrlPr>
                    </m:sSubPr>
                    <m:e>
                      <m:r>
                        <w:rPr>
                          <w:rFonts w:ascii="Cambria Math" w:hAnsi="Cambria Math"/>
                        </w:rPr>
                        <m:t>n</m:t>
                      </m:r>
                    </m:e>
                    <m:sub>
                      <m:r>
                        <w:rPr>
                          <w:rFonts w:ascii="Cambria Math" w:hAnsi="Cambria Math"/>
                        </w:rPr>
                        <m:t>1</m:t>
                      </m:r>
                      <m:r>
                        <m:rPr>
                          <m:sty m:val="p"/>
                        </m:rPr>
                        <w:rPr>
                          <w:rFonts w:ascii="Cambria Math" w:hAnsi="Cambria Math"/>
                        </w:rPr>
                        <m:t>,</m:t>
                      </m:r>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n</m:t>
                      </m:r>
                    </m:e>
                    <m:sub>
                      <m:r>
                        <w:rPr>
                          <w:rFonts w:ascii="Cambria Math" w:hAnsi="Cambria Math"/>
                        </w:rPr>
                        <m:t>3</m:t>
                      </m:r>
                      <m:r>
                        <m:rPr>
                          <m:sty m:val="p"/>
                        </m:rPr>
                        <w:rPr>
                          <w:rFonts w:ascii="Cambria Math" w:hAnsi="Cambria Math"/>
                        </w:rPr>
                        <m:t>,</m:t>
                      </m:r>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ω</m:t>
                      </m:r>
                    </m:e>
                    <m:sub>
                      <m:r>
                        <w:rPr>
                          <w:rFonts w:ascii="Cambria Math" w:hAnsi="Cambria Math"/>
                        </w:rPr>
                        <m:t>k</m:t>
                      </m:r>
                    </m:sub>
                  </m:sSub>
                </m:e>
              </m:d>
            </m:num>
            <m:den>
              <m:d>
                <m:dPr>
                  <m:ctrlPr>
                    <w:rPr>
                      <w:rFonts w:ascii="Cambria Math" w:hAnsi="Cambria Math"/>
                    </w:rPr>
                  </m:ctrlPr>
                </m:dPr>
                <m:e>
                  <m:sSub>
                    <m:sSubPr>
                      <m:ctrlPr>
                        <w:rPr>
                          <w:rFonts w:ascii="Cambria Math" w:hAnsi="Cambria Math"/>
                        </w:rPr>
                      </m:ctrlPr>
                    </m:sSubPr>
                    <m:e>
                      <m:r>
                        <w:rPr>
                          <w:rFonts w:ascii="Cambria Math" w:hAnsi="Cambria Math"/>
                        </w:rPr>
                        <m:t>n</m:t>
                      </m:r>
                    </m:e>
                    <m:sub>
                      <m:r>
                        <w:rPr>
                          <w:rFonts w:ascii="Cambria Math" w:hAnsi="Cambria Math"/>
                        </w:rPr>
                        <m:t>3</m:t>
                      </m:r>
                      <m:r>
                        <m:rPr>
                          <m:sty m:val="p"/>
                        </m:rPr>
                        <w:rPr>
                          <w:rFonts w:ascii="Cambria Math" w:hAnsi="Cambria Math"/>
                        </w:rPr>
                        <m:t>,</m:t>
                      </m:r>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ω</m:t>
                      </m:r>
                    </m:e>
                    <m:sub>
                      <m:r>
                        <w:rPr>
                          <w:rFonts w:ascii="Cambria Math" w:hAnsi="Cambria Math"/>
                        </w:rPr>
                        <m:t>k</m:t>
                      </m:r>
                    </m:sub>
                  </m:sSub>
                </m:e>
              </m:d>
              <m:d>
                <m:dPr>
                  <m:ctrlPr>
                    <w:rPr>
                      <w:rFonts w:ascii="Cambria Math" w:hAnsi="Cambria Math"/>
                    </w:rPr>
                  </m:ctrlPr>
                </m:dPr>
                <m:e>
                  <m:sSub>
                    <m:sSubPr>
                      <m:ctrlPr>
                        <w:rPr>
                          <w:rFonts w:ascii="Cambria Math" w:hAnsi="Cambria Math"/>
                        </w:rPr>
                      </m:ctrlPr>
                    </m:sSubPr>
                    <m:e>
                      <m:r>
                        <w:rPr>
                          <w:rFonts w:ascii="Cambria Math" w:hAnsi="Cambria Math"/>
                        </w:rPr>
                        <m:t>n</m:t>
                      </m:r>
                    </m:e>
                    <m:sub>
                      <m:r>
                        <w:rPr>
                          <w:rFonts w:ascii="Cambria Math" w:hAnsi="Cambria Math"/>
                        </w:rPr>
                        <m:t>2</m:t>
                      </m:r>
                      <m:r>
                        <m:rPr>
                          <m:sty m:val="p"/>
                        </m:rPr>
                        <w:rPr>
                          <w:rFonts w:ascii="Cambria Math" w:hAnsi="Cambria Math"/>
                        </w:rPr>
                        <m:t>,</m:t>
                      </m:r>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ω</m:t>
                      </m:r>
                    </m:e>
                    <m:sub>
                      <m:r>
                        <w:rPr>
                          <w:rFonts w:ascii="Cambria Math" w:hAnsi="Cambria Math"/>
                        </w:rPr>
                        <m:t>k</m:t>
                      </m:r>
                    </m:sub>
                  </m:sSub>
                </m:e>
              </m:d>
            </m:den>
          </m:f>
          <m:r>
            <m:rPr>
              <m:sty m:val="p"/>
            </m:rPr>
            <w:rPr>
              <w:rFonts w:ascii="Cambria Math" w:hAnsi="Cambria Math"/>
            </w:rPr>
            <m:t>-</m:t>
          </m:r>
          <m:r>
            <w:rPr>
              <w:rFonts w:ascii="Cambria Math" w:hAnsi="Cambria Math"/>
            </w:rPr>
            <m:t>η</m:t>
          </m:r>
          <m:r>
            <m:rPr>
              <m:sty m:val="p"/>
            </m:rPr>
            <w:rPr>
              <w:rFonts w:ascii="Cambria Math" w:hAnsi="Cambria Math"/>
            </w:rPr>
            <m:t>=</m:t>
          </m:r>
          <m:r>
            <w:rPr>
              <w:rFonts w:ascii="Cambria Math" w:hAnsi="Cambria Math"/>
            </w:rPr>
            <m:t>0</m:t>
          </m:r>
          <m:r>
            <m:rPr>
              <m:sty m:val="p"/>
            </m:rPr>
            <w:rPr>
              <w:rFonts w:ascii="Cambria Math" w:hAnsi="Cambria Math"/>
            </w:rPr>
            <m:t>,</m:t>
          </m:r>
        </m:oMath>
      </m:oMathPara>
    </w:p>
    <w:p w14:paraId="1EE407EA" w14:textId="77777777" w:rsidR="0095436D" w:rsidRDefault="00000000">
      <w:pPr>
        <w:pStyle w:val="FirstParagraph"/>
      </w:pPr>
      <w:r>
        <w:t xml:space="preserve">where </w:t>
      </w:r>
      <m:oMath>
        <m:r>
          <w:rPr>
            <w:rFonts w:ascii="Cambria Math" w:hAnsi="Cambria Math"/>
          </w:rPr>
          <m:t>η</m:t>
        </m:r>
        <m:r>
          <m:rPr>
            <m:sty m:val="p"/>
          </m:rPr>
          <w:rPr>
            <w:rFonts w:ascii="Cambria Math" w:hAnsi="Cambria Math"/>
          </w:rPr>
          <m:t>=</m:t>
        </m:r>
      </m:oMath>
      <w:r>
        <w:t xml:space="preserve"> 0.525 and </w:t>
      </w:r>
      <m:oMath>
        <m:sSub>
          <m:sSubPr>
            <m:ctrlPr>
              <w:rPr>
                <w:rFonts w:ascii="Cambria Math" w:hAnsi="Cambria Math"/>
              </w:rPr>
            </m:ctrlPr>
          </m:sSubPr>
          <m:e>
            <m:r>
              <w:rPr>
                <w:rFonts w:ascii="Cambria Math" w:hAnsi="Cambria Math"/>
              </w:rPr>
              <m:t>ω</m:t>
            </m:r>
          </m:e>
          <m:sub>
            <m:r>
              <w:rPr>
                <w:rFonts w:ascii="Cambria Math" w:hAnsi="Cambria Math"/>
              </w:rPr>
              <m:t>k</m:t>
            </m:r>
          </m:sub>
        </m:sSub>
      </m:oMath>
      <w:r>
        <w:t xml:space="preserve"> was the number of vaccinations in prior infected people in week </w:t>
      </w:r>
      <m:oMath>
        <m:r>
          <w:rPr>
            <w:rFonts w:ascii="Cambria Math" w:hAnsi="Cambria Math"/>
          </w:rPr>
          <m:t>k</m:t>
        </m:r>
      </m:oMath>
      <w:r>
        <w:t>. Then</w:t>
      </w:r>
    </w:p>
    <w:p w14:paraId="1EE407EB" w14:textId="77777777" w:rsidR="0095436D" w:rsidRDefault="00000000">
      <w:pPr>
        <w:pStyle w:val="BodyText"/>
      </w:pPr>
      <m:oMathPara>
        <m:oMathParaPr>
          <m:jc m:val="center"/>
        </m:oMathParaPr>
        <m:oMath>
          <m:r>
            <m:rPr>
              <m:sty m:val="p"/>
            </m:rPr>
            <w:rPr>
              <w:rFonts w:ascii="Cambria Math" w:hAnsi="Cambria Math"/>
            </w:rPr>
            <m:t>Pr</m:t>
          </m:r>
          <m:d>
            <m:dPr>
              <m:ctrlPr>
                <w:rPr>
                  <w:rFonts w:ascii="Cambria Math" w:hAnsi="Cambria Math"/>
                </w:rPr>
              </m:ctrlPr>
            </m:dPr>
            <m:e>
              <m:sSubSup>
                <m:sSubSupPr>
                  <m:ctrlPr>
                    <w:rPr>
                      <w:rFonts w:ascii="Cambria Math" w:hAnsi="Cambria Math"/>
                    </w:rPr>
                  </m:ctrlPr>
                </m:sSubSupPr>
                <m:e>
                  <m:r>
                    <w:rPr>
                      <w:rFonts w:ascii="Cambria Math" w:hAnsi="Cambria Math"/>
                    </w:rPr>
                    <m:t>D</m:t>
                  </m:r>
                </m:e>
                <m:sub>
                  <m:r>
                    <w:rPr>
                      <w:rFonts w:ascii="Cambria Math" w:hAnsi="Cambria Math"/>
                    </w:rPr>
                    <m:t>j</m:t>
                  </m:r>
                  <m:r>
                    <m:rPr>
                      <m:sty m:val="p"/>
                    </m:rPr>
                    <w:rPr>
                      <w:rFonts w:ascii="Cambria Math" w:hAnsi="Cambria Math"/>
                    </w:rPr>
                    <m:t>,</m:t>
                  </m:r>
                  <m:r>
                    <w:rPr>
                      <w:rFonts w:ascii="Cambria Math" w:hAnsi="Cambria Math"/>
                    </w:rPr>
                    <m:t>k</m:t>
                  </m:r>
                </m:sub>
                <m:sup>
                  <m:r>
                    <m:rPr>
                      <m:sty m:val="p"/>
                    </m:rPr>
                    <w:rPr>
                      <w:rFonts w:ascii="Cambria Math" w:hAnsi="Cambria Math"/>
                    </w:rPr>
                    <m:t>'</m:t>
                  </m:r>
                </m:sup>
              </m:sSubSup>
              <m:r>
                <m:rPr>
                  <m:sty m:val="p"/>
                </m:rPr>
                <w:rPr>
                  <w:rFonts w:ascii="Cambria Math" w:hAnsi="Cambria Math"/>
                </w:rPr>
                <m:t>∣</m:t>
              </m:r>
              <m:sSub>
                <m:sSubPr>
                  <m:ctrlPr>
                    <w:rPr>
                      <w:rFonts w:ascii="Cambria Math" w:hAnsi="Cambria Math"/>
                    </w:rPr>
                  </m:ctrlPr>
                </m:sSubPr>
                <m:e>
                  <m:r>
                    <w:rPr>
                      <w:rFonts w:ascii="Cambria Math" w:hAnsi="Cambria Math"/>
                    </w:rPr>
                    <m:t>D</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sSubSup>
                <m:sSubSupPr>
                  <m:ctrlPr>
                    <w:rPr>
                      <w:rFonts w:ascii="Cambria Math" w:hAnsi="Cambria Math"/>
                    </w:rPr>
                  </m:ctrlPr>
                </m:sSubSupPr>
                <m:e>
                  <m:r>
                    <w:rPr>
                      <w:rFonts w:ascii="Cambria Math" w:hAnsi="Cambria Math"/>
                    </w:rPr>
                    <m:t>I</m:t>
                  </m:r>
                </m:e>
                <m:sub>
                  <m:r>
                    <w:rPr>
                      <w:rFonts w:ascii="Cambria Math" w:hAnsi="Cambria Math"/>
                    </w:rPr>
                    <m:t>j</m:t>
                  </m:r>
                  <m:r>
                    <m:rPr>
                      <m:sty m:val="p"/>
                    </m:rPr>
                    <w:rPr>
                      <w:rFonts w:ascii="Cambria Math" w:hAnsi="Cambria Math"/>
                    </w:rPr>
                    <m:t>,</m:t>
                  </m:r>
                  <m:r>
                    <w:rPr>
                      <w:rFonts w:ascii="Cambria Math" w:hAnsi="Cambria Math"/>
                    </w:rPr>
                    <m:t>k</m:t>
                  </m:r>
                </m:sub>
                <m:sup>
                  <m:r>
                    <m:rPr>
                      <m:sty m:val="p"/>
                    </m:rPr>
                    <w:rPr>
                      <w:rFonts w:ascii="Cambria Math" w:hAnsi="Cambria Math"/>
                    </w:rPr>
                    <m:t>*</m:t>
                  </m:r>
                </m:sup>
              </m:sSubSup>
            </m:e>
          </m:d>
          <m:r>
            <m:rPr>
              <m:sty m:val="p"/>
            </m:rPr>
            <w:rPr>
              <w:rFonts w:ascii="Cambria Math" w:hAnsi="Cambria Math"/>
            </w:rPr>
            <m:t>=</m:t>
          </m:r>
          <m:d>
            <m:dPr>
              <m:begChr m:val="{"/>
              <m:endChr m:val=""/>
              <m:ctrlPr>
                <w:rPr>
                  <w:rFonts w:ascii="Cambria Math" w:hAnsi="Cambria Math"/>
                </w:rPr>
              </m:ctrlPr>
            </m:dPr>
            <m:e>
              <m:m>
                <m:mPr>
                  <m:plcHide m:val="1"/>
                  <m:mcs>
                    <m:mc>
                      <m:mcPr>
                        <m:count m:val="2"/>
                        <m:mcJc m:val="left"/>
                      </m:mcPr>
                    </m:mc>
                  </m:mcs>
                  <m:ctrlPr>
                    <w:rPr>
                      <w:rFonts w:ascii="Cambria Math" w:hAnsi="Cambria Math"/>
                    </w:rPr>
                  </m:ctrlPr>
                </m:mPr>
                <m:mr>
                  <m:e>
                    <m:f>
                      <m:fPr>
                        <m:ctrlPr>
                          <w:rPr>
                            <w:rFonts w:ascii="Cambria Math" w:hAnsi="Cambria Math"/>
                          </w:rPr>
                        </m:ctrlPr>
                      </m:fPr>
                      <m:num>
                        <m:sSub>
                          <m:sSubPr>
                            <m:ctrlPr>
                              <w:rPr>
                                <w:rFonts w:ascii="Cambria Math" w:hAnsi="Cambria Math"/>
                              </w:rPr>
                            </m:ctrlPr>
                          </m:sSubPr>
                          <m:e>
                            <m:r>
                              <w:rPr>
                                <w:rFonts w:ascii="Cambria Math" w:hAnsi="Cambria Math"/>
                              </w:rPr>
                              <m:t>n</m:t>
                            </m:r>
                          </m:e>
                          <m:sub>
                            <m:r>
                              <w:rPr>
                                <w:rFonts w:ascii="Cambria Math" w:hAnsi="Cambria Math"/>
                              </w:rPr>
                              <m:t>3</m:t>
                            </m:r>
                            <m:r>
                              <m:rPr>
                                <m:sty m:val="p"/>
                              </m:rPr>
                              <w:rPr>
                                <w:rFonts w:ascii="Cambria Math" w:hAnsi="Cambria Math"/>
                              </w:rPr>
                              <m:t>,</m:t>
                            </m:r>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ω</m:t>
                            </m:r>
                          </m:e>
                          <m:sub>
                            <m:r>
                              <w:rPr>
                                <w:rFonts w:ascii="Cambria Math" w:hAnsi="Cambria Math"/>
                              </w:rPr>
                              <m:t>k</m:t>
                            </m:r>
                          </m:sub>
                        </m:sSub>
                      </m:num>
                      <m:den>
                        <m:sSub>
                          <m:sSubPr>
                            <m:ctrlPr>
                              <w:rPr>
                                <w:rFonts w:ascii="Cambria Math" w:hAnsi="Cambria Math"/>
                              </w:rPr>
                            </m:ctrlPr>
                          </m:sSubPr>
                          <m:e>
                            <m:r>
                              <w:rPr>
                                <w:rFonts w:ascii="Cambria Math" w:hAnsi="Cambria Math"/>
                              </w:rPr>
                              <m:t>n</m:t>
                            </m:r>
                          </m:e>
                          <m:sub>
                            <m:r>
                              <w:rPr>
                                <w:rFonts w:ascii="Cambria Math" w:hAnsi="Cambria Math"/>
                              </w:rPr>
                              <m:t>1</m:t>
                            </m:r>
                            <m:r>
                              <m:rPr>
                                <m:sty m:val="p"/>
                              </m:rPr>
                              <w:rPr>
                                <w:rFonts w:ascii="Cambria Math" w:hAnsi="Cambria Math"/>
                              </w:rPr>
                              <m:t>,</m:t>
                            </m:r>
                            <m:r>
                              <w:rPr>
                                <w:rFonts w:ascii="Cambria Math" w:hAnsi="Cambria Math"/>
                              </w:rPr>
                              <m:t>k</m:t>
                            </m:r>
                          </m:sub>
                        </m:sSub>
                      </m:den>
                    </m:f>
                  </m:e>
                  <m:e>
                    <m:r>
                      <m:rPr>
                        <m:nor/>
                      </m:rPr>
                      <m:t xml:space="preserve">if </m:t>
                    </m:r>
                    <m:sSubSup>
                      <m:sSubSupPr>
                        <m:ctrlPr>
                          <w:rPr>
                            <w:rFonts w:ascii="Cambria Math" w:hAnsi="Cambria Math"/>
                          </w:rPr>
                        </m:ctrlPr>
                      </m:sSubSupPr>
                      <m:e>
                        <m:r>
                          <w:rPr>
                            <w:rFonts w:ascii="Cambria Math" w:hAnsi="Cambria Math"/>
                          </w:rPr>
                          <m:t>I</m:t>
                        </m:r>
                      </m:e>
                      <m:sub>
                        <m:r>
                          <w:rPr>
                            <w:rFonts w:ascii="Cambria Math" w:hAnsi="Cambria Math"/>
                          </w:rPr>
                          <m:t>j</m:t>
                        </m:r>
                        <m:r>
                          <m:rPr>
                            <m:sty m:val="p"/>
                          </m:rPr>
                          <w:rPr>
                            <w:rFonts w:ascii="Cambria Math" w:hAnsi="Cambria Math"/>
                          </w:rPr>
                          <m:t>,</m:t>
                        </m:r>
                        <m:r>
                          <w:rPr>
                            <w:rFonts w:ascii="Cambria Math" w:hAnsi="Cambria Math"/>
                          </w:rPr>
                          <m:t>k</m:t>
                        </m:r>
                      </m:sub>
                      <m:sup>
                        <m:r>
                          <m:rPr>
                            <m:sty m:val="p"/>
                          </m:rPr>
                          <w:rPr>
                            <w:rFonts w:ascii="Cambria Math" w:hAnsi="Cambria Math"/>
                          </w:rPr>
                          <m:t>*</m:t>
                        </m:r>
                      </m:sup>
                    </m:sSubSup>
                    <m:r>
                      <m:rPr>
                        <m:sty m:val="p"/>
                      </m:rPr>
                      <w:rPr>
                        <w:rFonts w:ascii="Cambria Math" w:hAnsi="Cambria Math"/>
                      </w:rPr>
                      <m:t>=</m:t>
                    </m:r>
                    <m:r>
                      <w:rPr>
                        <w:rFonts w:ascii="Cambria Math" w:hAnsi="Cambria Math"/>
                      </w:rPr>
                      <m:t>0</m:t>
                    </m:r>
                    <m:r>
                      <m:rPr>
                        <m:sty m:val="p"/>
                      </m:rPr>
                      <w:rPr>
                        <w:rFonts w:ascii="Cambria Math" w:hAnsi="Cambria Math"/>
                      </w:rPr>
                      <m:t>,</m:t>
                    </m:r>
                  </m:e>
                </m:mr>
                <m:mr>
                  <m:e>
                    <m:r>
                      <w:rPr>
                        <w:rFonts w:ascii="Cambria Math" w:hAnsi="Cambria Math"/>
                      </w:rPr>
                      <m:t>   </m:t>
                    </m:r>
                    <m:f>
                      <m:fPr>
                        <m:ctrlPr>
                          <w:rPr>
                            <w:rFonts w:ascii="Cambria Math" w:hAnsi="Cambria Math"/>
                          </w:rPr>
                        </m:ctrlPr>
                      </m:fPr>
                      <m:num>
                        <m:sSub>
                          <m:sSubPr>
                            <m:ctrlPr>
                              <w:rPr>
                                <w:rFonts w:ascii="Cambria Math" w:hAnsi="Cambria Math"/>
                              </w:rPr>
                            </m:ctrlPr>
                          </m:sSubPr>
                          <m:e>
                            <m:r>
                              <w:rPr>
                                <w:rFonts w:ascii="Cambria Math" w:hAnsi="Cambria Math"/>
                              </w:rPr>
                              <m:t>ω</m:t>
                            </m:r>
                          </m:e>
                          <m:sub>
                            <m:r>
                              <w:rPr>
                                <w:rFonts w:ascii="Cambria Math" w:hAnsi="Cambria Math"/>
                              </w:rPr>
                              <m:t>k</m:t>
                            </m:r>
                          </m:sub>
                        </m:sSub>
                      </m:num>
                      <m:den>
                        <m:sSub>
                          <m:sSubPr>
                            <m:ctrlPr>
                              <w:rPr>
                                <w:rFonts w:ascii="Cambria Math" w:hAnsi="Cambria Math"/>
                              </w:rPr>
                            </m:ctrlPr>
                          </m:sSubPr>
                          <m:e>
                            <m:r>
                              <w:rPr>
                                <w:rFonts w:ascii="Cambria Math" w:hAnsi="Cambria Math"/>
                              </w:rPr>
                              <m:t>n</m:t>
                            </m:r>
                          </m:e>
                          <m:sub>
                            <m:r>
                              <w:rPr>
                                <w:rFonts w:ascii="Cambria Math" w:hAnsi="Cambria Math"/>
                              </w:rPr>
                              <m:t>2</m:t>
                            </m:r>
                            <m:r>
                              <m:rPr>
                                <m:sty m:val="p"/>
                              </m:rPr>
                              <w:rPr>
                                <w:rFonts w:ascii="Cambria Math" w:hAnsi="Cambria Math"/>
                              </w:rPr>
                              <m:t>,</m:t>
                            </m:r>
                            <m:r>
                              <w:rPr>
                                <w:rFonts w:ascii="Cambria Math" w:hAnsi="Cambria Math"/>
                              </w:rPr>
                              <m:t>k</m:t>
                            </m:r>
                          </m:sub>
                        </m:sSub>
                      </m:den>
                    </m:f>
                  </m:e>
                  <m:e>
                    <m:r>
                      <m:rPr>
                        <m:nor/>
                      </m:rPr>
                      <m:t xml:space="preserve">if </m:t>
                    </m:r>
                    <m:sSubSup>
                      <m:sSubSupPr>
                        <m:ctrlPr>
                          <w:rPr>
                            <w:rFonts w:ascii="Cambria Math" w:hAnsi="Cambria Math"/>
                          </w:rPr>
                        </m:ctrlPr>
                      </m:sSubSupPr>
                      <m:e>
                        <m:r>
                          <w:rPr>
                            <w:rFonts w:ascii="Cambria Math" w:hAnsi="Cambria Math"/>
                          </w:rPr>
                          <m:t>I</m:t>
                        </m:r>
                      </m:e>
                      <m:sub>
                        <m:r>
                          <w:rPr>
                            <w:rFonts w:ascii="Cambria Math" w:hAnsi="Cambria Math"/>
                          </w:rPr>
                          <m:t>j</m:t>
                        </m:r>
                        <m:r>
                          <m:rPr>
                            <m:sty m:val="p"/>
                          </m:rPr>
                          <w:rPr>
                            <w:rFonts w:ascii="Cambria Math" w:hAnsi="Cambria Math"/>
                          </w:rPr>
                          <m:t>,</m:t>
                        </m:r>
                        <m:r>
                          <w:rPr>
                            <w:rFonts w:ascii="Cambria Math" w:hAnsi="Cambria Math"/>
                          </w:rPr>
                          <m:t>k</m:t>
                        </m:r>
                      </m:sub>
                      <m:sup>
                        <m:r>
                          <m:rPr>
                            <m:sty m:val="p"/>
                          </m:rPr>
                          <w:rPr>
                            <w:rFonts w:ascii="Cambria Math" w:hAnsi="Cambria Math"/>
                          </w:rPr>
                          <m:t>*</m:t>
                        </m:r>
                      </m:sup>
                    </m:sSubSup>
                    <m:r>
                      <m:rPr>
                        <m:sty m:val="p"/>
                      </m:rPr>
                      <w:rPr>
                        <w:rFonts w:ascii="Cambria Math" w:hAnsi="Cambria Math"/>
                      </w:rPr>
                      <m:t>=</m:t>
                    </m:r>
                    <m:r>
                      <w:rPr>
                        <w:rFonts w:ascii="Cambria Math" w:hAnsi="Cambria Math"/>
                      </w:rPr>
                      <m:t>1</m:t>
                    </m:r>
                    <m:r>
                      <m:rPr>
                        <m:sty m:val="p"/>
                      </m:rPr>
                      <w:rPr>
                        <w:rFonts w:ascii="Cambria Math" w:hAnsi="Cambria Math"/>
                      </w:rPr>
                      <m:t>.</m:t>
                    </m:r>
                  </m:e>
                </m:mr>
              </m:m>
            </m:e>
          </m:d>
        </m:oMath>
      </m:oMathPara>
    </w:p>
    <w:p w14:paraId="1EE407EC" w14:textId="77777777" w:rsidR="0095436D" w:rsidRDefault="00000000">
      <w:pPr>
        <w:pStyle w:val="Heading3"/>
      </w:pPr>
      <w:bookmarkStart w:id="8" w:name="protection"/>
      <w:bookmarkStart w:id="9" w:name="_Toc172030366"/>
      <w:bookmarkEnd w:id="6"/>
      <w:r>
        <w:t>Protection</w:t>
      </w:r>
      <w:bookmarkEnd w:id="9"/>
    </w:p>
    <w:p w14:paraId="1EE407ED" w14:textId="77777777" w:rsidR="0095436D" w:rsidRDefault="00000000">
      <w:pPr>
        <w:pStyle w:val="FirstParagraph"/>
      </w:pPr>
      <w:r>
        <w:t xml:space="preserve">Protection in week </w:t>
      </w:r>
      <m:oMath>
        <m:r>
          <w:rPr>
            <w:rFonts w:ascii="Cambria Math" w:hAnsi="Cambria Math"/>
          </w:rPr>
          <m:t>k</m:t>
        </m:r>
      </m:oMath>
      <w:r>
        <w:t xml:space="preserve"> was defined based a person’s vaccine-induced protection (VP) and infection-induced protection (IP) in week </w:t>
      </w:r>
      <m:oMath>
        <m:r>
          <w:rPr>
            <w:rFonts w:ascii="Cambria Math" w:hAnsi="Cambria Math"/>
          </w:rPr>
          <m:t>k</m:t>
        </m:r>
        <m:r>
          <m:rPr>
            <m:sty m:val="p"/>
          </m:rPr>
          <w:rPr>
            <w:rFonts w:ascii="Cambria Math" w:hAnsi="Cambria Math"/>
          </w:rPr>
          <m:t>-</m:t>
        </m:r>
        <m:r>
          <w:rPr>
            <w:rFonts w:ascii="Cambria Math" w:hAnsi="Cambria Math"/>
          </w:rPr>
          <m:t>1</m:t>
        </m:r>
      </m:oMath>
      <w:r>
        <w:t>. Each used the same basic function: for VP, the function is as follows:</w:t>
      </w:r>
    </w:p>
    <w:p w14:paraId="1EE407EE" w14:textId="77777777" w:rsidR="0095436D" w:rsidRDefault="00000000">
      <w:pPr>
        <w:pStyle w:val="BodyText"/>
      </w:pPr>
      <m:oMathPara>
        <m:oMathParaPr>
          <m:jc m:val="center"/>
        </m:oMathParaPr>
        <m:oMath>
          <m:sSub>
            <m:sSubPr>
              <m:ctrlPr>
                <w:rPr>
                  <w:rFonts w:ascii="Cambria Math" w:hAnsi="Cambria Math"/>
                </w:rPr>
              </m:ctrlPr>
            </m:sSubPr>
            <m:e>
              <m:r>
                <m:rPr>
                  <m:nor/>
                </m:rPr>
                <m:t>VP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f</m:t>
              </m:r>
            </m:e>
            <m:sub>
              <m:r>
                <w:rPr>
                  <w:rFonts w:ascii="Cambria Math" w:hAnsi="Cambria Math"/>
                </w:rPr>
                <m:t>v</m:t>
              </m:r>
            </m:sub>
          </m:sSub>
          <m:d>
            <m:dPr>
              <m:ctrlPr>
                <w:rPr>
                  <w:rFonts w:ascii="Cambria Math" w:hAnsi="Cambria Math"/>
                </w:rPr>
              </m:ctrlPr>
            </m:dPr>
            <m:e>
              <m:r>
                <w:rPr>
                  <w:rFonts w:ascii="Cambria Math" w:hAnsi="Cambria Math"/>
                </w:rPr>
                <m:t>k</m:t>
              </m:r>
              <m:r>
                <m:rPr>
                  <m:sty m:val="p"/>
                </m:rPr>
                <w:rPr>
                  <w:rFonts w:ascii="Cambria Math" w:hAnsi="Cambria Math"/>
                </w:rPr>
                <m:t>-</m:t>
              </m:r>
              <m:r>
                <w:rPr>
                  <w:rFonts w:ascii="Cambria Math" w:hAnsi="Cambria Math"/>
                </w:rPr>
                <m:t>1</m:t>
              </m:r>
              <m:r>
                <m:rPr>
                  <m:sty m:val="p"/>
                </m:rPr>
                <w:rPr>
                  <w:rFonts w:ascii="Cambria Math" w:hAnsi="Cambria Math"/>
                </w:rPr>
                <m:t>,</m:t>
              </m:r>
              <m:sSubSup>
                <m:sSubSupPr>
                  <m:ctrlPr>
                    <w:rPr>
                      <w:rFonts w:ascii="Cambria Math" w:hAnsi="Cambria Math"/>
                    </w:rPr>
                  </m:ctrlPr>
                </m:sSubSupPr>
                <m:e>
                  <m:r>
                    <w:rPr>
                      <w:rFonts w:ascii="Cambria Math" w:hAnsi="Cambria Math"/>
                    </w:rPr>
                    <m:t>t</m:t>
                  </m:r>
                </m:e>
                <m:sub>
                  <m:r>
                    <w:rPr>
                      <w:rFonts w:ascii="Cambria Math" w:hAnsi="Cambria Math"/>
                    </w:rPr>
                    <m:t>j</m:t>
                  </m:r>
                  <m:r>
                    <m:rPr>
                      <m:sty m:val="p"/>
                    </m:rPr>
                    <w:rPr>
                      <w:rFonts w:ascii="Cambria Math" w:hAnsi="Cambria Math"/>
                    </w:rPr>
                    <m:t>,</m:t>
                  </m:r>
                  <m:r>
                    <w:rPr>
                      <w:rFonts w:ascii="Cambria Math" w:hAnsi="Cambria Math"/>
                    </w:rPr>
                    <m:t>k</m:t>
                  </m:r>
                  <m:r>
                    <m:rPr>
                      <m:sty m:val="p"/>
                    </m:rPr>
                    <w:rPr>
                      <w:rFonts w:ascii="Cambria Math" w:hAnsi="Cambria Math"/>
                    </w:rPr>
                    <m:t>-</m:t>
                  </m:r>
                  <m:r>
                    <w:rPr>
                      <w:rFonts w:ascii="Cambria Math" w:hAnsi="Cambria Math"/>
                    </w:rPr>
                    <m:t>1</m:t>
                  </m:r>
                </m:sub>
                <m:sup>
                  <m:r>
                    <w:rPr>
                      <w:rFonts w:ascii="Cambria Math" w:hAnsi="Cambria Math"/>
                    </w:rPr>
                    <m:t>v</m:t>
                  </m:r>
                </m:sup>
              </m:sSubSup>
              <m:r>
                <m:rPr>
                  <m:sty m:val="p"/>
                </m:rPr>
                <w:rPr>
                  <w:rFonts w:ascii="Cambria Math" w:hAnsi="Cambria Math"/>
                </w:rPr>
                <m:t>,</m:t>
              </m:r>
              <m:sSub>
                <m:sSubPr>
                  <m:ctrlPr>
                    <w:rPr>
                      <w:rFonts w:ascii="Cambria Math" w:hAnsi="Cambria Math"/>
                    </w:rPr>
                  </m:ctrlPr>
                </m:sSubPr>
                <m:e>
                  <m:r>
                    <w:rPr>
                      <w:rFonts w:ascii="Cambria Math" w:hAnsi="Cambria Math"/>
                    </w:rPr>
                    <m:t>κ</m:t>
                  </m:r>
                </m:e>
                <m:sub>
                  <m:r>
                    <w:rPr>
                      <w:rFonts w:ascii="Cambria Math" w:hAnsi="Cambria Math"/>
                    </w:rPr>
                    <m:t>v</m:t>
                  </m:r>
                </m:sub>
              </m:sSub>
              <m:r>
                <m:rPr>
                  <m:sty m:val="p"/>
                </m:rPr>
                <w:rPr>
                  <w:rFonts w:ascii="Cambria Math" w:hAnsi="Cambria Math"/>
                </w:rPr>
                <m:t>,</m:t>
              </m:r>
              <m:sSub>
                <m:sSubPr>
                  <m:ctrlPr>
                    <w:rPr>
                      <w:rFonts w:ascii="Cambria Math" w:hAnsi="Cambria Math"/>
                    </w:rPr>
                  </m:ctrlPr>
                </m:sSubPr>
                <m:e>
                  <m:r>
                    <w:rPr>
                      <w:rFonts w:ascii="Cambria Math" w:hAnsi="Cambria Math"/>
                    </w:rPr>
                    <m:t>θ</m:t>
                  </m:r>
                </m:e>
                <m:sub>
                  <m:r>
                    <w:rPr>
                      <w:rFonts w:ascii="Cambria Math" w:hAnsi="Cambria Math"/>
                    </w:rPr>
                    <m:t>v</m:t>
                  </m:r>
                </m:sub>
              </m:sSub>
            </m:e>
          </m:d>
          <m:r>
            <m:rPr>
              <m:sty m:val="p"/>
            </m:rPr>
            <w:rPr>
              <w:rFonts w:ascii="Cambria Math" w:hAnsi="Cambria Math"/>
            </w:rPr>
            <m:t>=max</m:t>
          </m:r>
          <m:d>
            <m:dPr>
              <m:begChr m:val="["/>
              <m:endChr m:val="]"/>
              <m:ctrlPr>
                <w:rPr>
                  <w:rFonts w:ascii="Cambria Math" w:hAnsi="Cambria Math"/>
                </w:rPr>
              </m:ctrlPr>
            </m:dPr>
            <m:e>
              <m:r>
                <w:rPr>
                  <w:rFonts w:ascii="Cambria Math" w:hAnsi="Cambria Math"/>
                </w:rPr>
                <m:t>0</m:t>
              </m:r>
              <m:r>
                <m:rPr>
                  <m:sty m:val="p"/>
                </m:rPr>
                <w:rPr>
                  <w:rFonts w:ascii="Cambria Math" w:hAnsi="Cambria Math"/>
                </w:rPr>
                <m:t>,</m:t>
              </m:r>
              <m:sSub>
                <m:sSubPr>
                  <m:ctrlPr>
                    <w:rPr>
                      <w:rFonts w:ascii="Cambria Math" w:hAnsi="Cambria Math"/>
                    </w:rPr>
                  </m:ctrlPr>
                </m:sSubPr>
                <m:e>
                  <m:r>
                    <w:rPr>
                      <w:rFonts w:ascii="Cambria Math" w:hAnsi="Cambria Math"/>
                    </w:rPr>
                    <m:t>κ</m:t>
                  </m:r>
                </m:e>
                <m:sub>
                  <m:r>
                    <w:rPr>
                      <w:rFonts w:ascii="Cambria Math" w:hAnsi="Cambria Math"/>
                    </w:rPr>
                    <m:t>v</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κ</m:t>
                      </m:r>
                    </m:e>
                    <m:sub>
                      <m:r>
                        <w:rPr>
                          <w:rFonts w:ascii="Cambria Math" w:hAnsi="Cambria Math"/>
                        </w:rPr>
                        <m:t>v</m:t>
                      </m:r>
                    </m:sub>
                  </m:sSub>
                </m:num>
                <m:den>
                  <m:r>
                    <m:rPr>
                      <m:sty m:val="p"/>
                    </m:rPr>
                    <w:rPr>
                      <w:rFonts w:ascii="Cambria Math" w:hAnsi="Cambria Math"/>
                    </w:rPr>
                    <m:t>-</m:t>
                  </m:r>
                  <m:sSub>
                    <m:sSubPr>
                      <m:ctrlPr>
                        <w:rPr>
                          <w:rFonts w:ascii="Cambria Math" w:hAnsi="Cambria Math"/>
                        </w:rPr>
                      </m:ctrlPr>
                    </m:sSubPr>
                    <m:e>
                      <m:r>
                        <w:rPr>
                          <w:rFonts w:ascii="Cambria Math" w:hAnsi="Cambria Math"/>
                        </w:rPr>
                        <m:t>θ</m:t>
                      </m:r>
                    </m:e>
                    <m:sub>
                      <m:r>
                        <w:rPr>
                          <w:rFonts w:ascii="Cambria Math" w:hAnsi="Cambria Math"/>
                        </w:rPr>
                        <m:t>v</m:t>
                      </m:r>
                    </m:sub>
                  </m:sSub>
                </m:den>
              </m:f>
              <m:r>
                <m:rPr>
                  <m:sty m:val="p"/>
                </m:rPr>
                <w:rPr>
                  <w:rFonts w:ascii="Cambria Math" w:hAnsi="Cambria Math"/>
                </w:rPr>
                <m:t>*</m:t>
              </m:r>
              <m:d>
                <m:dPr>
                  <m:ctrlPr>
                    <w:rPr>
                      <w:rFonts w:ascii="Cambria Math" w:hAnsi="Cambria Math"/>
                    </w:rPr>
                  </m:ctrlPr>
                </m:dPr>
                <m:e>
                  <m:r>
                    <w:rPr>
                      <w:rFonts w:ascii="Cambria Math" w:hAnsi="Cambria Math"/>
                    </w:rPr>
                    <m:t>k</m:t>
                  </m:r>
                  <m:r>
                    <m:rPr>
                      <m:sty m:val="p"/>
                    </m:rPr>
                    <w:rPr>
                      <w:rFonts w:ascii="Cambria Math" w:hAnsi="Cambria Math"/>
                    </w:rPr>
                    <m:t>-</m:t>
                  </m:r>
                  <m:r>
                    <w:rPr>
                      <w:rFonts w:ascii="Cambria Math" w:hAnsi="Cambria Math"/>
                    </w:rPr>
                    <m:t>1</m:t>
                  </m:r>
                  <m:r>
                    <m:rPr>
                      <m:sty m:val="p"/>
                    </m:rPr>
                    <w:rPr>
                      <w:rFonts w:ascii="Cambria Math" w:hAnsi="Cambria Math"/>
                    </w:rPr>
                    <m:t>-</m:t>
                  </m:r>
                  <m:sSubSup>
                    <m:sSubSupPr>
                      <m:ctrlPr>
                        <w:rPr>
                          <w:rFonts w:ascii="Cambria Math" w:hAnsi="Cambria Math"/>
                        </w:rPr>
                      </m:ctrlPr>
                    </m:sSubSupPr>
                    <m:e>
                      <m:r>
                        <w:rPr>
                          <w:rFonts w:ascii="Cambria Math" w:hAnsi="Cambria Math"/>
                        </w:rPr>
                        <m:t>t</m:t>
                      </m:r>
                    </m:e>
                    <m:sub>
                      <m:r>
                        <w:rPr>
                          <w:rFonts w:ascii="Cambria Math" w:hAnsi="Cambria Math"/>
                        </w:rPr>
                        <m:t>j</m:t>
                      </m:r>
                      <m:r>
                        <m:rPr>
                          <m:sty m:val="p"/>
                        </m:rPr>
                        <w:rPr>
                          <w:rFonts w:ascii="Cambria Math" w:hAnsi="Cambria Math"/>
                        </w:rPr>
                        <m:t>,</m:t>
                      </m:r>
                      <m:r>
                        <w:rPr>
                          <w:rFonts w:ascii="Cambria Math" w:hAnsi="Cambria Math"/>
                        </w:rPr>
                        <m:t>k</m:t>
                      </m:r>
                      <m:r>
                        <m:rPr>
                          <m:sty m:val="p"/>
                        </m:rPr>
                        <w:rPr>
                          <w:rFonts w:ascii="Cambria Math" w:hAnsi="Cambria Math"/>
                        </w:rPr>
                        <m:t>-</m:t>
                      </m:r>
                      <m:r>
                        <w:rPr>
                          <w:rFonts w:ascii="Cambria Math" w:hAnsi="Cambria Math"/>
                        </w:rPr>
                        <m:t>1</m:t>
                      </m:r>
                    </m:sub>
                    <m:sup>
                      <m:r>
                        <w:rPr>
                          <w:rFonts w:ascii="Cambria Math" w:hAnsi="Cambria Math"/>
                        </w:rPr>
                        <m:t>v</m:t>
                      </m:r>
                    </m:sup>
                  </m:sSubSup>
                </m:e>
              </m:d>
            </m:e>
          </m:d>
          <m:r>
            <m:rPr>
              <m:sty m:val="p"/>
            </m:rPr>
            <w:rPr>
              <w:rFonts w:ascii="Cambria Math" w:hAnsi="Cambria Math"/>
            </w:rPr>
            <m:t>,</m:t>
          </m:r>
        </m:oMath>
      </m:oMathPara>
    </w:p>
    <w:p w14:paraId="1EE407EF" w14:textId="77777777" w:rsidR="0095436D" w:rsidRDefault="00000000">
      <w:pPr>
        <w:pStyle w:val="FirstParagraph"/>
      </w:pPr>
      <w:r>
        <w:t xml:space="preserve">where </w:t>
      </w:r>
      <m:oMath>
        <m:sSubSup>
          <m:sSubSupPr>
            <m:ctrlPr>
              <w:rPr>
                <w:rFonts w:ascii="Cambria Math" w:hAnsi="Cambria Math"/>
              </w:rPr>
            </m:ctrlPr>
          </m:sSubSupPr>
          <m:e>
            <m:r>
              <w:rPr>
                <w:rFonts w:ascii="Cambria Math" w:hAnsi="Cambria Math"/>
              </w:rPr>
              <m:t>t</m:t>
            </m:r>
          </m:e>
          <m:sub>
            <m:r>
              <w:rPr>
                <w:rFonts w:ascii="Cambria Math" w:hAnsi="Cambria Math"/>
              </w:rPr>
              <m:t>j</m:t>
            </m:r>
            <m:r>
              <m:rPr>
                <m:sty m:val="p"/>
              </m:rPr>
              <w:rPr>
                <w:rFonts w:ascii="Cambria Math" w:hAnsi="Cambria Math"/>
              </w:rPr>
              <m:t>,</m:t>
            </m:r>
            <m:r>
              <w:rPr>
                <w:rFonts w:ascii="Cambria Math" w:hAnsi="Cambria Math"/>
              </w:rPr>
              <m:t>k</m:t>
            </m:r>
            <m:r>
              <m:rPr>
                <m:sty m:val="p"/>
              </m:rPr>
              <w:rPr>
                <w:rFonts w:ascii="Cambria Math" w:hAnsi="Cambria Math"/>
              </w:rPr>
              <m:t>-</m:t>
            </m:r>
            <m:r>
              <w:rPr>
                <w:rFonts w:ascii="Cambria Math" w:hAnsi="Cambria Math"/>
              </w:rPr>
              <m:t>1</m:t>
            </m:r>
          </m:sub>
          <m:sup>
            <m:r>
              <w:rPr>
                <w:rFonts w:ascii="Cambria Math" w:hAnsi="Cambria Math"/>
              </w:rPr>
              <m:t>v</m:t>
            </m:r>
          </m:sup>
        </m:sSubSup>
      </m:oMath>
      <w:r>
        <w:t xml:space="preserve"> was the week of the most recent vaccination in week </w:t>
      </w:r>
      <m:oMath>
        <m:r>
          <w:rPr>
            <w:rFonts w:ascii="Cambria Math" w:hAnsi="Cambria Math"/>
          </w:rPr>
          <m:t>k</m:t>
        </m:r>
        <m:r>
          <m:rPr>
            <m:sty m:val="p"/>
          </m:rPr>
          <w:rPr>
            <w:rFonts w:ascii="Cambria Math" w:hAnsi="Cambria Math"/>
          </w:rPr>
          <m:t>-</m:t>
        </m:r>
        <m:r>
          <w:rPr>
            <w:rFonts w:ascii="Cambria Math" w:hAnsi="Cambria Math"/>
          </w:rPr>
          <m:t>1</m:t>
        </m:r>
      </m:oMath>
      <w:r>
        <w:t xml:space="preserve">, </w:t>
      </w:r>
      <m:oMath>
        <m:sSub>
          <m:sSubPr>
            <m:ctrlPr>
              <w:rPr>
                <w:rFonts w:ascii="Cambria Math" w:hAnsi="Cambria Math"/>
              </w:rPr>
            </m:ctrlPr>
          </m:sSubPr>
          <m:e>
            <m:r>
              <w:rPr>
                <w:rFonts w:ascii="Cambria Math" w:hAnsi="Cambria Math"/>
              </w:rPr>
              <m:t>κ</m:t>
            </m:r>
          </m:e>
          <m:sub>
            <m:r>
              <w:rPr>
                <w:rFonts w:ascii="Cambria Math" w:hAnsi="Cambria Math"/>
              </w:rPr>
              <m:t>v</m:t>
            </m:r>
          </m:sub>
        </m:sSub>
      </m:oMath>
      <w:r>
        <w:t xml:space="preserve"> was the maximum protection conferred by vaccination, and </w:t>
      </w:r>
      <m:oMath>
        <m:sSub>
          <m:sSubPr>
            <m:ctrlPr>
              <w:rPr>
                <w:rFonts w:ascii="Cambria Math" w:hAnsi="Cambria Math"/>
              </w:rPr>
            </m:ctrlPr>
          </m:sSubPr>
          <m:e>
            <m:r>
              <w:rPr>
                <w:rFonts w:ascii="Cambria Math" w:hAnsi="Cambria Math"/>
              </w:rPr>
              <m:t>θ</m:t>
            </m:r>
          </m:e>
          <m:sub>
            <m:r>
              <w:rPr>
                <w:rFonts w:ascii="Cambria Math" w:hAnsi="Cambria Math"/>
              </w:rPr>
              <m:t>v</m:t>
            </m:r>
          </m:sub>
        </m:sSub>
      </m:oMath>
      <w:r>
        <w:t xml:space="preserve"> was the number of weeks before protection from vaccination reaches zero.</w:t>
      </w:r>
    </w:p>
    <w:p w14:paraId="1EE407F0" w14:textId="77777777" w:rsidR="0095436D" w:rsidRDefault="00000000">
      <w:pPr>
        <w:pStyle w:val="BodyText"/>
      </w:pPr>
      <w:r>
        <w:t>Two definitions were used for vaccination-induced protection waning with different curves for pre-Omicron and Omicron/post-Omicron (Figure S6).</w:t>
      </w:r>
    </w:p>
    <w:p w14:paraId="1EE407F1" w14:textId="77777777" w:rsidR="0095436D" w:rsidRDefault="00000000">
      <w:pPr>
        <w:pStyle w:val="CaptionedFigure"/>
      </w:pPr>
      <w:r>
        <w:rPr>
          <w:noProof/>
        </w:rPr>
        <w:lastRenderedPageBreak/>
        <w:drawing>
          <wp:inline distT="0" distB="0" distL="0" distR="0" wp14:anchorId="1EE409BD" wp14:editId="1EE409BE">
            <wp:extent cx="4620126" cy="3696101"/>
            <wp:effectExtent l="0" t="0" r="0" b="0"/>
            <wp:docPr id="38" name="Picture" descr="Figure S6: Vaccine protection waning curves."/>
            <wp:cNvGraphicFramePr/>
            <a:graphic xmlns:a="http://schemas.openxmlformats.org/drawingml/2006/main">
              <a:graphicData uri="http://schemas.openxmlformats.org/drawingml/2006/picture">
                <pic:pic xmlns:pic="http://schemas.openxmlformats.org/drawingml/2006/picture">
                  <pic:nvPicPr>
                    <pic:cNvPr id="39" name="Picture" descr="tnd_prior_infection_supplement_unedited_2024-07-16_files/figure-docx/ve.imms-1.png"/>
                    <pic:cNvPicPr>
                      <a:picLocks noChangeAspect="1" noChangeArrowheads="1"/>
                    </pic:cNvPicPr>
                  </pic:nvPicPr>
                  <pic:blipFill>
                    <a:blip r:embed="rId13"/>
                    <a:stretch>
                      <a:fillRect/>
                    </a:stretch>
                  </pic:blipFill>
                  <pic:spPr bwMode="auto">
                    <a:xfrm>
                      <a:off x="0" y="0"/>
                      <a:ext cx="4620126" cy="3696101"/>
                    </a:xfrm>
                    <a:prstGeom prst="rect">
                      <a:avLst/>
                    </a:prstGeom>
                    <a:noFill/>
                    <a:ln w="9525">
                      <a:noFill/>
                      <a:headEnd/>
                      <a:tailEnd/>
                    </a:ln>
                  </pic:spPr>
                </pic:pic>
              </a:graphicData>
            </a:graphic>
          </wp:inline>
        </w:drawing>
      </w:r>
    </w:p>
    <w:p w14:paraId="1EE407F2" w14:textId="77777777" w:rsidR="0095436D" w:rsidRDefault="00000000">
      <w:pPr>
        <w:pStyle w:val="ImageCaption"/>
      </w:pPr>
      <w:r>
        <w:t>Figure S6: Vaccine protection waning curves.</w:t>
      </w:r>
    </w:p>
    <w:p w14:paraId="1EE407F3" w14:textId="77777777" w:rsidR="0095436D" w:rsidRDefault="0095436D">
      <w:pPr>
        <w:pStyle w:val="BodyText"/>
      </w:pPr>
    </w:p>
    <w:p w14:paraId="1EE407F4" w14:textId="77777777" w:rsidR="0095436D" w:rsidRDefault="00000000">
      <w:pPr>
        <w:pStyle w:val="FirstParagraph"/>
      </w:pPr>
      <w:r>
        <w:t xml:space="preserve">An individual’s vaccination-induced protection level was varied via a multiplier. That multiplier was generated from a Gamma distribution with </w:t>
      </w:r>
      <m:oMath>
        <m:r>
          <w:rPr>
            <w:rFonts w:ascii="Cambria Math" w:hAnsi="Cambria Math"/>
          </w:rPr>
          <m:t>Γ</m:t>
        </m:r>
        <m:d>
          <m:dPr>
            <m:ctrlPr>
              <w:rPr>
                <w:rFonts w:ascii="Cambria Math" w:hAnsi="Cambria Math"/>
              </w:rPr>
            </m:ctrlPr>
          </m:dPr>
          <m:e>
            <m:r>
              <w:rPr>
                <w:rFonts w:ascii="Cambria Math" w:hAnsi="Cambria Math"/>
              </w:rPr>
              <m:t>α</m:t>
            </m:r>
            <m:r>
              <m:rPr>
                <m:sty m:val="p"/>
              </m:rPr>
              <w:rPr>
                <w:rFonts w:ascii="Cambria Math" w:hAnsi="Cambria Math"/>
              </w:rPr>
              <m:t>,</m:t>
            </m:r>
            <m:r>
              <w:rPr>
                <w:rFonts w:ascii="Cambria Math" w:hAnsi="Cambria Math"/>
              </w:rPr>
              <m:t>β</m:t>
            </m:r>
          </m:e>
        </m:d>
      </m:oMath>
      <w:r>
        <w:t xml:space="preserve"> where </w:t>
      </w:r>
      <m:oMath>
        <m:r>
          <w:rPr>
            <w:rFonts w:ascii="Cambria Math" w:hAnsi="Cambria Math"/>
          </w:rPr>
          <m:t>α</m:t>
        </m:r>
      </m:oMath>
      <w:r>
        <w:t xml:space="preserve"> was the shape parameter and </w:t>
      </w:r>
      <m:oMath>
        <m:r>
          <w:rPr>
            <w:rFonts w:ascii="Cambria Math" w:hAnsi="Cambria Math"/>
          </w:rPr>
          <m:t>β</m:t>
        </m:r>
      </m:oMath>
      <w:r>
        <w:t xml:space="preserve"> the scale. For this distribution, </w:t>
      </w:r>
      <m:oMath>
        <m:r>
          <w:rPr>
            <w:rFonts w:ascii="Cambria Math" w:hAnsi="Cambria Math"/>
          </w:rPr>
          <m:t>α</m:t>
        </m:r>
        <m:r>
          <m:rPr>
            <m:sty m:val="p"/>
          </m:rPr>
          <w:rPr>
            <w:rFonts w:ascii="Cambria Math" w:hAnsi="Cambria Math"/>
          </w:rPr>
          <m:t>=</m:t>
        </m:r>
      </m:oMath>
      <w:r>
        <w:t xml:space="preserve"> 100 and </w:t>
      </w:r>
      <m:oMath>
        <m:r>
          <w:rPr>
            <w:rFonts w:ascii="Cambria Math" w:hAnsi="Cambria Math"/>
          </w:rPr>
          <m:t>β</m:t>
        </m:r>
        <m:r>
          <m:rPr>
            <m:sty m:val="p"/>
          </m:rPr>
          <w:rPr>
            <w:rFonts w:ascii="Cambria Math" w:hAnsi="Cambria Math"/>
          </w:rPr>
          <m:t>=</m:t>
        </m:r>
      </m:oMath>
      <w:r>
        <w:t xml:space="preserve"> 0.01 (Figure S7).</w:t>
      </w:r>
    </w:p>
    <w:p w14:paraId="1EE407F5" w14:textId="77777777" w:rsidR="0095436D" w:rsidRDefault="00000000">
      <w:pPr>
        <w:pStyle w:val="CaptionedFigure"/>
      </w:pPr>
      <w:r>
        <w:rPr>
          <w:noProof/>
        </w:rPr>
        <w:drawing>
          <wp:inline distT="0" distB="0" distL="0" distR="0" wp14:anchorId="1EE409BF" wp14:editId="1EE409C0">
            <wp:extent cx="4620126" cy="2772075"/>
            <wp:effectExtent l="0" t="0" r="0" b="0"/>
            <wp:docPr id="41" name="Picture" descr="Figure S7: Distribution of vaccine-induced protection multipler."/>
            <wp:cNvGraphicFramePr/>
            <a:graphic xmlns:a="http://schemas.openxmlformats.org/drawingml/2006/main">
              <a:graphicData uri="http://schemas.openxmlformats.org/drawingml/2006/picture">
                <pic:pic xmlns:pic="http://schemas.openxmlformats.org/drawingml/2006/picture">
                  <pic:nvPicPr>
                    <pic:cNvPr id="42" name="Picture" descr="tnd_prior_infection_supplement_unedited_2024-07-16_files/figure-docx/vp.mult.plot-1.png"/>
                    <pic:cNvPicPr>
                      <a:picLocks noChangeAspect="1" noChangeArrowheads="1"/>
                    </pic:cNvPicPr>
                  </pic:nvPicPr>
                  <pic:blipFill>
                    <a:blip r:embed="rId14"/>
                    <a:stretch>
                      <a:fillRect/>
                    </a:stretch>
                  </pic:blipFill>
                  <pic:spPr bwMode="auto">
                    <a:xfrm>
                      <a:off x="0" y="0"/>
                      <a:ext cx="4620126" cy="2772075"/>
                    </a:xfrm>
                    <a:prstGeom prst="rect">
                      <a:avLst/>
                    </a:prstGeom>
                    <a:noFill/>
                    <a:ln w="9525">
                      <a:noFill/>
                      <a:headEnd/>
                      <a:tailEnd/>
                    </a:ln>
                  </pic:spPr>
                </pic:pic>
              </a:graphicData>
            </a:graphic>
          </wp:inline>
        </w:drawing>
      </w:r>
    </w:p>
    <w:p w14:paraId="1EE407F6" w14:textId="77777777" w:rsidR="0095436D" w:rsidRDefault="00000000">
      <w:pPr>
        <w:pStyle w:val="ImageCaption"/>
      </w:pPr>
      <w:r>
        <w:t>Figure S7: Distribution of vaccine-induced protection multipler.</w:t>
      </w:r>
    </w:p>
    <w:p w14:paraId="1EE407F7" w14:textId="77777777" w:rsidR="0095436D" w:rsidRDefault="0095436D">
      <w:pPr>
        <w:pStyle w:val="BodyText"/>
      </w:pPr>
    </w:p>
    <w:p w14:paraId="1EE407F8" w14:textId="77777777" w:rsidR="0095436D" w:rsidRDefault="00000000">
      <w:pPr>
        <w:pStyle w:val="FirstParagraph"/>
      </w:pPr>
      <w:r>
        <w:t>A similar function to VP was used for IP:</w:t>
      </w:r>
    </w:p>
    <w:p w14:paraId="1EE407F9" w14:textId="77777777" w:rsidR="0095436D" w:rsidRDefault="00000000">
      <w:pPr>
        <w:pStyle w:val="BodyText"/>
      </w:pPr>
      <m:oMathPara>
        <m:oMathParaPr>
          <m:jc m:val="center"/>
        </m:oMathParaPr>
        <m:oMath>
          <m:sSub>
            <m:sSubPr>
              <m:ctrlPr>
                <w:rPr>
                  <w:rFonts w:ascii="Cambria Math" w:hAnsi="Cambria Math"/>
                </w:rPr>
              </m:ctrlPr>
            </m:sSubPr>
            <m:e>
              <m:r>
                <m:rPr>
                  <m:nor/>
                </m:rPr>
                <m:t>IP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f</m:t>
              </m:r>
            </m:e>
            <m:sub>
              <m:r>
                <w:rPr>
                  <w:rFonts w:ascii="Cambria Math" w:hAnsi="Cambria Math"/>
                </w:rPr>
                <m:t>p</m:t>
              </m:r>
            </m:sub>
          </m:sSub>
          <m:d>
            <m:dPr>
              <m:ctrlPr>
                <w:rPr>
                  <w:rFonts w:ascii="Cambria Math" w:hAnsi="Cambria Math"/>
                </w:rPr>
              </m:ctrlPr>
            </m:dPr>
            <m:e>
              <m:r>
                <w:rPr>
                  <w:rFonts w:ascii="Cambria Math" w:hAnsi="Cambria Math"/>
                </w:rPr>
                <m:t>k</m:t>
              </m:r>
              <m:r>
                <m:rPr>
                  <m:sty m:val="p"/>
                </m:rPr>
                <w:rPr>
                  <w:rFonts w:ascii="Cambria Math" w:hAnsi="Cambria Math"/>
                </w:rPr>
                <m:t>-</m:t>
              </m:r>
              <m:r>
                <w:rPr>
                  <w:rFonts w:ascii="Cambria Math" w:hAnsi="Cambria Math"/>
                </w:rPr>
                <m:t>1</m:t>
              </m:r>
              <m:r>
                <m:rPr>
                  <m:sty m:val="p"/>
                </m:rPr>
                <w:rPr>
                  <w:rFonts w:ascii="Cambria Math" w:hAnsi="Cambria Math"/>
                </w:rPr>
                <m:t>,</m:t>
              </m:r>
              <m:sSubSup>
                <m:sSubSupPr>
                  <m:ctrlPr>
                    <w:rPr>
                      <w:rFonts w:ascii="Cambria Math" w:hAnsi="Cambria Math"/>
                    </w:rPr>
                  </m:ctrlPr>
                </m:sSubSupPr>
                <m:e>
                  <m:r>
                    <w:rPr>
                      <w:rFonts w:ascii="Cambria Math" w:hAnsi="Cambria Math"/>
                    </w:rPr>
                    <m:t>t</m:t>
                  </m:r>
                </m:e>
                <m:sub>
                  <m:r>
                    <w:rPr>
                      <w:rFonts w:ascii="Cambria Math" w:hAnsi="Cambria Math"/>
                    </w:rPr>
                    <m:t>j</m:t>
                  </m:r>
                  <m:r>
                    <m:rPr>
                      <m:sty m:val="p"/>
                    </m:rPr>
                    <w:rPr>
                      <w:rFonts w:ascii="Cambria Math" w:hAnsi="Cambria Math"/>
                    </w:rPr>
                    <m:t>,</m:t>
                  </m:r>
                  <m:r>
                    <w:rPr>
                      <w:rFonts w:ascii="Cambria Math" w:hAnsi="Cambria Math"/>
                    </w:rPr>
                    <m:t>k</m:t>
                  </m:r>
                  <m:r>
                    <m:rPr>
                      <m:sty m:val="p"/>
                    </m:rPr>
                    <w:rPr>
                      <w:rFonts w:ascii="Cambria Math" w:hAnsi="Cambria Math"/>
                    </w:rPr>
                    <m:t>-</m:t>
                  </m:r>
                  <m:r>
                    <w:rPr>
                      <w:rFonts w:ascii="Cambria Math" w:hAnsi="Cambria Math"/>
                    </w:rPr>
                    <m:t>1</m:t>
                  </m:r>
                </m:sub>
                <m:sup>
                  <m:r>
                    <w:rPr>
                      <w:rFonts w:ascii="Cambria Math" w:hAnsi="Cambria Math"/>
                    </w:rPr>
                    <m:t>p</m:t>
                  </m:r>
                </m:sup>
              </m:sSubSup>
              <m:r>
                <m:rPr>
                  <m:sty m:val="p"/>
                </m:rPr>
                <w:rPr>
                  <w:rFonts w:ascii="Cambria Math" w:hAnsi="Cambria Math"/>
                </w:rPr>
                <m:t>,</m:t>
              </m:r>
              <m:sSub>
                <m:sSubPr>
                  <m:ctrlPr>
                    <w:rPr>
                      <w:rFonts w:ascii="Cambria Math" w:hAnsi="Cambria Math"/>
                    </w:rPr>
                  </m:ctrlPr>
                </m:sSubPr>
                <m:e>
                  <m:r>
                    <w:rPr>
                      <w:rFonts w:ascii="Cambria Math" w:hAnsi="Cambria Math"/>
                    </w:rPr>
                    <m:t>κ</m:t>
                  </m:r>
                </m:e>
                <m:sub>
                  <m:r>
                    <w:rPr>
                      <w:rFonts w:ascii="Cambria Math" w:hAnsi="Cambria Math"/>
                    </w:rPr>
                    <m:t>p</m:t>
                  </m:r>
                </m:sub>
              </m:sSub>
              <m:r>
                <m:rPr>
                  <m:sty m:val="p"/>
                </m:rPr>
                <w:rPr>
                  <w:rFonts w:ascii="Cambria Math" w:hAnsi="Cambria Math"/>
                </w:rPr>
                <m:t>,</m:t>
              </m:r>
              <m:sSub>
                <m:sSubPr>
                  <m:ctrlPr>
                    <w:rPr>
                      <w:rFonts w:ascii="Cambria Math" w:hAnsi="Cambria Math"/>
                    </w:rPr>
                  </m:ctrlPr>
                </m:sSubPr>
                <m:e>
                  <m:r>
                    <w:rPr>
                      <w:rFonts w:ascii="Cambria Math" w:hAnsi="Cambria Math"/>
                    </w:rPr>
                    <m:t>θ</m:t>
                  </m:r>
                </m:e>
                <m:sub>
                  <m:r>
                    <w:rPr>
                      <w:rFonts w:ascii="Cambria Math" w:hAnsi="Cambria Math"/>
                    </w:rPr>
                    <m:t>p</m:t>
                  </m:r>
                </m:sub>
              </m:sSub>
            </m:e>
          </m:d>
          <m:r>
            <m:rPr>
              <m:sty m:val="p"/>
            </m:rPr>
            <w:rPr>
              <w:rFonts w:ascii="Cambria Math" w:hAnsi="Cambria Math"/>
            </w:rPr>
            <m:t>=max</m:t>
          </m:r>
          <m:d>
            <m:dPr>
              <m:begChr m:val="["/>
              <m:endChr m:val="]"/>
              <m:ctrlPr>
                <w:rPr>
                  <w:rFonts w:ascii="Cambria Math" w:hAnsi="Cambria Math"/>
                </w:rPr>
              </m:ctrlPr>
            </m:dPr>
            <m:e>
              <m:r>
                <w:rPr>
                  <w:rFonts w:ascii="Cambria Math" w:hAnsi="Cambria Math"/>
                </w:rPr>
                <m:t>0</m:t>
              </m:r>
              <m:r>
                <m:rPr>
                  <m:sty m:val="p"/>
                </m:rPr>
                <w:rPr>
                  <w:rFonts w:ascii="Cambria Math" w:hAnsi="Cambria Math"/>
                </w:rPr>
                <m:t>,</m:t>
              </m:r>
              <m:sSub>
                <m:sSubPr>
                  <m:ctrlPr>
                    <w:rPr>
                      <w:rFonts w:ascii="Cambria Math" w:hAnsi="Cambria Math"/>
                    </w:rPr>
                  </m:ctrlPr>
                </m:sSubPr>
                <m:e>
                  <m:r>
                    <w:rPr>
                      <w:rFonts w:ascii="Cambria Math" w:hAnsi="Cambria Math"/>
                    </w:rPr>
                    <m:t>κ</m:t>
                  </m:r>
                </m:e>
                <m:sub>
                  <m:r>
                    <w:rPr>
                      <w:rFonts w:ascii="Cambria Math" w:hAnsi="Cambria Math"/>
                    </w:rPr>
                    <m:t>p</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κ</m:t>
                      </m:r>
                    </m:e>
                    <m:sub>
                      <m:r>
                        <w:rPr>
                          <w:rFonts w:ascii="Cambria Math" w:hAnsi="Cambria Math"/>
                        </w:rPr>
                        <m:t>p</m:t>
                      </m:r>
                    </m:sub>
                  </m:sSub>
                </m:num>
                <m:den>
                  <m:r>
                    <m:rPr>
                      <m:sty m:val="p"/>
                    </m:rPr>
                    <w:rPr>
                      <w:rFonts w:ascii="Cambria Math" w:hAnsi="Cambria Math"/>
                    </w:rPr>
                    <m:t>-</m:t>
                  </m:r>
                  <m:sSub>
                    <m:sSubPr>
                      <m:ctrlPr>
                        <w:rPr>
                          <w:rFonts w:ascii="Cambria Math" w:hAnsi="Cambria Math"/>
                        </w:rPr>
                      </m:ctrlPr>
                    </m:sSubPr>
                    <m:e>
                      <m:r>
                        <w:rPr>
                          <w:rFonts w:ascii="Cambria Math" w:hAnsi="Cambria Math"/>
                        </w:rPr>
                        <m:t>θ</m:t>
                      </m:r>
                    </m:e>
                    <m:sub>
                      <m:r>
                        <w:rPr>
                          <w:rFonts w:ascii="Cambria Math" w:hAnsi="Cambria Math"/>
                        </w:rPr>
                        <m:t>p</m:t>
                      </m:r>
                    </m:sub>
                  </m:sSub>
                </m:den>
              </m:f>
              <m:r>
                <m:rPr>
                  <m:sty m:val="p"/>
                </m:rPr>
                <w:rPr>
                  <w:rFonts w:ascii="Cambria Math" w:hAnsi="Cambria Math"/>
                </w:rPr>
                <m:t>*</m:t>
              </m:r>
              <m:d>
                <m:dPr>
                  <m:ctrlPr>
                    <w:rPr>
                      <w:rFonts w:ascii="Cambria Math" w:hAnsi="Cambria Math"/>
                    </w:rPr>
                  </m:ctrlPr>
                </m:dPr>
                <m:e>
                  <m:r>
                    <w:rPr>
                      <w:rFonts w:ascii="Cambria Math" w:hAnsi="Cambria Math"/>
                    </w:rPr>
                    <m:t>k</m:t>
                  </m:r>
                  <m:r>
                    <m:rPr>
                      <m:sty m:val="p"/>
                    </m:rPr>
                    <w:rPr>
                      <w:rFonts w:ascii="Cambria Math" w:hAnsi="Cambria Math"/>
                    </w:rPr>
                    <m:t>-</m:t>
                  </m:r>
                  <m:r>
                    <w:rPr>
                      <w:rFonts w:ascii="Cambria Math" w:hAnsi="Cambria Math"/>
                    </w:rPr>
                    <m:t>1</m:t>
                  </m:r>
                  <m:r>
                    <m:rPr>
                      <m:sty m:val="p"/>
                    </m:rPr>
                    <w:rPr>
                      <w:rFonts w:ascii="Cambria Math" w:hAnsi="Cambria Math"/>
                    </w:rPr>
                    <m:t>-</m:t>
                  </m:r>
                  <m:sSubSup>
                    <m:sSubSupPr>
                      <m:ctrlPr>
                        <w:rPr>
                          <w:rFonts w:ascii="Cambria Math" w:hAnsi="Cambria Math"/>
                        </w:rPr>
                      </m:ctrlPr>
                    </m:sSubSupPr>
                    <m:e>
                      <m:r>
                        <w:rPr>
                          <w:rFonts w:ascii="Cambria Math" w:hAnsi="Cambria Math"/>
                        </w:rPr>
                        <m:t>t</m:t>
                      </m:r>
                    </m:e>
                    <m:sub>
                      <m:r>
                        <w:rPr>
                          <w:rFonts w:ascii="Cambria Math" w:hAnsi="Cambria Math"/>
                        </w:rPr>
                        <m:t>j</m:t>
                      </m:r>
                      <m:r>
                        <m:rPr>
                          <m:sty m:val="p"/>
                        </m:rPr>
                        <w:rPr>
                          <w:rFonts w:ascii="Cambria Math" w:hAnsi="Cambria Math"/>
                        </w:rPr>
                        <m:t>,</m:t>
                      </m:r>
                      <m:r>
                        <w:rPr>
                          <w:rFonts w:ascii="Cambria Math" w:hAnsi="Cambria Math"/>
                        </w:rPr>
                        <m:t>k</m:t>
                      </m:r>
                      <m:r>
                        <m:rPr>
                          <m:sty m:val="p"/>
                        </m:rPr>
                        <w:rPr>
                          <w:rFonts w:ascii="Cambria Math" w:hAnsi="Cambria Math"/>
                        </w:rPr>
                        <m:t>-</m:t>
                      </m:r>
                      <m:r>
                        <w:rPr>
                          <w:rFonts w:ascii="Cambria Math" w:hAnsi="Cambria Math"/>
                        </w:rPr>
                        <m:t>1</m:t>
                      </m:r>
                    </m:sub>
                    <m:sup>
                      <m:r>
                        <w:rPr>
                          <w:rFonts w:ascii="Cambria Math" w:hAnsi="Cambria Math"/>
                        </w:rPr>
                        <m:t>p</m:t>
                      </m:r>
                    </m:sup>
                  </m:sSubSup>
                </m:e>
              </m:d>
            </m:e>
          </m:d>
          <m:r>
            <m:rPr>
              <m:sty m:val="p"/>
            </m:rPr>
            <w:rPr>
              <w:rFonts w:ascii="Cambria Math" w:hAnsi="Cambria Math"/>
            </w:rPr>
            <m:t>,</m:t>
          </m:r>
        </m:oMath>
      </m:oMathPara>
    </w:p>
    <w:p w14:paraId="1EE407FA" w14:textId="77777777" w:rsidR="0095436D" w:rsidRDefault="00000000">
      <w:pPr>
        <w:pStyle w:val="FirstParagraph"/>
      </w:pPr>
      <w:r>
        <w:t xml:space="preserve">where </w:t>
      </w:r>
      <m:oMath>
        <m:sSubSup>
          <m:sSubSupPr>
            <m:ctrlPr>
              <w:rPr>
                <w:rFonts w:ascii="Cambria Math" w:hAnsi="Cambria Math"/>
              </w:rPr>
            </m:ctrlPr>
          </m:sSubSupPr>
          <m:e>
            <m:r>
              <w:rPr>
                <w:rFonts w:ascii="Cambria Math" w:hAnsi="Cambria Math"/>
              </w:rPr>
              <m:t>t</m:t>
            </m:r>
          </m:e>
          <m:sub>
            <m:r>
              <w:rPr>
                <w:rFonts w:ascii="Cambria Math" w:hAnsi="Cambria Math"/>
              </w:rPr>
              <m:t>j</m:t>
            </m:r>
            <m:r>
              <m:rPr>
                <m:sty m:val="p"/>
              </m:rPr>
              <w:rPr>
                <w:rFonts w:ascii="Cambria Math" w:hAnsi="Cambria Math"/>
              </w:rPr>
              <m:t>,</m:t>
            </m:r>
            <m:r>
              <w:rPr>
                <w:rFonts w:ascii="Cambria Math" w:hAnsi="Cambria Math"/>
              </w:rPr>
              <m:t>k</m:t>
            </m:r>
            <m:r>
              <m:rPr>
                <m:sty m:val="p"/>
              </m:rPr>
              <w:rPr>
                <w:rFonts w:ascii="Cambria Math" w:hAnsi="Cambria Math"/>
              </w:rPr>
              <m:t>-</m:t>
            </m:r>
            <m:r>
              <w:rPr>
                <w:rFonts w:ascii="Cambria Math" w:hAnsi="Cambria Math"/>
              </w:rPr>
              <m:t>1</m:t>
            </m:r>
          </m:sub>
          <m:sup>
            <m:r>
              <w:rPr>
                <w:rFonts w:ascii="Cambria Math" w:hAnsi="Cambria Math"/>
              </w:rPr>
              <m:t>p</m:t>
            </m:r>
          </m:sup>
        </m:sSubSup>
      </m:oMath>
      <w:r>
        <w:t xml:space="preserve"> was the week of the most recent infection in week </w:t>
      </w:r>
      <m:oMath>
        <m:r>
          <w:rPr>
            <w:rFonts w:ascii="Cambria Math" w:hAnsi="Cambria Math"/>
          </w:rPr>
          <m:t>k</m:t>
        </m:r>
        <m:r>
          <m:rPr>
            <m:sty m:val="p"/>
          </m:rPr>
          <w:rPr>
            <w:rFonts w:ascii="Cambria Math" w:hAnsi="Cambria Math"/>
          </w:rPr>
          <m:t>-</m:t>
        </m:r>
        <m:r>
          <w:rPr>
            <w:rFonts w:ascii="Cambria Math" w:hAnsi="Cambria Math"/>
          </w:rPr>
          <m:t>1</m:t>
        </m:r>
      </m:oMath>
      <w:r>
        <w:t xml:space="preserve">, </w:t>
      </w:r>
      <m:oMath>
        <m:sSub>
          <m:sSubPr>
            <m:ctrlPr>
              <w:rPr>
                <w:rFonts w:ascii="Cambria Math" w:hAnsi="Cambria Math"/>
              </w:rPr>
            </m:ctrlPr>
          </m:sSubPr>
          <m:e>
            <m:r>
              <w:rPr>
                <w:rFonts w:ascii="Cambria Math" w:hAnsi="Cambria Math"/>
              </w:rPr>
              <m:t>κ</m:t>
            </m:r>
          </m:e>
          <m:sub>
            <m:r>
              <w:rPr>
                <w:rFonts w:ascii="Cambria Math" w:hAnsi="Cambria Math"/>
              </w:rPr>
              <m:t>p</m:t>
            </m:r>
          </m:sub>
        </m:sSub>
      </m:oMath>
      <w:r>
        <w:t xml:space="preserve"> was the maximum protection conferred by prior infection, and </w:t>
      </w:r>
      <m:oMath>
        <m:sSub>
          <m:sSubPr>
            <m:ctrlPr>
              <w:rPr>
                <w:rFonts w:ascii="Cambria Math" w:hAnsi="Cambria Math"/>
              </w:rPr>
            </m:ctrlPr>
          </m:sSubPr>
          <m:e>
            <m:r>
              <w:rPr>
                <w:rFonts w:ascii="Cambria Math" w:hAnsi="Cambria Math"/>
              </w:rPr>
              <m:t>θ</m:t>
            </m:r>
          </m:e>
          <m:sub>
            <m:r>
              <w:rPr>
                <w:rFonts w:ascii="Cambria Math" w:hAnsi="Cambria Math"/>
              </w:rPr>
              <m:t>p</m:t>
            </m:r>
          </m:sub>
        </m:sSub>
      </m:oMath>
      <w:r>
        <w:t xml:space="preserve"> was the number of weeks before protection from a prior infection reaches zero.</w:t>
      </w:r>
    </w:p>
    <w:p w14:paraId="1EE407FB" w14:textId="77777777" w:rsidR="0095436D" w:rsidRDefault="00000000">
      <w:pPr>
        <w:pStyle w:val="BodyText"/>
      </w:pPr>
      <w:r>
        <w:t>Two definitions were used for infection-induced protection with the same curves regardless of variant (Figure S8).</w:t>
      </w:r>
    </w:p>
    <w:p w14:paraId="1EE407FC" w14:textId="77777777" w:rsidR="0095436D" w:rsidRDefault="00000000">
      <w:pPr>
        <w:pStyle w:val="CaptionedFigure"/>
      </w:pPr>
      <w:r>
        <w:rPr>
          <w:noProof/>
        </w:rPr>
        <w:drawing>
          <wp:inline distT="0" distB="0" distL="0" distR="0" wp14:anchorId="1EE409C1" wp14:editId="1EE409C2">
            <wp:extent cx="4620126" cy="2772075"/>
            <wp:effectExtent l="0" t="0" r="0" b="0"/>
            <wp:docPr id="44" name="Picture" descr="Figure S8: Infection protection waning curves."/>
            <wp:cNvGraphicFramePr/>
            <a:graphic xmlns:a="http://schemas.openxmlformats.org/drawingml/2006/main">
              <a:graphicData uri="http://schemas.openxmlformats.org/drawingml/2006/picture">
                <pic:pic xmlns:pic="http://schemas.openxmlformats.org/drawingml/2006/picture">
                  <pic:nvPicPr>
                    <pic:cNvPr id="45" name="Picture" descr="tnd_prior_infection_supplement_unedited_2024-07-16_files/figure-docx/pp.curves-1.png"/>
                    <pic:cNvPicPr>
                      <a:picLocks noChangeAspect="1" noChangeArrowheads="1"/>
                    </pic:cNvPicPr>
                  </pic:nvPicPr>
                  <pic:blipFill>
                    <a:blip r:embed="rId15"/>
                    <a:stretch>
                      <a:fillRect/>
                    </a:stretch>
                  </pic:blipFill>
                  <pic:spPr bwMode="auto">
                    <a:xfrm>
                      <a:off x="0" y="0"/>
                      <a:ext cx="4620126" cy="2772075"/>
                    </a:xfrm>
                    <a:prstGeom prst="rect">
                      <a:avLst/>
                    </a:prstGeom>
                    <a:noFill/>
                    <a:ln w="9525">
                      <a:noFill/>
                      <a:headEnd/>
                      <a:tailEnd/>
                    </a:ln>
                  </pic:spPr>
                </pic:pic>
              </a:graphicData>
            </a:graphic>
          </wp:inline>
        </w:drawing>
      </w:r>
    </w:p>
    <w:p w14:paraId="1EE407FD" w14:textId="77777777" w:rsidR="0095436D" w:rsidRDefault="00000000">
      <w:pPr>
        <w:pStyle w:val="ImageCaption"/>
      </w:pPr>
      <w:r>
        <w:t>Figure S8: Infection protection waning curves.</w:t>
      </w:r>
    </w:p>
    <w:p w14:paraId="1EE407FE" w14:textId="77777777" w:rsidR="0095436D" w:rsidRDefault="0095436D">
      <w:pPr>
        <w:pStyle w:val="BodyText"/>
      </w:pPr>
    </w:p>
    <w:p w14:paraId="1EE407FF" w14:textId="77777777" w:rsidR="0095436D" w:rsidRDefault="00000000">
      <w:pPr>
        <w:pStyle w:val="FirstParagraph"/>
      </w:pPr>
      <w:r>
        <w:t xml:space="preserve">As with vaccination-induced protection, we included a multiplier for each individual’s infection-induced protection. The distribution was the same as for infection-induced protection, specifically, a </w:t>
      </w:r>
      <m:oMath>
        <m:r>
          <w:rPr>
            <w:rFonts w:ascii="Cambria Math" w:hAnsi="Cambria Math"/>
          </w:rPr>
          <m:t>Γ</m:t>
        </m:r>
        <m:d>
          <m:dPr>
            <m:ctrlPr>
              <w:rPr>
                <w:rFonts w:ascii="Cambria Math" w:hAnsi="Cambria Math"/>
              </w:rPr>
            </m:ctrlPr>
          </m:dPr>
          <m:e>
            <m:r>
              <w:rPr>
                <w:rFonts w:ascii="Cambria Math" w:hAnsi="Cambria Math"/>
              </w:rPr>
              <m:t>α</m:t>
            </m:r>
            <m:r>
              <m:rPr>
                <m:sty m:val="p"/>
              </m:rPr>
              <w:rPr>
                <w:rFonts w:ascii="Cambria Math" w:hAnsi="Cambria Math"/>
              </w:rPr>
              <m:t>,</m:t>
            </m:r>
            <m:r>
              <w:rPr>
                <w:rFonts w:ascii="Cambria Math" w:hAnsi="Cambria Math"/>
              </w:rPr>
              <m:t>β</m:t>
            </m:r>
          </m:e>
        </m:d>
      </m:oMath>
      <w:r>
        <w:t xml:space="preserve"> with </w:t>
      </w:r>
      <m:oMath>
        <m:r>
          <w:rPr>
            <w:rFonts w:ascii="Cambria Math" w:hAnsi="Cambria Math"/>
          </w:rPr>
          <m:t>α</m:t>
        </m:r>
        <m:r>
          <m:rPr>
            <m:sty m:val="p"/>
          </m:rPr>
          <w:rPr>
            <w:rFonts w:ascii="Cambria Math" w:hAnsi="Cambria Math"/>
          </w:rPr>
          <m:t>=</m:t>
        </m:r>
      </m:oMath>
      <w:r>
        <w:t xml:space="preserve"> 100 and </w:t>
      </w:r>
      <m:oMath>
        <m:r>
          <w:rPr>
            <w:rFonts w:ascii="Cambria Math" w:hAnsi="Cambria Math"/>
          </w:rPr>
          <m:t>β</m:t>
        </m:r>
        <m:r>
          <m:rPr>
            <m:sty m:val="p"/>
          </m:rPr>
          <w:rPr>
            <w:rFonts w:ascii="Cambria Math" w:hAnsi="Cambria Math"/>
          </w:rPr>
          <m:t>=</m:t>
        </m:r>
      </m:oMath>
      <w:r>
        <w:t xml:space="preserve"> 0.01 (Figure S9).</w:t>
      </w:r>
    </w:p>
    <w:p w14:paraId="1EE40800" w14:textId="77777777" w:rsidR="0095436D" w:rsidRDefault="00000000">
      <w:pPr>
        <w:pStyle w:val="CaptionedFigure"/>
      </w:pPr>
      <w:r>
        <w:rPr>
          <w:noProof/>
        </w:rPr>
        <w:lastRenderedPageBreak/>
        <w:drawing>
          <wp:inline distT="0" distB="0" distL="0" distR="0" wp14:anchorId="1EE409C3" wp14:editId="1EE409C4">
            <wp:extent cx="4620126" cy="2772075"/>
            <wp:effectExtent l="0" t="0" r="0" b="0"/>
            <wp:docPr id="47" name="Picture" descr="Figure S9: Distribution of infection-induced protection multipler."/>
            <wp:cNvGraphicFramePr/>
            <a:graphic xmlns:a="http://schemas.openxmlformats.org/drawingml/2006/main">
              <a:graphicData uri="http://schemas.openxmlformats.org/drawingml/2006/picture">
                <pic:pic xmlns:pic="http://schemas.openxmlformats.org/drawingml/2006/picture">
                  <pic:nvPicPr>
                    <pic:cNvPr id="48" name="Picture" descr="tnd_prior_infection_supplement_unedited_2024-07-16_files/figure-docx/ip.mult.plot-1.png"/>
                    <pic:cNvPicPr>
                      <a:picLocks noChangeAspect="1" noChangeArrowheads="1"/>
                    </pic:cNvPicPr>
                  </pic:nvPicPr>
                  <pic:blipFill>
                    <a:blip r:embed="rId14"/>
                    <a:stretch>
                      <a:fillRect/>
                    </a:stretch>
                  </pic:blipFill>
                  <pic:spPr bwMode="auto">
                    <a:xfrm>
                      <a:off x="0" y="0"/>
                      <a:ext cx="4620126" cy="2772075"/>
                    </a:xfrm>
                    <a:prstGeom prst="rect">
                      <a:avLst/>
                    </a:prstGeom>
                    <a:noFill/>
                    <a:ln w="9525">
                      <a:noFill/>
                      <a:headEnd/>
                      <a:tailEnd/>
                    </a:ln>
                  </pic:spPr>
                </pic:pic>
              </a:graphicData>
            </a:graphic>
          </wp:inline>
        </w:drawing>
      </w:r>
    </w:p>
    <w:p w14:paraId="1EE40801" w14:textId="77777777" w:rsidR="0095436D" w:rsidRDefault="00000000">
      <w:pPr>
        <w:pStyle w:val="ImageCaption"/>
      </w:pPr>
      <w:r>
        <w:t>Figure S9: Distribution of infection-induced protection multipler.</w:t>
      </w:r>
    </w:p>
    <w:p w14:paraId="1EE40802" w14:textId="77777777" w:rsidR="0095436D" w:rsidRDefault="0095436D">
      <w:pPr>
        <w:pStyle w:val="BodyText"/>
      </w:pPr>
    </w:p>
    <w:p w14:paraId="1EE40803" w14:textId="77777777" w:rsidR="0095436D" w:rsidRDefault="00000000">
      <w:pPr>
        <w:pStyle w:val="FirstParagraph"/>
      </w:pPr>
      <w:r>
        <w:t xml:space="preserve">For people with both vaccine-induced protection and infection-induced protection, hybrid protection (or hybrid immunity) was determined by one of two definitions and used for </w:t>
      </w:r>
      <m:oMath>
        <m:sSub>
          <m:sSubPr>
            <m:ctrlPr>
              <w:rPr>
                <w:rFonts w:ascii="Cambria Math" w:hAnsi="Cambria Math"/>
              </w:rPr>
            </m:ctrlPr>
          </m:sSubPr>
          <m:e>
            <m:r>
              <m:rPr>
                <m:nor/>
              </m:rPr>
              <m:t>HP</m:t>
            </m:r>
          </m:e>
          <m:sub>
            <m:r>
              <w:rPr>
                <w:rFonts w:ascii="Cambria Math" w:hAnsi="Cambria Math"/>
              </w:rPr>
              <m:t>j</m:t>
            </m:r>
            <m:r>
              <m:rPr>
                <m:sty m:val="p"/>
              </m:rPr>
              <w:rPr>
                <w:rFonts w:ascii="Cambria Math" w:hAnsi="Cambria Math"/>
              </w:rPr>
              <m:t>,</m:t>
            </m:r>
            <m:r>
              <w:rPr>
                <w:rFonts w:ascii="Cambria Math" w:hAnsi="Cambria Math"/>
              </w:rPr>
              <m:t>k</m:t>
            </m:r>
          </m:sub>
        </m:sSub>
      </m:oMath>
      <w:r>
        <w:t>.</w:t>
      </w:r>
    </w:p>
    <w:p w14:paraId="1EE40804" w14:textId="77777777" w:rsidR="0095436D" w:rsidRDefault="00000000">
      <w:pPr>
        <w:pStyle w:val="BodyText"/>
      </w:pPr>
      <w:r>
        <w:t>One scenario was to have the larger of the vaccine-induced and infection-induced protection boosted by 30% of the other protection up to a maximum of 0.99 (or 99%) (Figure S10):</w:t>
      </w:r>
    </w:p>
    <w:p w14:paraId="1EE40805" w14:textId="77777777" w:rsidR="0095436D" w:rsidRDefault="00000000">
      <w:pPr>
        <w:pStyle w:val="BodyText"/>
      </w:pPr>
      <m:oMathPara>
        <m:oMathParaPr>
          <m:jc m:val="center"/>
        </m:oMathParaPr>
        <m:oMath>
          <m:sSub>
            <m:sSubPr>
              <m:ctrlPr>
                <w:rPr>
                  <w:rFonts w:ascii="Cambria Math" w:hAnsi="Cambria Math"/>
                </w:rPr>
              </m:ctrlPr>
            </m:sSubPr>
            <m:e>
              <m:r>
                <m:rPr>
                  <m:nor/>
                </m:rPr>
                <m:t>HP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d>
            <m:dPr>
              <m:begChr m:val="{"/>
              <m:endChr m:val=""/>
              <m:ctrlPr>
                <w:rPr>
                  <w:rFonts w:ascii="Cambria Math" w:hAnsi="Cambria Math"/>
                </w:rPr>
              </m:ctrlPr>
            </m:dPr>
            <m:e>
              <m:m>
                <m:mPr>
                  <m:plcHide m:val="1"/>
                  <m:mcs>
                    <m:mc>
                      <m:mcPr>
                        <m:count m:val="2"/>
                        <m:mcJc m:val="left"/>
                      </m:mcPr>
                    </m:mc>
                  </m:mcs>
                  <m:ctrlPr>
                    <w:rPr>
                      <w:rFonts w:ascii="Cambria Math" w:hAnsi="Cambria Math"/>
                    </w:rPr>
                  </m:ctrlPr>
                </m:mPr>
                <m:mr>
                  <m:e>
                    <m:r>
                      <m:rPr>
                        <m:sty m:val="p"/>
                      </m:rPr>
                      <w:rPr>
                        <w:rFonts w:ascii="Cambria Math" w:hAnsi="Cambria Math"/>
                      </w:rPr>
                      <m:t>min</m:t>
                    </m:r>
                    <m:d>
                      <m:dPr>
                        <m:begChr m:val="["/>
                        <m:endChr m:val="]"/>
                        <m:ctrlPr>
                          <w:rPr>
                            <w:rFonts w:ascii="Cambria Math" w:hAnsi="Cambria Math"/>
                          </w:rPr>
                        </m:ctrlPr>
                      </m:dPr>
                      <m:e>
                        <m:r>
                          <w:rPr>
                            <w:rFonts w:ascii="Cambria Math" w:hAnsi="Cambria Math"/>
                          </w:rPr>
                          <m:t>0.99</m:t>
                        </m:r>
                        <m:r>
                          <m:rPr>
                            <m:sty m:val="p"/>
                          </m:rPr>
                          <w:rPr>
                            <w:rFonts w:ascii="Cambria Math" w:hAnsi="Cambria Math"/>
                          </w:rPr>
                          <m:t>,</m:t>
                        </m:r>
                        <m:r>
                          <w:rPr>
                            <w:rFonts w:ascii="Cambria Math" w:hAnsi="Cambria Math"/>
                          </w:rPr>
                          <m:t> </m:t>
                        </m:r>
                        <m:sSub>
                          <m:sSubPr>
                            <m:ctrlPr>
                              <w:rPr>
                                <w:rFonts w:ascii="Cambria Math" w:hAnsi="Cambria Math"/>
                              </w:rPr>
                            </m:ctrlPr>
                          </m:sSubPr>
                          <m:e>
                            <m:r>
                              <m:rPr>
                                <m:nor/>
                              </m:rPr>
                              <m:t>IP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0.3</m:t>
                        </m:r>
                        <m:r>
                          <m:rPr>
                            <m:sty m:val="p"/>
                          </m:rPr>
                          <w:rPr>
                            <w:rFonts w:ascii="Cambria Math" w:hAnsi="Cambria Math"/>
                          </w:rPr>
                          <m:t>*</m:t>
                        </m:r>
                        <m:sSub>
                          <m:sSubPr>
                            <m:ctrlPr>
                              <w:rPr>
                                <w:rFonts w:ascii="Cambria Math" w:hAnsi="Cambria Math"/>
                              </w:rPr>
                            </m:ctrlPr>
                          </m:sSubPr>
                          <m:e>
                            <m:r>
                              <m:rPr>
                                <m:nor/>
                              </m:rPr>
                              <m:t>VP</m:t>
                            </m:r>
                          </m:e>
                          <m:sub>
                            <m:r>
                              <w:rPr>
                                <w:rFonts w:ascii="Cambria Math" w:hAnsi="Cambria Math"/>
                              </w:rPr>
                              <m:t>j</m:t>
                            </m:r>
                            <m:r>
                              <m:rPr>
                                <m:sty m:val="p"/>
                              </m:rPr>
                              <w:rPr>
                                <w:rFonts w:ascii="Cambria Math" w:hAnsi="Cambria Math"/>
                              </w:rPr>
                              <m:t>,</m:t>
                            </m:r>
                            <m:r>
                              <w:rPr>
                                <w:rFonts w:ascii="Cambria Math" w:hAnsi="Cambria Math"/>
                              </w:rPr>
                              <m:t>k</m:t>
                            </m:r>
                          </m:sub>
                        </m:sSub>
                      </m:e>
                    </m:d>
                  </m:e>
                  <m:e>
                    <m:r>
                      <m:rPr>
                        <m:nor/>
                      </m:rPr>
                      <m:t>if</m:t>
                    </m:r>
                    <m:r>
                      <w:rPr>
                        <w:rFonts w:ascii="Cambria Math" w:hAnsi="Cambria Math"/>
                      </w:rPr>
                      <m:t>  </m:t>
                    </m:r>
                    <m:sSub>
                      <m:sSubPr>
                        <m:ctrlPr>
                          <w:rPr>
                            <w:rFonts w:ascii="Cambria Math" w:hAnsi="Cambria Math"/>
                          </w:rPr>
                        </m:ctrlPr>
                      </m:sSubPr>
                      <m:e>
                        <m:r>
                          <m:rPr>
                            <m:nor/>
                          </m:rPr>
                          <m:t>IP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sSub>
                      <m:sSubPr>
                        <m:ctrlPr>
                          <w:rPr>
                            <w:rFonts w:ascii="Cambria Math" w:hAnsi="Cambria Math"/>
                          </w:rPr>
                        </m:ctrlPr>
                      </m:sSubPr>
                      <m:e>
                        <m:r>
                          <m:rPr>
                            <m:nor/>
                          </m:rPr>
                          <m:t>VP</m:t>
                        </m:r>
                      </m:e>
                      <m:sub>
                        <m:r>
                          <w:rPr>
                            <w:rFonts w:ascii="Cambria Math" w:hAnsi="Cambria Math"/>
                          </w:rPr>
                          <m:t>j</m:t>
                        </m:r>
                        <m:r>
                          <m:rPr>
                            <m:sty m:val="p"/>
                          </m:rPr>
                          <w:rPr>
                            <w:rFonts w:ascii="Cambria Math" w:hAnsi="Cambria Math"/>
                          </w:rPr>
                          <m:t>,</m:t>
                        </m:r>
                        <m:r>
                          <w:rPr>
                            <w:rFonts w:ascii="Cambria Math" w:hAnsi="Cambria Math"/>
                          </w:rPr>
                          <m:t>k</m:t>
                        </m:r>
                      </m:sub>
                    </m:sSub>
                  </m:e>
                </m:mr>
                <m:mr>
                  <m:e>
                    <m:r>
                      <m:rPr>
                        <m:sty m:val="p"/>
                      </m:rPr>
                      <w:rPr>
                        <w:rFonts w:ascii="Cambria Math" w:hAnsi="Cambria Math"/>
                      </w:rPr>
                      <m:t>min</m:t>
                    </m:r>
                    <m:d>
                      <m:dPr>
                        <m:begChr m:val="["/>
                        <m:endChr m:val="]"/>
                        <m:ctrlPr>
                          <w:rPr>
                            <w:rFonts w:ascii="Cambria Math" w:hAnsi="Cambria Math"/>
                          </w:rPr>
                        </m:ctrlPr>
                      </m:dPr>
                      <m:e>
                        <m:r>
                          <w:rPr>
                            <w:rFonts w:ascii="Cambria Math" w:hAnsi="Cambria Math"/>
                          </w:rPr>
                          <m:t>0.99</m:t>
                        </m:r>
                        <m:r>
                          <m:rPr>
                            <m:sty m:val="p"/>
                          </m:rPr>
                          <w:rPr>
                            <w:rFonts w:ascii="Cambria Math" w:hAnsi="Cambria Math"/>
                          </w:rPr>
                          <m:t>,</m:t>
                        </m:r>
                        <m:r>
                          <w:rPr>
                            <w:rFonts w:ascii="Cambria Math" w:hAnsi="Cambria Math"/>
                          </w:rPr>
                          <m:t> </m:t>
                        </m:r>
                        <m:sSub>
                          <m:sSubPr>
                            <m:ctrlPr>
                              <w:rPr>
                                <w:rFonts w:ascii="Cambria Math" w:hAnsi="Cambria Math"/>
                              </w:rPr>
                            </m:ctrlPr>
                          </m:sSubPr>
                          <m:e>
                            <m:r>
                              <m:rPr>
                                <m:nor/>
                              </m:rPr>
                              <m:t>VP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0.3</m:t>
                        </m:r>
                        <m:r>
                          <m:rPr>
                            <m:sty m:val="p"/>
                          </m:rPr>
                          <w:rPr>
                            <w:rFonts w:ascii="Cambria Math" w:hAnsi="Cambria Math"/>
                          </w:rPr>
                          <m:t>*</m:t>
                        </m:r>
                        <m:sSub>
                          <m:sSubPr>
                            <m:ctrlPr>
                              <w:rPr>
                                <w:rFonts w:ascii="Cambria Math" w:hAnsi="Cambria Math"/>
                              </w:rPr>
                            </m:ctrlPr>
                          </m:sSubPr>
                          <m:e>
                            <m:r>
                              <m:rPr>
                                <m:nor/>
                              </m:rPr>
                              <m:t>IP</m:t>
                            </m:r>
                          </m:e>
                          <m:sub>
                            <m:r>
                              <w:rPr>
                                <w:rFonts w:ascii="Cambria Math" w:hAnsi="Cambria Math"/>
                              </w:rPr>
                              <m:t>j</m:t>
                            </m:r>
                            <m:r>
                              <m:rPr>
                                <m:sty m:val="p"/>
                              </m:rPr>
                              <w:rPr>
                                <w:rFonts w:ascii="Cambria Math" w:hAnsi="Cambria Math"/>
                              </w:rPr>
                              <m:t>,</m:t>
                            </m:r>
                            <m:r>
                              <w:rPr>
                                <w:rFonts w:ascii="Cambria Math" w:hAnsi="Cambria Math"/>
                              </w:rPr>
                              <m:t>k</m:t>
                            </m:r>
                          </m:sub>
                        </m:sSub>
                      </m:e>
                    </m:d>
                  </m:e>
                  <m:e>
                    <m:r>
                      <m:rPr>
                        <m:nor/>
                      </m:rPr>
                      <m:t>if</m:t>
                    </m:r>
                    <m:r>
                      <w:rPr>
                        <w:rFonts w:ascii="Cambria Math" w:hAnsi="Cambria Math"/>
                      </w:rPr>
                      <m:t>  </m:t>
                    </m:r>
                    <m:sSub>
                      <m:sSubPr>
                        <m:ctrlPr>
                          <w:rPr>
                            <w:rFonts w:ascii="Cambria Math" w:hAnsi="Cambria Math"/>
                          </w:rPr>
                        </m:ctrlPr>
                      </m:sSubPr>
                      <m:e>
                        <m:r>
                          <m:rPr>
                            <m:nor/>
                          </m:rPr>
                          <m:t>IP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&lt;</m:t>
                    </m:r>
                    <m:sSub>
                      <m:sSubPr>
                        <m:ctrlPr>
                          <w:rPr>
                            <w:rFonts w:ascii="Cambria Math" w:hAnsi="Cambria Math"/>
                          </w:rPr>
                        </m:ctrlPr>
                      </m:sSubPr>
                      <m:e>
                        <m:r>
                          <m:rPr>
                            <m:nor/>
                          </m:rPr>
                          <m:t>VP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e>
                </m:mr>
              </m:m>
            </m:e>
          </m:d>
        </m:oMath>
      </m:oMathPara>
    </w:p>
    <w:p w14:paraId="1EE40806" w14:textId="77777777" w:rsidR="0095436D" w:rsidRDefault="00000000">
      <w:pPr>
        <w:pStyle w:val="CaptionedFigure"/>
      </w:pPr>
      <w:r>
        <w:rPr>
          <w:noProof/>
        </w:rPr>
        <w:lastRenderedPageBreak/>
        <w:drawing>
          <wp:inline distT="0" distB="0" distL="0" distR="0" wp14:anchorId="1EE409C5" wp14:editId="1EE409C6">
            <wp:extent cx="4620126" cy="2772075"/>
            <wp:effectExtent l="0" t="0" r="0" b="0"/>
            <wp:docPr id="50" name="Picture" descr="Figure S10: Hybrid protection that is a maximum of 30% percent boost (either IP + 0.3 * VP or VP + 0.3 * IP)."/>
            <wp:cNvGraphicFramePr/>
            <a:graphic xmlns:a="http://schemas.openxmlformats.org/drawingml/2006/main">
              <a:graphicData uri="http://schemas.openxmlformats.org/drawingml/2006/picture">
                <pic:pic xmlns:pic="http://schemas.openxmlformats.org/drawingml/2006/picture">
                  <pic:nvPicPr>
                    <pic:cNvPr id="51" name="Picture" descr="tnd_prior_infection_supplement_unedited_2024-07-16_files/figure-docx/hp1-1.png"/>
                    <pic:cNvPicPr>
                      <a:picLocks noChangeAspect="1" noChangeArrowheads="1"/>
                    </pic:cNvPicPr>
                  </pic:nvPicPr>
                  <pic:blipFill>
                    <a:blip r:embed="rId16"/>
                    <a:stretch>
                      <a:fillRect/>
                    </a:stretch>
                  </pic:blipFill>
                  <pic:spPr bwMode="auto">
                    <a:xfrm>
                      <a:off x="0" y="0"/>
                      <a:ext cx="4620126" cy="2772075"/>
                    </a:xfrm>
                    <a:prstGeom prst="rect">
                      <a:avLst/>
                    </a:prstGeom>
                    <a:noFill/>
                    <a:ln w="9525">
                      <a:noFill/>
                      <a:headEnd/>
                      <a:tailEnd/>
                    </a:ln>
                  </pic:spPr>
                </pic:pic>
              </a:graphicData>
            </a:graphic>
          </wp:inline>
        </w:drawing>
      </w:r>
    </w:p>
    <w:p w14:paraId="1EE40807" w14:textId="77777777" w:rsidR="0095436D" w:rsidRDefault="00000000">
      <w:pPr>
        <w:pStyle w:val="ImageCaption"/>
      </w:pPr>
      <w:r>
        <w:t>Figure S10: Hybrid protection that is a maximum of 30% percent boost (either IP + 0.3 * VP or VP + 0.3 * IP).</w:t>
      </w:r>
    </w:p>
    <w:p w14:paraId="1EE40808" w14:textId="77777777" w:rsidR="0095436D" w:rsidRDefault="0095436D">
      <w:pPr>
        <w:pStyle w:val="BodyText"/>
      </w:pPr>
    </w:p>
    <w:p w14:paraId="1EE40809" w14:textId="77777777" w:rsidR="0095436D" w:rsidRDefault="00000000">
      <w:pPr>
        <w:pStyle w:val="FirstParagraph"/>
      </w:pPr>
      <w:r>
        <w:t>The other scenario boosted protection but unequally based on which type of protection was larger, i.e.,</w:t>
      </w:r>
    </w:p>
    <w:p w14:paraId="1EE4080A" w14:textId="77777777" w:rsidR="0095436D" w:rsidRDefault="00000000">
      <w:pPr>
        <w:pStyle w:val="BodyText"/>
      </w:pPr>
      <m:oMathPara>
        <m:oMathParaPr>
          <m:jc m:val="center"/>
        </m:oMathParaPr>
        <m:oMath>
          <m:sSub>
            <m:sSubPr>
              <m:ctrlPr>
                <w:rPr>
                  <w:rFonts w:ascii="Cambria Math" w:hAnsi="Cambria Math"/>
                </w:rPr>
              </m:ctrlPr>
            </m:sSubPr>
            <m:e>
              <m:r>
                <m:rPr>
                  <m:nor/>
                </m:rPr>
                <m:t>HP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d>
            <m:dPr>
              <m:begChr m:val="{"/>
              <m:endChr m:val=""/>
              <m:ctrlPr>
                <w:rPr>
                  <w:rFonts w:ascii="Cambria Math" w:hAnsi="Cambria Math"/>
                </w:rPr>
              </m:ctrlPr>
            </m:dPr>
            <m:e>
              <m:m>
                <m:mPr>
                  <m:plcHide m:val="1"/>
                  <m:mcs>
                    <m:mc>
                      <m:mcPr>
                        <m:count m:val="2"/>
                        <m:mcJc m:val="left"/>
                      </m:mcPr>
                    </m:mc>
                  </m:mcs>
                  <m:ctrlPr>
                    <w:rPr>
                      <w:rFonts w:ascii="Cambria Math" w:hAnsi="Cambria Math"/>
                    </w:rPr>
                  </m:ctrlPr>
                </m:mPr>
                <m:mr>
                  <m:e>
                    <m:r>
                      <m:rPr>
                        <m:sty m:val="p"/>
                      </m:rPr>
                      <w:rPr>
                        <w:rFonts w:ascii="Cambria Math" w:hAnsi="Cambria Math"/>
                      </w:rPr>
                      <m:t>min</m:t>
                    </m:r>
                    <m:d>
                      <m:dPr>
                        <m:begChr m:val="["/>
                        <m:endChr m:val="]"/>
                        <m:ctrlPr>
                          <w:rPr>
                            <w:rFonts w:ascii="Cambria Math" w:hAnsi="Cambria Math"/>
                          </w:rPr>
                        </m:ctrlPr>
                      </m:dPr>
                      <m:e>
                        <m:r>
                          <w:rPr>
                            <w:rFonts w:ascii="Cambria Math" w:hAnsi="Cambria Math"/>
                          </w:rPr>
                          <m:t>0.99</m:t>
                        </m:r>
                        <m:r>
                          <m:rPr>
                            <m:sty m:val="p"/>
                          </m:rPr>
                          <w:rPr>
                            <w:rFonts w:ascii="Cambria Math" w:hAnsi="Cambria Math"/>
                          </w:rPr>
                          <m:t>,</m:t>
                        </m:r>
                        <m:r>
                          <w:rPr>
                            <w:rFonts w:ascii="Cambria Math" w:hAnsi="Cambria Math"/>
                          </w:rPr>
                          <m:t> </m:t>
                        </m:r>
                        <m:sSub>
                          <m:sSubPr>
                            <m:ctrlPr>
                              <w:rPr>
                                <w:rFonts w:ascii="Cambria Math" w:hAnsi="Cambria Math"/>
                              </w:rPr>
                            </m:ctrlPr>
                          </m:sSubPr>
                          <m:e>
                            <m:r>
                              <m:rPr>
                                <m:nor/>
                              </m:rPr>
                              <m:t>VP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0.3</m:t>
                        </m:r>
                        <m:r>
                          <m:rPr>
                            <m:sty m:val="p"/>
                          </m:rPr>
                          <w:rPr>
                            <w:rFonts w:ascii="Cambria Math" w:hAnsi="Cambria Math"/>
                          </w:rPr>
                          <m:t>*</m:t>
                        </m:r>
                        <m:sSub>
                          <m:sSubPr>
                            <m:ctrlPr>
                              <w:rPr>
                                <w:rFonts w:ascii="Cambria Math" w:hAnsi="Cambria Math"/>
                              </w:rPr>
                            </m:ctrlPr>
                          </m:sSubPr>
                          <m:e>
                            <m:r>
                              <m:rPr>
                                <m:nor/>
                              </m:rPr>
                              <m:t>IP</m:t>
                            </m:r>
                          </m:e>
                          <m:sub>
                            <m:r>
                              <w:rPr>
                                <w:rFonts w:ascii="Cambria Math" w:hAnsi="Cambria Math"/>
                              </w:rPr>
                              <m:t>j</m:t>
                            </m:r>
                            <m:r>
                              <m:rPr>
                                <m:sty m:val="p"/>
                              </m:rPr>
                              <w:rPr>
                                <w:rFonts w:ascii="Cambria Math" w:hAnsi="Cambria Math"/>
                              </w:rPr>
                              <m:t>,</m:t>
                            </m:r>
                            <m:r>
                              <w:rPr>
                                <w:rFonts w:ascii="Cambria Math" w:hAnsi="Cambria Math"/>
                              </w:rPr>
                              <m:t>k</m:t>
                            </m:r>
                          </m:sub>
                        </m:sSub>
                      </m:e>
                    </m:d>
                  </m:e>
                  <m:e>
                    <m:r>
                      <m:rPr>
                        <m:nor/>
                      </m:rPr>
                      <m:t>if</m:t>
                    </m:r>
                    <m:r>
                      <w:rPr>
                        <w:rFonts w:ascii="Cambria Math" w:hAnsi="Cambria Math"/>
                      </w:rPr>
                      <m:t>  </m:t>
                    </m:r>
                    <m:sSub>
                      <m:sSubPr>
                        <m:ctrlPr>
                          <w:rPr>
                            <w:rFonts w:ascii="Cambria Math" w:hAnsi="Cambria Math"/>
                          </w:rPr>
                        </m:ctrlPr>
                      </m:sSubPr>
                      <m:e>
                        <m:r>
                          <m:rPr>
                            <m:nor/>
                          </m:rPr>
                          <m:t>VP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sSub>
                      <m:sSubPr>
                        <m:ctrlPr>
                          <w:rPr>
                            <w:rFonts w:ascii="Cambria Math" w:hAnsi="Cambria Math"/>
                          </w:rPr>
                        </m:ctrlPr>
                      </m:sSubPr>
                      <m:e>
                        <m:r>
                          <m:rPr>
                            <m:nor/>
                          </m:rPr>
                          <m:t>IP</m:t>
                        </m:r>
                      </m:e>
                      <m:sub>
                        <m:r>
                          <w:rPr>
                            <w:rFonts w:ascii="Cambria Math" w:hAnsi="Cambria Math"/>
                          </w:rPr>
                          <m:t>j</m:t>
                        </m:r>
                        <m:r>
                          <m:rPr>
                            <m:sty m:val="p"/>
                          </m:rPr>
                          <w:rPr>
                            <w:rFonts w:ascii="Cambria Math" w:hAnsi="Cambria Math"/>
                          </w:rPr>
                          <m:t>,</m:t>
                        </m:r>
                        <m:r>
                          <w:rPr>
                            <w:rFonts w:ascii="Cambria Math" w:hAnsi="Cambria Math"/>
                          </w:rPr>
                          <m:t>k</m:t>
                        </m:r>
                      </m:sub>
                    </m:sSub>
                  </m:e>
                </m:mr>
                <m:mr>
                  <m:e>
                    <m:r>
                      <m:rPr>
                        <m:sty m:val="p"/>
                      </m:rPr>
                      <w:rPr>
                        <w:rFonts w:ascii="Cambria Math" w:hAnsi="Cambria Math"/>
                      </w:rPr>
                      <m:t>min</m:t>
                    </m:r>
                    <m:d>
                      <m:dPr>
                        <m:begChr m:val="["/>
                        <m:endChr m:val="]"/>
                        <m:ctrlPr>
                          <w:rPr>
                            <w:rFonts w:ascii="Cambria Math" w:hAnsi="Cambria Math"/>
                          </w:rPr>
                        </m:ctrlPr>
                      </m:dPr>
                      <m:e>
                        <m:r>
                          <w:rPr>
                            <w:rFonts w:ascii="Cambria Math" w:hAnsi="Cambria Math"/>
                          </w:rPr>
                          <m:t>0.99</m:t>
                        </m:r>
                        <m:r>
                          <m:rPr>
                            <m:sty m:val="p"/>
                          </m:rPr>
                          <w:rPr>
                            <w:rFonts w:ascii="Cambria Math" w:hAnsi="Cambria Math"/>
                          </w:rPr>
                          <m:t>,</m:t>
                        </m:r>
                        <m:r>
                          <w:rPr>
                            <w:rFonts w:ascii="Cambria Math" w:hAnsi="Cambria Math"/>
                          </w:rPr>
                          <m:t> </m:t>
                        </m:r>
                        <m:sSub>
                          <m:sSubPr>
                            <m:ctrlPr>
                              <w:rPr>
                                <w:rFonts w:ascii="Cambria Math" w:hAnsi="Cambria Math"/>
                              </w:rPr>
                            </m:ctrlPr>
                          </m:sSubPr>
                          <m:e>
                            <m:r>
                              <m:rPr>
                                <m:nor/>
                              </m:rPr>
                              <m:t>IP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0.1</m:t>
                        </m:r>
                        <m:r>
                          <m:rPr>
                            <m:sty m:val="p"/>
                          </m:rPr>
                          <w:rPr>
                            <w:rFonts w:ascii="Cambria Math" w:hAnsi="Cambria Math"/>
                          </w:rPr>
                          <m:t>*</m:t>
                        </m:r>
                        <m:sSub>
                          <m:sSubPr>
                            <m:ctrlPr>
                              <w:rPr>
                                <w:rFonts w:ascii="Cambria Math" w:hAnsi="Cambria Math"/>
                              </w:rPr>
                            </m:ctrlPr>
                          </m:sSubPr>
                          <m:e>
                            <m:r>
                              <m:rPr>
                                <m:nor/>
                              </m:rPr>
                              <m:t>VP</m:t>
                            </m:r>
                          </m:e>
                          <m:sub>
                            <m:r>
                              <w:rPr>
                                <w:rFonts w:ascii="Cambria Math" w:hAnsi="Cambria Math"/>
                              </w:rPr>
                              <m:t>j</m:t>
                            </m:r>
                            <m:r>
                              <m:rPr>
                                <m:sty m:val="p"/>
                              </m:rPr>
                              <w:rPr>
                                <w:rFonts w:ascii="Cambria Math" w:hAnsi="Cambria Math"/>
                              </w:rPr>
                              <m:t>,</m:t>
                            </m:r>
                            <m:r>
                              <w:rPr>
                                <w:rFonts w:ascii="Cambria Math" w:hAnsi="Cambria Math"/>
                              </w:rPr>
                              <m:t>k</m:t>
                            </m:r>
                          </m:sub>
                        </m:sSub>
                      </m:e>
                    </m:d>
                  </m:e>
                  <m:e>
                    <m:r>
                      <m:rPr>
                        <m:nor/>
                      </m:rPr>
                      <m:t>if</m:t>
                    </m:r>
                    <m:r>
                      <w:rPr>
                        <w:rFonts w:ascii="Cambria Math" w:hAnsi="Cambria Math"/>
                      </w:rPr>
                      <m:t>  </m:t>
                    </m:r>
                    <m:sSub>
                      <m:sSubPr>
                        <m:ctrlPr>
                          <w:rPr>
                            <w:rFonts w:ascii="Cambria Math" w:hAnsi="Cambria Math"/>
                          </w:rPr>
                        </m:ctrlPr>
                      </m:sSubPr>
                      <m:e>
                        <m:r>
                          <m:rPr>
                            <m:nor/>
                          </m:rPr>
                          <m:t>VP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&lt;</m:t>
                    </m:r>
                    <m:sSub>
                      <m:sSubPr>
                        <m:ctrlPr>
                          <w:rPr>
                            <w:rFonts w:ascii="Cambria Math" w:hAnsi="Cambria Math"/>
                          </w:rPr>
                        </m:ctrlPr>
                      </m:sSubPr>
                      <m:e>
                        <m:r>
                          <m:rPr>
                            <m:nor/>
                          </m:rPr>
                          <m:t>IP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e>
                </m:mr>
              </m:m>
            </m:e>
          </m:d>
        </m:oMath>
      </m:oMathPara>
    </w:p>
    <w:p w14:paraId="1EE4080B" w14:textId="77777777" w:rsidR="0095436D" w:rsidRDefault="00000000">
      <w:pPr>
        <w:pStyle w:val="FirstParagraph"/>
      </w:pPr>
      <w:r>
        <w:t>In this scenario, a person’s vaccine-induced protection was again boosted by 30% of that person’s infection-induced protection up to a maximum of 0.99. On the other hand, infection-induced protection was only boosted by 10% of vaccine-induced protection up to a maximum of 0.99 (Figure S11).</w:t>
      </w:r>
    </w:p>
    <w:p w14:paraId="1EE4080C" w14:textId="77777777" w:rsidR="0095436D" w:rsidRDefault="00000000">
      <w:pPr>
        <w:pStyle w:val="CaptionedFigure"/>
      </w:pPr>
      <w:r>
        <w:rPr>
          <w:noProof/>
        </w:rPr>
        <w:lastRenderedPageBreak/>
        <w:drawing>
          <wp:inline distT="0" distB="0" distL="0" distR="0" wp14:anchorId="1EE409C7" wp14:editId="1EE409C8">
            <wp:extent cx="4620126" cy="2772075"/>
            <wp:effectExtent l="0" t="0" r="0" b="0"/>
            <wp:docPr id="53" name="Picture" descr="Figure S11: Hybrid protection that is a maximum of unequal percent boost (either IP + 0.1 * VP or VP + 0.3 * IP)."/>
            <wp:cNvGraphicFramePr/>
            <a:graphic xmlns:a="http://schemas.openxmlformats.org/drawingml/2006/main">
              <a:graphicData uri="http://schemas.openxmlformats.org/drawingml/2006/picture">
                <pic:pic xmlns:pic="http://schemas.openxmlformats.org/drawingml/2006/picture">
                  <pic:nvPicPr>
                    <pic:cNvPr id="54" name="Picture" descr="tnd_prior_infection_supplement_unedited_2024-07-16_files/figure-docx/hp2-1.png"/>
                    <pic:cNvPicPr>
                      <a:picLocks noChangeAspect="1" noChangeArrowheads="1"/>
                    </pic:cNvPicPr>
                  </pic:nvPicPr>
                  <pic:blipFill>
                    <a:blip r:embed="rId17"/>
                    <a:stretch>
                      <a:fillRect/>
                    </a:stretch>
                  </pic:blipFill>
                  <pic:spPr bwMode="auto">
                    <a:xfrm>
                      <a:off x="0" y="0"/>
                      <a:ext cx="4620126" cy="2772075"/>
                    </a:xfrm>
                    <a:prstGeom prst="rect">
                      <a:avLst/>
                    </a:prstGeom>
                    <a:noFill/>
                    <a:ln w="9525">
                      <a:noFill/>
                      <a:headEnd/>
                      <a:tailEnd/>
                    </a:ln>
                  </pic:spPr>
                </pic:pic>
              </a:graphicData>
            </a:graphic>
          </wp:inline>
        </w:drawing>
      </w:r>
    </w:p>
    <w:p w14:paraId="1EE4080D" w14:textId="77777777" w:rsidR="0095436D" w:rsidRDefault="00000000">
      <w:pPr>
        <w:pStyle w:val="ImageCaption"/>
      </w:pPr>
      <w:r>
        <w:t>Figure S11: Hybrid protection that is a maximum of unequal percent boost (either IP + 0.1 * VP or VP + 0.3 * IP).</w:t>
      </w:r>
    </w:p>
    <w:p w14:paraId="1EE4080E" w14:textId="77777777" w:rsidR="0095436D" w:rsidRDefault="0095436D">
      <w:pPr>
        <w:pStyle w:val="BodyText"/>
      </w:pPr>
    </w:p>
    <w:p w14:paraId="1EE4080F" w14:textId="77777777" w:rsidR="0095436D" w:rsidRDefault="00000000">
      <w:pPr>
        <w:pStyle w:val="FirstParagraph"/>
      </w:pPr>
      <w:r>
        <w:t xml:space="preserve">Once </w:t>
      </w:r>
      <m:oMath>
        <m:sSub>
          <m:sSubPr>
            <m:ctrlPr>
              <w:rPr>
                <w:rFonts w:ascii="Cambria Math" w:hAnsi="Cambria Math"/>
              </w:rPr>
            </m:ctrlPr>
          </m:sSubPr>
          <m:e>
            <m:r>
              <m:rPr>
                <m:nor/>
              </m:rPr>
              <m:t>HP</m:t>
            </m:r>
          </m:e>
          <m:sub>
            <m:r>
              <w:rPr>
                <w:rFonts w:ascii="Cambria Math" w:hAnsi="Cambria Math"/>
              </w:rPr>
              <m:t>j</m:t>
            </m:r>
            <m:r>
              <m:rPr>
                <m:sty m:val="p"/>
              </m:rPr>
              <w:rPr>
                <w:rFonts w:ascii="Cambria Math" w:hAnsi="Cambria Math"/>
              </w:rPr>
              <m:t>,</m:t>
            </m:r>
            <m:r>
              <w:rPr>
                <w:rFonts w:ascii="Cambria Math" w:hAnsi="Cambria Math"/>
              </w:rPr>
              <m:t>k</m:t>
            </m:r>
          </m:sub>
        </m:sSub>
      </m:oMath>
      <w:r>
        <w:t xml:space="preserve"> was determined, person </w:t>
      </w:r>
      <m:oMath>
        <m:r>
          <w:rPr>
            <w:rFonts w:ascii="Cambria Math" w:hAnsi="Cambria Math"/>
          </w:rPr>
          <m:t>j</m:t>
        </m:r>
      </m:oMath>
      <w:r>
        <w:t>’s protection that week (</w:t>
      </w:r>
      <m:oMath>
        <m:sSub>
          <m:sSubPr>
            <m:ctrlPr>
              <w:rPr>
                <w:rFonts w:ascii="Cambria Math" w:hAnsi="Cambria Math"/>
              </w:rPr>
            </m:ctrlPr>
          </m:sSubPr>
          <m:e>
            <m:r>
              <w:rPr>
                <w:rFonts w:ascii="Cambria Math" w:hAnsi="Cambria Math"/>
              </w:rPr>
              <m:t>ψ</m:t>
            </m:r>
          </m:e>
          <m:sub>
            <m:r>
              <w:rPr>
                <w:rFonts w:ascii="Cambria Math" w:hAnsi="Cambria Math"/>
              </w:rPr>
              <m:t>j</m:t>
            </m:r>
            <m:r>
              <m:rPr>
                <m:sty m:val="p"/>
              </m:rPr>
              <w:rPr>
                <w:rFonts w:ascii="Cambria Math" w:hAnsi="Cambria Math"/>
              </w:rPr>
              <m:t>,</m:t>
            </m:r>
            <m:r>
              <w:rPr>
                <w:rFonts w:ascii="Cambria Math" w:hAnsi="Cambria Math"/>
              </w:rPr>
              <m:t>k</m:t>
            </m:r>
          </m:sub>
        </m:sSub>
      </m:oMath>
      <w:r>
        <w:t>) was</w:t>
      </w:r>
    </w:p>
    <w:p w14:paraId="1EE40810" w14:textId="77777777" w:rsidR="0095436D" w:rsidRDefault="00000000">
      <w:pPr>
        <w:pStyle w:val="BodyText"/>
      </w:pPr>
      <m:oMathPara>
        <m:oMathParaPr>
          <m:jc m:val="center"/>
        </m:oMathParaPr>
        <m:oMath>
          <m:sSub>
            <m:sSubPr>
              <m:ctrlPr>
                <w:rPr>
                  <w:rFonts w:ascii="Cambria Math" w:hAnsi="Cambria Math"/>
                </w:rPr>
              </m:ctrlPr>
            </m:sSubPr>
            <m:e>
              <m:r>
                <w:rPr>
                  <w:rFonts w:ascii="Cambria Math" w:hAnsi="Cambria Math"/>
                </w:rPr>
                <m:t>ψ</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d>
            <m:dPr>
              <m:begChr m:val="{"/>
              <m:endChr m:val=""/>
              <m:ctrlPr>
                <w:rPr>
                  <w:rFonts w:ascii="Cambria Math" w:hAnsi="Cambria Math"/>
                </w:rPr>
              </m:ctrlPr>
            </m:dPr>
            <m:e>
              <m:m>
                <m:mPr>
                  <m:plcHide m:val="1"/>
                  <m:mcs>
                    <m:mc>
                      <m:mcPr>
                        <m:count m:val="2"/>
                        <m:mcJc m:val="left"/>
                      </m:mcPr>
                    </m:mc>
                  </m:mcs>
                  <m:ctrlPr>
                    <w:rPr>
                      <w:rFonts w:ascii="Cambria Math" w:hAnsi="Cambria Math"/>
                    </w:rPr>
                  </m:ctrlPr>
                </m:mPr>
                <m:mr>
                  <m:e>
                    <m:r>
                      <w:rPr>
                        <w:rFonts w:ascii="Cambria Math" w:hAnsi="Cambria Math"/>
                      </w:rPr>
                      <m:t>0</m:t>
                    </m:r>
                  </m:e>
                  <m:e>
                    <m:r>
                      <m:rPr>
                        <m:nor/>
                      </m:rPr>
                      <m:t>if</m:t>
                    </m:r>
                    <m:r>
                      <w:rPr>
                        <w:rFonts w:ascii="Cambria Math" w:hAnsi="Cambria Math"/>
                      </w:rPr>
                      <m:t>  </m:t>
                    </m:r>
                    <m:sSub>
                      <m:sSubPr>
                        <m:ctrlPr>
                          <w:rPr>
                            <w:rFonts w:ascii="Cambria Math" w:hAnsi="Cambria Math"/>
                          </w:rPr>
                        </m:ctrlPr>
                      </m:sSubPr>
                      <m:e>
                        <m:r>
                          <m:rPr>
                            <m:nor/>
                          </m:rPr>
                          <m:t>IP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0 </m:t>
                    </m:r>
                    <m:r>
                      <m:rPr>
                        <m:nor/>
                      </m:rPr>
                      <m:t>and</m:t>
                    </m:r>
                    <m:r>
                      <w:rPr>
                        <w:rFonts w:ascii="Cambria Math" w:hAnsi="Cambria Math"/>
                      </w:rPr>
                      <m:t> </m:t>
                    </m:r>
                    <m:sSub>
                      <m:sSubPr>
                        <m:ctrlPr>
                          <w:rPr>
                            <w:rFonts w:ascii="Cambria Math" w:hAnsi="Cambria Math"/>
                          </w:rPr>
                        </m:ctrlPr>
                      </m:sSubPr>
                      <m:e>
                        <m:r>
                          <m:rPr>
                            <m:nor/>
                          </m:rPr>
                          <m:t>VP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0</m:t>
                    </m:r>
                  </m:e>
                </m:mr>
                <m:mr>
                  <m:e>
                    <m:sSub>
                      <m:sSubPr>
                        <m:ctrlPr>
                          <w:rPr>
                            <w:rFonts w:ascii="Cambria Math" w:hAnsi="Cambria Math"/>
                          </w:rPr>
                        </m:ctrlPr>
                      </m:sSubPr>
                      <m:e>
                        <m:r>
                          <m:rPr>
                            <m:nor/>
                          </m:rPr>
                          <m:t>IP</m:t>
                        </m:r>
                      </m:e>
                      <m:sub>
                        <m:r>
                          <w:rPr>
                            <w:rFonts w:ascii="Cambria Math" w:hAnsi="Cambria Math"/>
                          </w:rPr>
                          <m:t>j</m:t>
                        </m:r>
                        <m:r>
                          <m:rPr>
                            <m:sty m:val="p"/>
                          </m:rPr>
                          <w:rPr>
                            <w:rFonts w:ascii="Cambria Math" w:hAnsi="Cambria Math"/>
                          </w:rPr>
                          <m:t>,</m:t>
                        </m:r>
                        <m:r>
                          <w:rPr>
                            <w:rFonts w:ascii="Cambria Math" w:hAnsi="Cambria Math"/>
                          </w:rPr>
                          <m:t>k</m:t>
                        </m:r>
                      </m:sub>
                    </m:sSub>
                  </m:e>
                  <m:e>
                    <m:r>
                      <m:rPr>
                        <m:nor/>
                      </m:rPr>
                      <m:t>if</m:t>
                    </m:r>
                    <m:r>
                      <w:rPr>
                        <w:rFonts w:ascii="Cambria Math" w:hAnsi="Cambria Math"/>
                      </w:rPr>
                      <m:t>  </m:t>
                    </m:r>
                    <m:sSub>
                      <m:sSubPr>
                        <m:ctrlPr>
                          <w:rPr>
                            <w:rFonts w:ascii="Cambria Math" w:hAnsi="Cambria Math"/>
                          </w:rPr>
                        </m:ctrlPr>
                      </m:sSubPr>
                      <m:e>
                        <m:r>
                          <m:rPr>
                            <m:nor/>
                          </m:rPr>
                          <m:t>IP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&gt;</m:t>
                    </m:r>
                    <m:r>
                      <w:rPr>
                        <w:rFonts w:ascii="Cambria Math" w:hAnsi="Cambria Math"/>
                      </w:rPr>
                      <m:t>0 </m:t>
                    </m:r>
                    <m:r>
                      <m:rPr>
                        <m:nor/>
                      </m:rPr>
                      <m:t>and</m:t>
                    </m:r>
                    <m:r>
                      <w:rPr>
                        <w:rFonts w:ascii="Cambria Math" w:hAnsi="Cambria Math"/>
                      </w:rPr>
                      <m:t> </m:t>
                    </m:r>
                    <m:sSub>
                      <m:sSubPr>
                        <m:ctrlPr>
                          <w:rPr>
                            <w:rFonts w:ascii="Cambria Math" w:hAnsi="Cambria Math"/>
                          </w:rPr>
                        </m:ctrlPr>
                      </m:sSubPr>
                      <m:e>
                        <m:r>
                          <m:rPr>
                            <m:nor/>
                          </m:rPr>
                          <m:t>VP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0</m:t>
                    </m:r>
                  </m:e>
                </m:mr>
                <m:mr>
                  <m:e>
                    <m:sSub>
                      <m:sSubPr>
                        <m:ctrlPr>
                          <w:rPr>
                            <w:rFonts w:ascii="Cambria Math" w:hAnsi="Cambria Math"/>
                          </w:rPr>
                        </m:ctrlPr>
                      </m:sSubPr>
                      <m:e>
                        <m:r>
                          <m:rPr>
                            <m:nor/>
                          </m:rPr>
                          <m:t>VP</m:t>
                        </m:r>
                      </m:e>
                      <m:sub>
                        <m:r>
                          <w:rPr>
                            <w:rFonts w:ascii="Cambria Math" w:hAnsi="Cambria Math"/>
                          </w:rPr>
                          <m:t>j</m:t>
                        </m:r>
                        <m:r>
                          <m:rPr>
                            <m:sty m:val="p"/>
                          </m:rPr>
                          <w:rPr>
                            <w:rFonts w:ascii="Cambria Math" w:hAnsi="Cambria Math"/>
                          </w:rPr>
                          <m:t>,</m:t>
                        </m:r>
                        <m:r>
                          <w:rPr>
                            <w:rFonts w:ascii="Cambria Math" w:hAnsi="Cambria Math"/>
                          </w:rPr>
                          <m:t>k</m:t>
                        </m:r>
                      </m:sub>
                    </m:sSub>
                  </m:e>
                  <m:e>
                    <m:r>
                      <m:rPr>
                        <m:nor/>
                      </m:rPr>
                      <m:t>if</m:t>
                    </m:r>
                    <m:r>
                      <w:rPr>
                        <w:rFonts w:ascii="Cambria Math" w:hAnsi="Cambria Math"/>
                      </w:rPr>
                      <m:t>  </m:t>
                    </m:r>
                    <m:sSub>
                      <m:sSubPr>
                        <m:ctrlPr>
                          <w:rPr>
                            <w:rFonts w:ascii="Cambria Math" w:hAnsi="Cambria Math"/>
                          </w:rPr>
                        </m:ctrlPr>
                      </m:sSubPr>
                      <m:e>
                        <m:r>
                          <m:rPr>
                            <m:nor/>
                          </m:rPr>
                          <m:t>IP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0 </m:t>
                    </m:r>
                    <m:r>
                      <m:rPr>
                        <m:nor/>
                      </m:rPr>
                      <m:t>and</m:t>
                    </m:r>
                    <m:r>
                      <w:rPr>
                        <w:rFonts w:ascii="Cambria Math" w:hAnsi="Cambria Math"/>
                      </w:rPr>
                      <m:t> </m:t>
                    </m:r>
                    <m:sSub>
                      <m:sSubPr>
                        <m:ctrlPr>
                          <w:rPr>
                            <w:rFonts w:ascii="Cambria Math" w:hAnsi="Cambria Math"/>
                          </w:rPr>
                        </m:ctrlPr>
                      </m:sSubPr>
                      <m:e>
                        <m:r>
                          <m:rPr>
                            <m:nor/>
                          </m:rPr>
                          <m:t>VP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&gt;</m:t>
                    </m:r>
                    <m:r>
                      <w:rPr>
                        <w:rFonts w:ascii="Cambria Math" w:hAnsi="Cambria Math"/>
                      </w:rPr>
                      <m:t>0</m:t>
                    </m:r>
                  </m:e>
                </m:mr>
                <m:mr>
                  <m:e>
                    <m:sSub>
                      <m:sSubPr>
                        <m:ctrlPr>
                          <w:rPr>
                            <w:rFonts w:ascii="Cambria Math" w:hAnsi="Cambria Math"/>
                          </w:rPr>
                        </m:ctrlPr>
                      </m:sSubPr>
                      <m:e>
                        <m:r>
                          <m:rPr>
                            <m:nor/>
                          </m:rPr>
                          <m:t>HP</m:t>
                        </m:r>
                      </m:e>
                      <m:sub>
                        <m:r>
                          <w:rPr>
                            <w:rFonts w:ascii="Cambria Math" w:hAnsi="Cambria Math"/>
                          </w:rPr>
                          <m:t>j</m:t>
                        </m:r>
                        <m:r>
                          <m:rPr>
                            <m:sty m:val="p"/>
                          </m:rPr>
                          <w:rPr>
                            <w:rFonts w:ascii="Cambria Math" w:hAnsi="Cambria Math"/>
                          </w:rPr>
                          <m:t>,</m:t>
                        </m:r>
                        <m:r>
                          <w:rPr>
                            <w:rFonts w:ascii="Cambria Math" w:hAnsi="Cambria Math"/>
                          </w:rPr>
                          <m:t>k</m:t>
                        </m:r>
                      </m:sub>
                    </m:sSub>
                  </m:e>
                  <m:e>
                    <m:r>
                      <m:rPr>
                        <m:nor/>
                      </m:rPr>
                      <m:t>if</m:t>
                    </m:r>
                    <m:r>
                      <w:rPr>
                        <w:rFonts w:ascii="Cambria Math" w:hAnsi="Cambria Math"/>
                      </w:rPr>
                      <m:t>  </m:t>
                    </m:r>
                    <m:sSub>
                      <m:sSubPr>
                        <m:ctrlPr>
                          <w:rPr>
                            <w:rFonts w:ascii="Cambria Math" w:hAnsi="Cambria Math"/>
                          </w:rPr>
                        </m:ctrlPr>
                      </m:sSubPr>
                      <m:e>
                        <m:r>
                          <m:rPr>
                            <m:nor/>
                          </m:rPr>
                          <m:t>IP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&gt;</m:t>
                    </m:r>
                    <m:r>
                      <w:rPr>
                        <w:rFonts w:ascii="Cambria Math" w:hAnsi="Cambria Math"/>
                      </w:rPr>
                      <m:t>0 </m:t>
                    </m:r>
                    <m:r>
                      <m:rPr>
                        <m:nor/>
                      </m:rPr>
                      <m:t>and</m:t>
                    </m:r>
                    <m:r>
                      <w:rPr>
                        <w:rFonts w:ascii="Cambria Math" w:hAnsi="Cambria Math"/>
                      </w:rPr>
                      <m:t> </m:t>
                    </m:r>
                    <m:sSub>
                      <m:sSubPr>
                        <m:ctrlPr>
                          <w:rPr>
                            <w:rFonts w:ascii="Cambria Math" w:hAnsi="Cambria Math"/>
                          </w:rPr>
                        </m:ctrlPr>
                      </m:sSubPr>
                      <m:e>
                        <m:r>
                          <m:rPr>
                            <m:nor/>
                          </m:rPr>
                          <m:t>VP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&gt;</m:t>
                    </m:r>
                    <m:r>
                      <w:rPr>
                        <w:rFonts w:ascii="Cambria Math" w:hAnsi="Cambria Math"/>
                      </w:rPr>
                      <m:t>0</m:t>
                    </m:r>
                    <m:r>
                      <m:rPr>
                        <m:sty m:val="p"/>
                      </m:rPr>
                      <w:rPr>
                        <w:rFonts w:ascii="Cambria Math" w:hAnsi="Cambria Math"/>
                      </w:rPr>
                      <m:t>.</m:t>
                    </m:r>
                  </m:e>
                </m:mr>
              </m:m>
            </m:e>
          </m:d>
        </m:oMath>
      </m:oMathPara>
    </w:p>
    <w:p w14:paraId="1EE40811" w14:textId="77777777" w:rsidR="0095436D" w:rsidRDefault="0095436D">
      <w:pPr>
        <w:pStyle w:val="FirstParagraph"/>
      </w:pPr>
    </w:p>
    <w:p w14:paraId="1EE40812" w14:textId="77777777" w:rsidR="0095436D" w:rsidRDefault="00000000">
      <w:pPr>
        <w:pStyle w:val="Heading3"/>
      </w:pPr>
      <w:bookmarkStart w:id="10" w:name="generation-of-infection-and-vaccination"/>
      <w:bookmarkStart w:id="11" w:name="_Toc172030367"/>
      <w:bookmarkEnd w:id="8"/>
      <w:r>
        <w:t>Generation of infection and vaccination</w:t>
      </w:r>
      <w:bookmarkEnd w:id="11"/>
    </w:p>
    <w:p w14:paraId="1EE40813" w14:textId="77777777" w:rsidR="0095436D" w:rsidRDefault="00000000">
      <w:pPr>
        <w:pStyle w:val="FirstParagraph"/>
      </w:pPr>
      <w:r>
        <w:t xml:space="preserve">The probability of infection for person </w:t>
      </w:r>
      <m:oMath>
        <m:r>
          <w:rPr>
            <w:rFonts w:ascii="Cambria Math" w:hAnsi="Cambria Math"/>
          </w:rPr>
          <m:t>j</m:t>
        </m:r>
      </m:oMath>
      <w:r>
        <w:t xml:space="preserve"> in week </w:t>
      </w:r>
      <m:oMath>
        <m:r>
          <w:rPr>
            <w:rFonts w:ascii="Cambria Math" w:hAnsi="Cambria Math"/>
          </w:rPr>
          <m:t>k</m:t>
        </m:r>
      </m:oMath>
      <w:r>
        <w:t xml:space="preserve"> was</w:t>
      </w:r>
    </w:p>
    <w:p w14:paraId="1EE40814" w14:textId="77777777" w:rsidR="0095436D" w:rsidRDefault="00000000">
      <w:pPr>
        <w:pStyle w:val="BodyText"/>
      </w:pPr>
      <m:oMathPara>
        <m:oMathParaPr>
          <m:jc m:val="center"/>
        </m:oMathParaPr>
        <m:oMath>
          <m:r>
            <m:rPr>
              <m:sty m:val="p"/>
            </m:rPr>
            <w:rPr>
              <w:rFonts w:ascii="Cambria Math" w:hAnsi="Cambria Math"/>
            </w:rPr>
            <m:t>Pr</m:t>
          </m:r>
          <m:d>
            <m:dPr>
              <m:ctrlPr>
                <w:rPr>
                  <w:rFonts w:ascii="Cambria Math" w:hAnsi="Cambria Math"/>
                </w:rPr>
              </m:ctrlPr>
            </m:dPr>
            <m:e>
              <m:sSub>
                <m:sSubPr>
                  <m:ctrlPr>
                    <w:rPr>
                      <w:rFonts w:ascii="Cambria Math" w:hAnsi="Cambria Math"/>
                    </w:rPr>
                  </m:ctrlPr>
                </m:sSubPr>
                <m:e>
                  <m:r>
                    <w:rPr>
                      <w:rFonts w:ascii="Cambria Math" w:hAnsi="Cambria Math"/>
                    </w:rPr>
                    <m:t>I</m:t>
                  </m:r>
                </m:e>
                <m:sub>
                  <m:r>
                    <w:rPr>
                      <w:rFonts w:ascii="Cambria Math" w:hAnsi="Cambria Math"/>
                    </w:rPr>
                    <m:t>j</m:t>
                  </m:r>
                  <m:r>
                    <m:rPr>
                      <m:sty m:val="p"/>
                    </m:rPr>
                    <w:rPr>
                      <w:rFonts w:ascii="Cambria Math" w:hAnsi="Cambria Math"/>
                    </w:rPr>
                    <m:t>,</m:t>
                  </m:r>
                  <m:r>
                    <w:rPr>
                      <w:rFonts w:ascii="Cambria Math" w:hAnsi="Cambria Math"/>
                    </w:rPr>
                    <m:t>k</m:t>
                  </m:r>
                </m:sub>
              </m:sSub>
            </m:e>
          </m:d>
          <m:r>
            <m:rPr>
              <m:sty m:val="p"/>
            </m:rPr>
            <w:rPr>
              <w:rFonts w:ascii="Cambria Math" w:hAnsi="Cambria Math"/>
            </w:rPr>
            <m:t>=Pr</m:t>
          </m:r>
          <m:d>
            <m:dPr>
              <m:ctrlPr>
                <w:rPr>
                  <w:rFonts w:ascii="Cambria Math" w:hAnsi="Cambria Math"/>
                </w:rPr>
              </m:ctrlPr>
            </m:dPr>
            <m:e>
              <m:sSub>
                <m:sSubPr>
                  <m:ctrlPr>
                    <w:rPr>
                      <w:rFonts w:ascii="Cambria Math" w:hAnsi="Cambria Math"/>
                    </w:rPr>
                  </m:ctrlPr>
                </m:sSubPr>
                <m:e>
                  <m:r>
                    <w:rPr>
                      <w:rFonts w:ascii="Cambria Math" w:hAnsi="Cambria Math"/>
                    </w:rPr>
                    <m:t>c</m:t>
                  </m:r>
                </m:e>
                <m:sub>
                  <m:r>
                    <w:rPr>
                      <w:rFonts w:ascii="Cambria Math" w:hAnsi="Cambria Math"/>
                    </w:rPr>
                    <m:t>k</m:t>
                  </m:r>
                </m:sub>
              </m:sSub>
            </m:e>
          </m:d>
          <m:r>
            <m:rPr>
              <m:sty m:val="p"/>
            </m:rPr>
            <w:rPr>
              <w:rFonts w:ascii="Cambria Math" w:hAnsi="Cambria Math"/>
            </w:rPr>
            <m:t>*</m:t>
          </m:r>
          <m:d>
            <m:dPr>
              <m:ctrlPr>
                <w:rPr>
                  <w:rFonts w:ascii="Cambria Math" w:hAnsi="Cambria Math"/>
                </w:rPr>
              </m:ctrlPr>
            </m:dPr>
            <m:e>
              <m:r>
                <w:rPr>
                  <w:rFonts w:ascii="Cambria Math" w:hAnsi="Cambria Math"/>
                </w:rPr>
                <m:t>1</m:t>
              </m:r>
              <m:r>
                <m:rPr>
                  <m:sty m:val="p"/>
                </m:rPr>
                <w:rPr>
                  <w:rFonts w:ascii="Cambria Math" w:hAnsi="Cambria Math"/>
                </w:rPr>
                <m:t>-</m:t>
              </m:r>
              <m:sSub>
                <m:sSubPr>
                  <m:ctrlPr>
                    <w:rPr>
                      <w:rFonts w:ascii="Cambria Math" w:hAnsi="Cambria Math"/>
                    </w:rPr>
                  </m:ctrlPr>
                </m:sSubPr>
                <m:e>
                  <m:r>
                    <w:rPr>
                      <w:rFonts w:ascii="Cambria Math" w:hAnsi="Cambria Math"/>
                    </w:rPr>
                    <m:t>ψ</m:t>
                  </m:r>
                </m:e>
                <m:sub>
                  <m:r>
                    <w:rPr>
                      <w:rFonts w:ascii="Cambria Math" w:hAnsi="Cambria Math"/>
                    </w:rPr>
                    <m:t>j</m:t>
                  </m:r>
                  <m:r>
                    <m:rPr>
                      <m:sty m:val="p"/>
                    </m:rPr>
                    <w:rPr>
                      <w:rFonts w:ascii="Cambria Math" w:hAnsi="Cambria Math"/>
                    </w:rPr>
                    <m:t>,</m:t>
                  </m:r>
                  <m:r>
                    <w:rPr>
                      <w:rFonts w:ascii="Cambria Math" w:hAnsi="Cambria Math"/>
                    </w:rPr>
                    <m:t>k</m:t>
                  </m:r>
                  <m:r>
                    <m:rPr>
                      <m:sty m:val="p"/>
                    </m:rPr>
                    <w:rPr>
                      <w:rFonts w:ascii="Cambria Math" w:hAnsi="Cambria Math"/>
                    </w:rPr>
                    <m:t>-</m:t>
                  </m:r>
                  <m:r>
                    <w:rPr>
                      <w:rFonts w:ascii="Cambria Math" w:hAnsi="Cambria Math"/>
                    </w:rPr>
                    <m:t>1</m:t>
                  </m:r>
                </m:sub>
              </m:sSub>
            </m:e>
          </m:d>
        </m:oMath>
      </m:oMathPara>
    </w:p>
    <w:p w14:paraId="1EE40815" w14:textId="77777777" w:rsidR="0095436D" w:rsidRDefault="00000000">
      <w:pPr>
        <w:pStyle w:val="FirstParagraph"/>
      </w:pPr>
      <w:r>
        <w:t xml:space="preserve">and </w:t>
      </w:r>
      <m:oMath>
        <m:sSub>
          <m:sSubPr>
            <m:ctrlPr>
              <w:rPr>
                <w:rFonts w:ascii="Cambria Math" w:hAnsi="Cambria Math"/>
              </w:rPr>
            </m:ctrlPr>
          </m:sSubPr>
          <m:e>
            <m:r>
              <w:rPr>
                <w:rFonts w:ascii="Cambria Math" w:hAnsi="Cambria Math"/>
              </w:rPr>
              <m:t>I</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Bern</m:t>
        </m:r>
        <m:d>
          <m:dPr>
            <m:ctrlPr>
              <w:rPr>
                <w:rFonts w:ascii="Cambria Math" w:hAnsi="Cambria Math"/>
              </w:rPr>
            </m:ctrlPr>
          </m:dPr>
          <m:e>
            <m:r>
              <m:rPr>
                <m:sty m:val="p"/>
              </m:rPr>
              <w:rPr>
                <w:rFonts w:ascii="Cambria Math" w:hAnsi="Cambria Math"/>
              </w:rPr>
              <m:t>Pr</m:t>
            </m:r>
            <m:d>
              <m:dPr>
                <m:ctrlPr>
                  <w:rPr>
                    <w:rFonts w:ascii="Cambria Math" w:hAnsi="Cambria Math"/>
                  </w:rPr>
                </m:ctrlPr>
              </m:dPr>
              <m:e>
                <m:sSub>
                  <m:sSubPr>
                    <m:ctrlPr>
                      <w:rPr>
                        <w:rFonts w:ascii="Cambria Math" w:hAnsi="Cambria Math"/>
                      </w:rPr>
                    </m:ctrlPr>
                  </m:sSubPr>
                  <m:e>
                    <m:r>
                      <w:rPr>
                        <w:rFonts w:ascii="Cambria Math" w:hAnsi="Cambria Math"/>
                      </w:rPr>
                      <m:t>I</m:t>
                    </m:r>
                  </m:e>
                  <m:sub>
                    <m:r>
                      <w:rPr>
                        <w:rFonts w:ascii="Cambria Math" w:hAnsi="Cambria Math"/>
                      </w:rPr>
                      <m:t>j</m:t>
                    </m:r>
                    <m:r>
                      <m:rPr>
                        <m:sty m:val="p"/>
                      </m:rPr>
                      <w:rPr>
                        <w:rFonts w:ascii="Cambria Math" w:hAnsi="Cambria Math"/>
                      </w:rPr>
                      <m:t>,</m:t>
                    </m:r>
                    <m:r>
                      <w:rPr>
                        <w:rFonts w:ascii="Cambria Math" w:hAnsi="Cambria Math"/>
                      </w:rPr>
                      <m:t>k</m:t>
                    </m:r>
                  </m:sub>
                </m:sSub>
              </m:e>
            </m:d>
          </m:e>
        </m:d>
      </m:oMath>
      <w:r>
        <w:t xml:space="preserve"> where </w:t>
      </w:r>
      <m:oMath>
        <m:sSub>
          <m:sSubPr>
            <m:ctrlPr>
              <w:rPr>
                <w:rFonts w:ascii="Cambria Math" w:hAnsi="Cambria Math"/>
              </w:rPr>
            </m:ctrlPr>
          </m:sSubPr>
          <m:e>
            <m:r>
              <w:rPr>
                <w:rFonts w:ascii="Cambria Math" w:hAnsi="Cambria Math"/>
              </w:rPr>
              <m:t>I</m:t>
            </m:r>
          </m:e>
          <m:sub>
            <m:r>
              <w:rPr>
                <w:rFonts w:ascii="Cambria Math" w:hAnsi="Cambria Math"/>
              </w:rPr>
              <m:t>j</m:t>
            </m:r>
            <m:r>
              <m:rPr>
                <m:sty m:val="p"/>
              </m:rPr>
              <w:rPr>
                <w:rFonts w:ascii="Cambria Math" w:hAnsi="Cambria Math"/>
              </w:rPr>
              <m:t>,</m:t>
            </m:r>
            <m:r>
              <w:rPr>
                <w:rFonts w:ascii="Cambria Math" w:hAnsi="Cambria Math"/>
              </w:rPr>
              <m:t>k</m:t>
            </m:r>
          </m:sub>
        </m:sSub>
      </m:oMath>
      <w:r>
        <w:t xml:space="preserve"> was the infection status for person </w:t>
      </w:r>
      <m:oMath>
        <m:r>
          <w:rPr>
            <w:rFonts w:ascii="Cambria Math" w:hAnsi="Cambria Math"/>
          </w:rPr>
          <m:t>j</m:t>
        </m:r>
      </m:oMath>
      <w:r>
        <w:t xml:space="preserve"> in week </w:t>
      </w:r>
      <m:oMath>
        <m:r>
          <w:rPr>
            <w:rFonts w:ascii="Cambria Math" w:hAnsi="Cambria Math"/>
          </w:rPr>
          <m:t>k</m:t>
        </m:r>
      </m:oMath>
      <w:r>
        <w:t xml:space="preserve"> where </w:t>
      </w:r>
      <m:oMath>
        <m:sSub>
          <m:sSubPr>
            <m:ctrlPr>
              <w:rPr>
                <w:rFonts w:ascii="Cambria Math" w:hAnsi="Cambria Math"/>
              </w:rPr>
            </m:ctrlPr>
          </m:sSubPr>
          <m:e>
            <m:r>
              <w:rPr>
                <w:rFonts w:ascii="Cambria Math" w:hAnsi="Cambria Math"/>
              </w:rPr>
              <m:t>I</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1</m:t>
        </m:r>
      </m:oMath>
      <w:r>
        <w:t xml:space="preserve"> if infected and </w:t>
      </w:r>
      <m:oMath>
        <m:sSub>
          <m:sSubPr>
            <m:ctrlPr>
              <w:rPr>
                <w:rFonts w:ascii="Cambria Math" w:hAnsi="Cambria Math"/>
              </w:rPr>
            </m:ctrlPr>
          </m:sSubPr>
          <m:e>
            <m:r>
              <w:rPr>
                <w:rFonts w:ascii="Cambria Math" w:hAnsi="Cambria Math"/>
              </w:rPr>
              <m:t>I</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0</m:t>
        </m:r>
      </m:oMath>
      <w:r>
        <w:t xml:space="preserve"> if uninfected.</w:t>
      </w:r>
    </w:p>
    <w:p w14:paraId="1EE40816" w14:textId="77777777" w:rsidR="0095436D" w:rsidRDefault="00000000">
      <w:pPr>
        <w:pStyle w:val="BodyText"/>
      </w:pPr>
      <w:r>
        <w:t xml:space="preserve">The additional vaccination dose for person </w:t>
      </w:r>
      <m:oMath>
        <m:r>
          <w:rPr>
            <w:rFonts w:ascii="Cambria Math" w:hAnsi="Cambria Math"/>
          </w:rPr>
          <m:t>j</m:t>
        </m:r>
      </m:oMath>
      <w:r>
        <w:t xml:space="preserve"> in week </w:t>
      </w:r>
      <m:oMath>
        <m:r>
          <w:rPr>
            <w:rFonts w:ascii="Cambria Math" w:hAnsi="Cambria Math"/>
          </w:rPr>
          <m:t>k</m:t>
        </m:r>
      </m:oMath>
      <w:r>
        <w:t xml:space="preserve">, denoted by </w:t>
      </w:r>
      <m:oMath>
        <m:sSub>
          <m:sSubPr>
            <m:ctrlPr>
              <w:rPr>
                <w:rFonts w:ascii="Cambria Math" w:hAnsi="Cambria Math"/>
              </w:rPr>
            </m:ctrlPr>
          </m:sSubPr>
          <m:e>
            <m:r>
              <w:rPr>
                <w:rFonts w:ascii="Cambria Math" w:hAnsi="Cambria Math"/>
              </w:rPr>
              <m:t>V</m:t>
            </m:r>
          </m:e>
          <m:sub>
            <m:r>
              <w:rPr>
                <w:rFonts w:ascii="Cambria Math" w:hAnsi="Cambria Math"/>
              </w:rPr>
              <m:t>j</m:t>
            </m:r>
            <m:r>
              <m:rPr>
                <m:sty m:val="p"/>
              </m:rPr>
              <w:rPr>
                <w:rFonts w:ascii="Cambria Math" w:hAnsi="Cambria Math"/>
              </w:rPr>
              <m:t>,</m:t>
            </m:r>
            <m:r>
              <w:rPr>
                <w:rFonts w:ascii="Cambria Math" w:hAnsi="Cambria Math"/>
              </w:rPr>
              <m:t>k</m:t>
            </m:r>
          </m:sub>
        </m:sSub>
      </m:oMath>
      <w:r>
        <w:t xml:space="preserve">, was </w:t>
      </w:r>
      <m:oMath>
        <m:sSub>
          <m:sSubPr>
            <m:ctrlPr>
              <w:rPr>
                <w:rFonts w:ascii="Cambria Math" w:hAnsi="Cambria Math"/>
              </w:rPr>
            </m:ctrlPr>
          </m:sSubPr>
          <m:e>
            <m:r>
              <w:rPr>
                <w:rFonts w:ascii="Cambria Math" w:hAnsi="Cambria Math"/>
              </w:rPr>
              <m:t>V</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Bern</m:t>
        </m:r>
        <m:d>
          <m:dPr>
            <m:ctrlPr>
              <w:rPr>
                <w:rFonts w:ascii="Cambria Math" w:hAnsi="Cambria Math"/>
              </w:rPr>
            </m:ctrlPr>
          </m:dPr>
          <m:e>
            <m:r>
              <m:rPr>
                <m:sty m:val="p"/>
              </m:rPr>
              <w:rPr>
                <w:rFonts w:ascii="Cambria Math" w:hAnsi="Cambria Math"/>
              </w:rPr>
              <m:t>Pr</m:t>
            </m:r>
            <m:d>
              <m:dPr>
                <m:ctrlPr>
                  <w:rPr>
                    <w:rFonts w:ascii="Cambria Math" w:hAnsi="Cambria Math"/>
                  </w:rPr>
                </m:ctrlPr>
              </m:dPr>
              <m:e>
                <m:sSubSup>
                  <m:sSubSupPr>
                    <m:ctrlPr>
                      <w:rPr>
                        <w:rFonts w:ascii="Cambria Math" w:hAnsi="Cambria Math"/>
                      </w:rPr>
                    </m:ctrlPr>
                  </m:sSubSupPr>
                  <m:e>
                    <m:r>
                      <w:rPr>
                        <w:rFonts w:ascii="Cambria Math" w:hAnsi="Cambria Math"/>
                      </w:rPr>
                      <m:t>D</m:t>
                    </m:r>
                  </m:e>
                  <m:sub>
                    <m:r>
                      <w:rPr>
                        <w:rFonts w:ascii="Cambria Math" w:hAnsi="Cambria Math"/>
                      </w:rPr>
                      <m:t>j</m:t>
                    </m:r>
                    <m:r>
                      <m:rPr>
                        <m:sty m:val="p"/>
                      </m:rPr>
                      <w:rPr>
                        <w:rFonts w:ascii="Cambria Math" w:hAnsi="Cambria Math"/>
                      </w:rPr>
                      <m:t>,</m:t>
                    </m:r>
                    <m:r>
                      <w:rPr>
                        <w:rFonts w:ascii="Cambria Math" w:hAnsi="Cambria Math"/>
                      </w:rPr>
                      <m:t>k</m:t>
                    </m:r>
                  </m:sub>
                  <m:sup>
                    <m:r>
                      <m:rPr>
                        <m:sty m:val="p"/>
                      </m:rPr>
                      <w:rPr>
                        <w:rFonts w:ascii="Cambria Math" w:hAnsi="Cambria Math"/>
                      </w:rPr>
                      <m:t>'</m:t>
                    </m:r>
                  </m:sup>
                </m:sSubSup>
              </m:e>
            </m:d>
          </m:e>
        </m:d>
      </m:oMath>
      <w:r>
        <w:t>. An additional vaccination dose does not impact protection until the following week, thus</w:t>
      </w:r>
    </w:p>
    <w:p w14:paraId="1EE40817" w14:textId="77777777" w:rsidR="0095436D" w:rsidRDefault="00000000">
      <w:pPr>
        <w:pStyle w:val="BodyText"/>
      </w:pPr>
      <m:oMathPara>
        <m:oMathParaPr>
          <m:jc m:val="center"/>
        </m:oMathParaPr>
        <m:oMath>
          <m:sSub>
            <m:sSubPr>
              <m:ctrlPr>
                <w:rPr>
                  <w:rFonts w:ascii="Cambria Math" w:hAnsi="Cambria Math"/>
                </w:rPr>
              </m:ctrlPr>
            </m:sSubPr>
            <m:e>
              <m:r>
                <w:rPr>
                  <w:rFonts w:ascii="Cambria Math" w:hAnsi="Cambria Math"/>
                </w:rPr>
                <m:t>D</m:t>
              </m:r>
            </m:e>
            <m:sub>
              <m:r>
                <w:rPr>
                  <w:rFonts w:ascii="Cambria Math" w:hAnsi="Cambria Math"/>
                </w:rPr>
                <m:t>j</m:t>
              </m:r>
              <m:r>
                <m:rPr>
                  <m:sty m:val="p"/>
                </m:rPr>
                <w:rPr>
                  <w:rFonts w:ascii="Cambria Math" w:hAnsi="Cambria Math"/>
                </w:rPr>
                <m:t>,</m:t>
              </m:r>
              <m:r>
                <w:rPr>
                  <w:rFonts w:ascii="Cambria Math" w:hAnsi="Cambria Math"/>
                </w:rPr>
                <m:t>k</m:t>
              </m:r>
              <m:r>
                <m:rPr>
                  <m:sty m:val="p"/>
                </m:rPr>
                <w:rPr>
                  <w:rFonts w:ascii="Cambria Math" w:hAnsi="Cambria Math"/>
                </w:rPr>
                <m:t>+</m:t>
              </m:r>
              <m:r>
                <w:rPr>
                  <w:rFonts w:ascii="Cambria Math" w:hAnsi="Cambria Math"/>
                </w:rPr>
                <m:t>1</m:t>
              </m:r>
            </m:sub>
          </m:sSub>
          <m:r>
            <m:rPr>
              <m:sty m:val="p"/>
            </m:rPr>
            <w:rPr>
              <w:rFonts w:ascii="Cambria Math" w:hAnsi="Cambria Math"/>
            </w:rPr>
            <m:t>=</m:t>
          </m:r>
          <m:d>
            <m:dPr>
              <m:begChr m:val="{"/>
              <m:endChr m:val=""/>
              <m:ctrlPr>
                <w:rPr>
                  <w:rFonts w:ascii="Cambria Math" w:hAnsi="Cambria Math"/>
                </w:rPr>
              </m:ctrlPr>
            </m:dPr>
            <m:e>
              <m:m>
                <m:mPr>
                  <m:plcHide m:val="1"/>
                  <m:mcs>
                    <m:mc>
                      <m:mcPr>
                        <m:count m:val="2"/>
                        <m:mcJc m:val="left"/>
                      </m:mcPr>
                    </m:mc>
                  </m:mcs>
                  <m:ctrlPr>
                    <w:rPr>
                      <w:rFonts w:ascii="Cambria Math" w:hAnsi="Cambria Math"/>
                    </w:rPr>
                  </m:ctrlPr>
                </m:mPr>
                <m:mr>
                  <m:e>
                    <m:sSub>
                      <m:sSubPr>
                        <m:ctrlPr>
                          <w:rPr>
                            <w:rFonts w:ascii="Cambria Math" w:hAnsi="Cambria Math"/>
                          </w:rPr>
                        </m:ctrlPr>
                      </m:sSubPr>
                      <m:e>
                        <m:r>
                          <w:rPr>
                            <w:rFonts w:ascii="Cambria Math" w:hAnsi="Cambria Math"/>
                          </w:rPr>
                          <m:t>D</m:t>
                        </m:r>
                      </m:e>
                      <m:sub>
                        <m:r>
                          <w:rPr>
                            <w:rFonts w:ascii="Cambria Math" w:hAnsi="Cambria Math"/>
                          </w:rPr>
                          <m:t>j</m:t>
                        </m:r>
                        <m:r>
                          <m:rPr>
                            <m:sty m:val="p"/>
                          </m:rPr>
                          <w:rPr>
                            <w:rFonts w:ascii="Cambria Math" w:hAnsi="Cambria Math"/>
                          </w:rPr>
                          <m:t>,</m:t>
                        </m:r>
                        <m:r>
                          <w:rPr>
                            <w:rFonts w:ascii="Cambria Math" w:hAnsi="Cambria Math"/>
                          </w:rPr>
                          <m:t>k</m:t>
                        </m:r>
                      </m:sub>
                    </m:sSub>
                  </m:e>
                  <m:e>
                    <m:r>
                      <m:rPr>
                        <m:nor/>
                      </m:rPr>
                      <m:t>if</m:t>
                    </m:r>
                    <m:r>
                      <w:rPr>
                        <w:rFonts w:ascii="Cambria Math" w:hAnsi="Cambria Math"/>
                      </w:rPr>
                      <m:t>  </m:t>
                    </m:r>
                    <m:sSub>
                      <m:sSubPr>
                        <m:ctrlPr>
                          <w:rPr>
                            <w:rFonts w:ascii="Cambria Math" w:hAnsi="Cambria Math"/>
                          </w:rPr>
                        </m:ctrlPr>
                      </m:sSubPr>
                      <m:e>
                        <m:r>
                          <w:rPr>
                            <w:rFonts w:ascii="Cambria Math" w:hAnsi="Cambria Math"/>
                          </w:rPr>
                          <m:t>V</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0</m:t>
                    </m:r>
                  </m:e>
                </m:mr>
                <m:mr>
                  <m:e>
                    <m:sSubSup>
                      <m:sSubSupPr>
                        <m:ctrlPr>
                          <w:rPr>
                            <w:rFonts w:ascii="Cambria Math" w:hAnsi="Cambria Math"/>
                          </w:rPr>
                        </m:ctrlPr>
                      </m:sSubSupPr>
                      <m:e>
                        <m:r>
                          <w:rPr>
                            <w:rFonts w:ascii="Cambria Math" w:hAnsi="Cambria Math"/>
                          </w:rPr>
                          <m:t>D</m:t>
                        </m:r>
                      </m:e>
                      <m:sub>
                        <m:r>
                          <w:rPr>
                            <w:rFonts w:ascii="Cambria Math" w:hAnsi="Cambria Math"/>
                          </w:rPr>
                          <m:t>j</m:t>
                        </m:r>
                        <m:r>
                          <m:rPr>
                            <m:sty m:val="p"/>
                          </m:rPr>
                          <w:rPr>
                            <w:rFonts w:ascii="Cambria Math" w:hAnsi="Cambria Math"/>
                          </w:rPr>
                          <m:t>,</m:t>
                        </m:r>
                        <m:r>
                          <w:rPr>
                            <w:rFonts w:ascii="Cambria Math" w:hAnsi="Cambria Math"/>
                          </w:rPr>
                          <m:t>k</m:t>
                        </m:r>
                      </m:sub>
                      <m:sup>
                        <m:r>
                          <m:rPr>
                            <m:sty m:val="p"/>
                          </m:rPr>
                          <w:rPr>
                            <w:rFonts w:ascii="Cambria Math" w:hAnsi="Cambria Math"/>
                          </w:rPr>
                          <m:t>'</m:t>
                        </m:r>
                      </m:sup>
                    </m:sSubSup>
                  </m:e>
                  <m:e>
                    <m:r>
                      <m:rPr>
                        <m:nor/>
                      </m:rPr>
                      <m:t>if</m:t>
                    </m:r>
                    <m:r>
                      <w:rPr>
                        <w:rFonts w:ascii="Cambria Math" w:hAnsi="Cambria Math"/>
                      </w:rPr>
                      <m:t>  </m:t>
                    </m:r>
                    <m:sSub>
                      <m:sSubPr>
                        <m:ctrlPr>
                          <w:rPr>
                            <w:rFonts w:ascii="Cambria Math" w:hAnsi="Cambria Math"/>
                          </w:rPr>
                        </m:ctrlPr>
                      </m:sSubPr>
                      <m:e>
                        <m:r>
                          <w:rPr>
                            <w:rFonts w:ascii="Cambria Math" w:hAnsi="Cambria Math"/>
                          </w:rPr>
                          <m:t>V</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1</m:t>
                    </m:r>
                    <m:r>
                      <m:rPr>
                        <m:sty m:val="p"/>
                      </m:rPr>
                      <w:rPr>
                        <w:rFonts w:ascii="Cambria Math" w:hAnsi="Cambria Math"/>
                      </w:rPr>
                      <m:t>.</m:t>
                    </m:r>
                  </m:e>
                </m:mr>
              </m:m>
            </m:e>
          </m:d>
        </m:oMath>
      </m:oMathPara>
    </w:p>
    <w:p w14:paraId="1EE40818" w14:textId="77777777" w:rsidR="0095436D" w:rsidRDefault="00000000">
      <w:pPr>
        <w:pStyle w:val="FirstParagraph"/>
      </w:pPr>
      <w:r>
        <w:lastRenderedPageBreak/>
        <w:t>Sixteen different parameter sets were used to generate historical data. These consisted of all combinations of two definitions of VP waning, two definitions of IP waning, and four definitions of hybrid protection.</w:t>
      </w:r>
    </w:p>
    <w:p w14:paraId="1EE40819" w14:textId="77777777" w:rsidR="0095436D" w:rsidRDefault="00000000">
      <w:pPr>
        <w:pStyle w:val="BodyText"/>
      </w:pPr>
      <w:r>
        <w:t>A total of 200 populations were created for each of the four parameter sets.</w:t>
      </w:r>
    </w:p>
    <w:p w14:paraId="1EE4081A" w14:textId="77777777" w:rsidR="0095436D" w:rsidRDefault="00000000">
      <w:pPr>
        <w:pStyle w:val="Heading3"/>
      </w:pPr>
      <w:bookmarkStart w:id="12" w:name="example-plot-of-protection"/>
      <w:bookmarkStart w:id="13" w:name="_Toc172030368"/>
      <w:bookmarkEnd w:id="10"/>
      <w:r>
        <w:t>Example plot of protection</w:t>
      </w:r>
      <w:bookmarkEnd w:id="13"/>
    </w:p>
    <w:p w14:paraId="1EE4081B" w14:textId="77777777" w:rsidR="0095436D" w:rsidRDefault="00000000">
      <w:pPr>
        <w:pStyle w:val="FirstParagraph"/>
      </w:pPr>
      <w:r>
        <w:t>The image below is an example from a simulation of 100 people to show the changing immunity over time prior to the TND (Figure S12).</w:t>
      </w:r>
    </w:p>
    <w:p w14:paraId="1EE4081C" w14:textId="77777777" w:rsidR="0095436D" w:rsidRDefault="00000000">
      <w:pPr>
        <w:pStyle w:val="CaptionedFigure"/>
      </w:pPr>
      <w:r>
        <w:rPr>
          <w:noProof/>
        </w:rPr>
        <w:lastRenderedPageBreak/>
        <w:drawing>
          <wp:inline distT="0" distB="0" distL="0" distR="0" wp14:anchorId="1EE409C9" wp14:editId="1EE409CA">
            <wp:extent cx="5334000" cy="6858000"/>
            <wp:effectExtent l="0" t="0" r="0" b="0"/>
            <wp:docPr id="58" name="Picture" descr="Figure S12: Example of protection trajectories during the historical period for 100 people."/>
            <wp:cNvGraphicFramePr/>
            <a:graphic xmlns:a="http://schemas.openxmlformats.org/drawingml/2006/main">
              <a:graphicData uri="http://schemas.openxmlformats.org/drawingml/2006/picture">
                <pic:pic xmlns:pic="http://schemas.openxmlformats.org/drawingml/2006/picture">
                  <pic:nvPicPr>
                    <pic:cNvPr id="59" name="Picture" descr="tnd_prior_infection_supplement_unedited_2024-07-16_files/figure-docx/imm.plot-1.png"/>
                    <pic:cNvPicPr>
                      <a:picLocks noChangeAspect="1" noChangeArrowheads="1"/>
                    </pic:cNvPicPr>
                  </pic:nvPicPr>
                  <pic:blipFill>
                    <a:blip r:embed="rId18"/>
                    <a:stretch>
                      <a:fillRect/>
                    </a:stretch>
                  </pic:blipFill>
                  <pic:spPr bwMode="auto">
                    <a:xfrm>
                      <a:off x="0" y="0"/>
                      <a:ext cx="5334000" cy="6858000"/>
                    </a:xfrm>
                    <a:prstGeom prst="rect">
                      <a:avLst/>
                    </a:prstGeom>
                    <a:noFill/>
                    <a:ln w="9525">
                      <a:noFill/>
                      <a:headEnd/>
                      <a:tailEnd/>
                    </a:ln>
                  </pic:spPr>
                </pic:pic>
              </a:graphicData>
            </a:graphic>
          </wp:inline>
        </w:drawing>
      </w:r>
    </w:p>
    <w:p w14:paraId="1EE4081D" w14:textId="77777777" w:rsidR="0095436D" w:rsidRDefault="00000000">
      <w:pPr>
        <w:pStyle w:val="ImageCaption"/>
      </w:pPr>
      <w:r>
        <w:t>Figure S12: Example of protection trajectories during the historical period for 100 people.</w:t>
      </w:r>
    </w:p>
    <w:p w14:paraId="1EE4081E" w14:textId="77777777" w:rsidR="0095436D" w:rsidRDefault="0095436D">
      <w:pPr>
        <w:pStyle w:val="BodyText"/>
      </w:pPr>
    </w:p>
    <w:p w14:paraId="1EE4081F" w14:textId="77777777" w:rsidR="0095436D" w:rsidRDefault="00000000">
      <w:pPr>
        <w:pStyle w:val="Heading2"/>
      </w:pPr>
      <w:bookmarkStart w:id="14" w:name="part-2-analytic-period"/>
      <w:bookmarkStart w:id="15" w:name="_Toc172030369"/>
      <w:bookmarkEnd w:id="2"/>
      <w:bookmarkEnd w:id="12"/>
      <w:r>
        <w:t>Part 2: analytic period</w:t>
      </w:r>
      <w:bookmarkEnd w:id="15"/>
    </w:p>
    <w:p w14:paraId="1EE40820" w14:textId="77777777" w:rsidR="0095436D" w:rsidRDefault="00000000">
      <w:pPr>
        <w:pStyle w:val="FirstParagraph"/>
      </w:pPr>
      <w:r>
        <w:t>For the analytic period, eight parameters were varied:</w:t>
      </w:r>
    </w:p>
    <w:p w14:paraId="1EE40821" w14:textId="77777777" w:rsidR="0095436D" w:rsidRDefault="00000000">
      <w:pPr>
        <w:pStyle w:val="Compact"/>
        <w:numPr>
          <w:ilvl w:val="0"/>
          <w:numId w:val="4"/>
        </w:numPr>
      </w:pPr>
      <w:r>
        <w:lastRenderedPageBreak/>
        <w:t>two definitions of infection-induced protection;</w:t>
      </w:r>
    </w:p>
    <w:p w14:paraId="1EE40822" w14:textId="77777777" w:rsidR="0095436D" w:rsidRDefault="00000000">
      <w:pPr>
        <w:pStyle w:val="Compact"/>
        <w:numPr>
          <w:ilvl w:val="0"/>
          <w:numId w:val="4"/>
        </w:numPr>
      </w:pPr>
      <w:r>
        <w:t>two definitions of vaccination-induced protection;</w:t>
      </w:r>
    </w:p>
    <w:p w14:paraId="1EE40823" w14:textId="77777777" w:rsidR="0095436D" w:rsidRDefault="00000000">
      <w:pPr>
        <w:pStyle w:val="Compact"/>
        <w:numPr>
          <w:ilvl w:val="0"/>
          <w:numId w:val="4"/>
        </w:numPr>
      </w:pPr>
      <w:r>
        <w:t>two definitions of hybrid protection;</w:t>
      </w:r>
    </w:p>
    <w:p w14:paraId="1EE40824" w14:textId="77777777" w:rsidR="0095436D" w:rsidRDefault="00000000">
      <w:pPr>
        <w:pStyle w:val="Compact"/>
        <w:numPr>
          <w:ilvl w:val="0"/>
          <w:numId w:val="4"/>
        </w:numPr>
      </w:pPr>
      <w:r>
        <w:t>four case distributions presented (constant 2%, constant 4%, 2% with a 4% peak, 2% with a 6% peak);</w:t>
      </w:r>
    </w:p>
    <w:p w14:paraId="1EE40825" w14:textId="77777777" w:rsidR="0095436D" w:rsidRDefault="00000000">
      <w:pPr>
        <w:pStyle w:val="Compact"/>
        <w:numPr>
          <w:ilvl w:val="0"/>
          <w:numId w:val="4"/>
        </w:numPr>
      </w:pPr>
      <w:r>
        <w:t>two outcomes (symptomatic infection or severe disease);</w:t>
      </w:r>
    </w:p>
    <w:p w14:paraId="1EE40826" w14:textId="77777777" w:rsidR="0095436D" w:rsidRDefault="00000000">
      <w:pPr>
        <w:pStyle w:val="Compact"/>
        <w:numPr>
          <w:ilvl w:val="0"/>
          <w:numId w:val="4"/>
        </w:numPr>
      </w:pPr>
      <w:r>
        <w:t>two vaccination percentages for the population (10%, 25%);</w:t>
      </w:r>
    </w:p>
    <w:p w14:paraId="1EE40827" w14:textId="77777777" w:rsidR="0095436D" w:rsidRDefault="00000000">
      <w:pPr>
        <w:pStyle w:val="Compact"/>
        <w:numPr>
          <w:ilvl w:val="0"/>
          <w:numId w:val="4"/>
        </w:numPr>
      </w:pPr>
      <w:r>
        <w:t>three time intervals for the vaccination rollout (weeks 1-12 [before the case peak], weeks 11-22 [during the case peak], or weeks 21-32 [after the case peak]); and</w:t>
      </w:r>
    </w:p>
    <w:p w14:paraId="1EE40828" w14:textId="77777777" w:rsidR="0095436D" w:rsidRDefault="00000000">
      <w:pPr>
        <w:pStyle w:val="Compact"/>
        <w:numPr>
          <w:ilvl w:val="0"/>
          <w:numId w:val="4"/>
        </w:numPr>
      </w:pPr>
      <w:r>
        <w:t>three time intervals for the TND against symptomatic infection (weeks 1-12 [before the case peak], weeks 11-22 [during the case peak], or weeks 21-32 [after the case peak]; TND against severe disease only one time interval of weeks 13-32).</w:t>
      </w:r>
    </w:p>
    <w:p w14:paraId="1EE40829" w14:textId="77777777" w:rsidR="0095436D" w:rsidRDefault="00000000">
      <w:pPr>
        <w:pStyle w:val="FirstParagraph"/>
      </w:pPr>
      <w:r>
        <w:t xml:space="preserve">The formulas for </w:t>
      </w:r>
      <m:oMath>
        <m:r>
          <m:rPr>
            <m:sty m:val="p"/>
          </m:rPr>
          <w:rPr>
            <w:rFonts w:ascii="Cambria Math" w:hAnsi="Cambria Math"/>
          </w:rPr>
          <m:t>Pr</m:t>
        </m:r>
        <m:d>
          <m:dPr>
            <m:ctrlPr>
              <w:rPr>
                <w:rFonts w:ascii="Cambria Math" w:hAnsi="Cambria Math"/>
              </w:rPr>
            </m:ctrlPr>
          </m:dPr>
          <m:e>
            <m:sSub>
              <m:sSubPr>
                <m:ctrlPr>
                  <w:rPr>
                    <w:rFonts w:ascii="Cambria Math" w:hAnsi="Cambria Math"/>
                  </w:rPr>
                </m:ctrlPr>
              </m:sSubPr>
              <m:e>
                <m:r>
                  <w:rPr>
                    <w:rFonts w:ascii="Cambria Math" w:hAnsi="Cambria Math"/>
                  </w:rPr>
                  <m:t>I</m:t>
                </m:r>
              </m:e>
              <m:sub>
                <m:r>
                  <w:rPr>
                    <w:rFonts w:ascii="Cambria Math" w:hAnsi="Cambria Math"/>
                  </w:rPr>
                  <m:t>j</m:t>
                </m:r>
                <m:r>
                  <m:rPr>
                    <m:sty m:val="p"/>
                  </m:rPr>
                  <w:rPr>
                    <w:rFonts w:ascii="Cambria Math" w:hAnsi="Cambria Math"/>
                  </w:rPr>
                  <m:t>,</m:t>
                </m:r>
                <m:r>
                  <w:rPr>
                    <w:rFonts w:ascii="Cambria Math" w:hAnsi="Cambria Math"/>
                  </w:rPr>
                  <m:t>k</m:t>
                </m:r>
              </m:sub>
            </m:sSub>
          </m:e>
        </m:d>
      </m:oMath>
      <w:r>
        <w:t xml:space="preserve"> and </w:t>
      </w:r>
      <m:oMath>
        <m:r>
          <m:rPr>
            <m:sty m:val="p"/>
          </m:rPr>
          <w:rPr>
            <w:rFonts w:ascii="Cambria Math" w:hAnsi="Cambria Math"/>
          </w:rPr>
          <m:t>Pr</m:t>
        </m:r>
        <m:d>
          <m:dPr>
            <m:ctrlPr>
              <w:rPr>
                <w:rFonts w:ascii="Cambria Math" w:hAnsi="Cambria Math"/>
              </w:rPr>
            </m:ctrlPr>
          </m:dPr>
          <m:e>
            <m:sSubSup>
              <m:sSubSupPr>
                <m:ctrlPr>
                  <w:rPr>
                    <w:rFonts w:ascii="Cambria Math" w:hAnsi="Cambria Math"/>
                  </w:rPr>
                </m:ctrlPr>
              </m:sSubSupPr>
              <m:e>
                <m:r>
                  <w:rPr>
                    <w:rFonts w:ascii="Cambria Math" w:hAnsi="Cambria Math"/>
                  </w:rPr>
                  <m:t>D</m:t>
                </m:r>
              </m:e>
              <m:sub>
                <m:r>
                  <w:rPr>
                    <w:rFonts w:ascii="Cambria Math" w:hAnsi="Cambria Math"/>
                  </w:rPr>
                  <m:t>j</m:t>
                </m:r>
                <m:r>
                  <m:rPr>
                    <m:sty m:val="p"/>
                  </m:rPr>
                  <w:rPr>
                    <w:rFonts w:ascii="Cambria Math" w:hAnsi="Cambria Math"/>
                  </w:rPr>
                  <m:t>,</m:t>
                </m:r>
                <m:r>
                  <w:rPr>
                    <w:rFonts w:ascii="Cambria Math" w:hAnsi="Cambria Math"/>
                  </w:rPr>
                  <m:t>k</m:t>
                </m:r>
              </m:sub>
              <m:sup>
                <m:r>
                  <m:rPr>
                    <m:sty m:val="p"/>
                  </m:rPr>
                  <w:rPr>
                    <w:rFonts w:ascii="Cambria Math" w:hAnsi="Cambria Math"/>
                  </w:rPr>
                  <m:t>'</m:t>
                </m:r>
              </m:sup>
            </m:sSubSup>
            <m:r>
              <m:rPr>
                <m:sty m:val="p"/>
              </m:rPr>
              <w:rPr>
                <w:rFonts w:ascii="Cambria Math" w:hAnsi="Cambria Math"/>
              </w:rPr>
              <m:t>∣</m:t>
            </m:r>
            <m:sSub>
              <m:sSubPr>
                <m:ctrlPr>
                  <w:rPr>
                    <w:rFonts w:ascii="Cambria Math" w:hAnsi="Cambria Math"/>
                  </w:rPr>
                </m:ctrlPr>
              </m:sSubPr>
              <m:e>
                <m:r>
                  <w:rPr>
                    <w:rFonts w:ascii="Cambria Math" w:hAnsi="Cambria Math"/>
                  </w:rPr>
                  <m:t>D</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sSubSup>
              <m:sSubSupPr>
                <m:ctrlPr>
                  <w:rPr>
                    <w:rFonts w:ascii="Cambria Math" w:hAnsi="Cambria Math"/>
                  </w:rPr>
                </m:ctrlPr>
              </m:sSubSupPr>
              <m:e>
                <m:r>
                  <w:rPr>
                    <w:rFonts w:ascii="Cambria Math" w:hAnsi="Cambria Math"/>
                  </w:rPr>
                  <m:t>I</m:t>
                </m:r>
              </m:e>
              <m:sub>
                <m:r>
                  <w:rPr>
                    <w:rFonts w:ascii="Cambria Math" w:hAnsi="Cambria Math"/>
                  </w:rPr>
                  <m:t>j</m:t>
                </m:r>
                <m:r>
                  <m:rPr>
                    <m:sty m:val="p"/>
                  </m:rPr>
                  <w:rPr>
                    <w:rFonts w:ascii="Cambria Math" w:hAnsi="Cambria Math"/>
                  </w:rPr>
                  <m:t>,</m:t>
                </m:r>
                <m:r>
                  <w:rPr>
                    <w:rFonts w:ascii="Cambria Math" w:hAnsi="Cambria Math"/>
                  </w:rPr>
                  <m:t>k</m:t>
                </m:r>
              </m:sub>
              <m:sup>
                <m:r>
                  <m:rPr>
                    <m:sty m:val="p"/>
                  </m:rPr>
                  <w:rPr>
                    <w:rFonts w:ascii="Cambria Math" w:hAnsi="Cambria Math"/>
                  </w:rPr>
                  <m:t>*</m:t>
                </m:r>
              </m:sup>
            </m:sSubSup>
          </m:e>
        </m:d>
      </m:oMath>
      <w:r>
        <w:t xml:space="preserve"> remained the same. Simulations were run for each combination for a total of 768 combinations. Each simulated population was used five times for each parameter set.</w:t>
      </w:r>
    </w:p>
    <w:p w14:paraId="1EE4082A" w14:textId="77777777" w:rsidR="0095436D" w:rsidRDefault="0095436D">
      <w:pPr>
        <w:pStyle w:val="BodyText"/>
      </w:pPr>
    </w:p>
    <w:p w14:paraId="1EE4082B" w14:textId="77777777" w:rsidR="0095436D" w:rsidRDefault="00000000">
      <w:pPr>
        <w:pStyle w:val="Heading3"/>
      </w:pPr>
      <w:bookmarkStart w:id="16" w:name="probability-of-cases-1"/>
      <w:bookmarkStart w:id="17" w:name="_Toc172030370"/>
      <w:r>
        <w:t>Probability of cases</w:t>
      </w:r>
      <w:bookmarkEnd w:id="17"/>
    </w:p>
    <w:p w14:paraId="1EE4082C" w14:textId="77777777" w:rsidR="0095436D" w:rsidRDefault="00000000">
      <w:pPr>
        <w:pStyle w:val="FirstParagraph"/>
      </w:pPr>
      <w:r>
        <w:t>Four case distributions were simulated (Figure S13). As before, the probabilities assumed no existing protection.</w:t>
      </w:r>
    </w:p>
    <w:p w14:paraId="1EE4082D" w14:textId="77777777" w:rsidR="0095436D" w:rsidRDefault="00000000">
      <w:pPr>
        <w:pStyle w:val="CaptionedFigure"/>
      </w:pPr>
      <w:r>
        <w:rPr>
          <w:noProof/>
        </w:rPr>
        <w:drawing>
          <wp:inline distT="0" distB="0" distL="0" distR="0" wp14:anchorId="1EE409CB" wp14:editId="1EE409CC">
            <wp:extent cx="4620126" cy="2772075"/>
            <wp:effectExtent l="0" t="0" r="0" b="0"/>
            <wp:docPr id="63" name="Picture" descr="Figure S13: Case distributions during the analytic period."/>
            <wp:cNvGraphicFramePr/>
            <a:graphic xmlns:a="http://schemas.openxmlformats.org/drawingml/2006/main">
              <a:graphicData uri="http://schemas.openxmlformats.org/drawingml/2006/picture">
                <pic:pic xmlns:pic="http://schemas.openxmlformats.org/drawingml/2006/picture">
                  <pic:nvPicPr>
                    <pic:cNvPr id="64" name="Picture" descr="tnd_prior_infection_supplement_unedited_2024-07-16_files/figure-docx/ap.probs-1.png"/>
                    <pic:cNvPicPr>
                      <a:picLocks noChangeAspect="1" noChangeArrowheads="1"/>
                    </pic:cNvPicPr>
                  </pic:nvPicPr>
                  <pic:blipFill>
                    <a:blip r:embed="rId19"/>
                    <a:stretch>
                      <a:fillRect/>
                    </a:stretch>
                  </pic:blipFill>
                  <pic:spPr bwMode="auto">
                    <a:xfrm>
                      <a:off x="0" y="0"/>
                      <a:ext cx="4620126" cy="2772075"/>
                    </a:xfrm>
                    <a:prstGeom prst="rect">
                      <a:avLst/>
                    </a:prstGeom>
                    <a:noFill/>
                    <a:ln w="9525">
                      <a:noFill/>
                      <a:headEnd/>
                      <a:tailEnd/>
                    </a:ln>
                  </pic:spPr>
                </pic:pic>
              </a:graphicData>
            </a:graphic>
          </wp:inline>
        </w:drawing>
      </w:r>
    </w:p>
    <w:p w14:paraId="1EE4082E" w14:textId="77777777" w:rsidR="0095436D" w:rsidRDefault="00000000">
      <w:pPr>
        <w:pStyle w:val="ImageCaption"/>
      </w:pPr>
      <w:r>
        <w:t>Figure S13: Case distributions during the analytic period.</w:t>
      </w:r>
    </w:p>
    <w:p w14:paraId="1EE4082F" w14:textId="77777777" w:rsidR="0095436D" w:rsidRDefault="0095436D">
      <w:pPr>
        <w:pStyle w:val="BodyText"/>
      </w:pPr>
    </w:p>
    <w:p w14:paraId="1EE40830" w14:textId="77777777" w:rsidR="0095436D" w:rsidRDefault="00000000">
      <w:pPr>
        <w:pStyle w:val="Heading3"/>
      </w:pPr>
      <w:bookmarkStart w:id="18" w:name="probability-of-vaccination-1"/>
      <w:bookmarkStart w:id="19" w:name="_Toc172030371"/>
      <w:bookmarkEnd w:id="16"/>
      <w:r>
        <w:lastRenderedPageBreak/>
        <w:t>Probability of vaccination</w:t>
      </w:r>
      <w:bookmarkEnd w:id="19"/>
    </w:p>
    <w:p w14:paraId="1EE40831" w14:textId="77777777" w:rsidR="0095436D" w:rsidRDefault="00000000">
      <w:pPr>
        <w:pStyle w:val="FirstParagraph"/>
      </w:pPr>
      <w:r>
        <w:t>The vaccination rollout distribution was generated from a lognormal distribution with a mean of 1.5 and a standard deviation of 0.5 and could occur before the mode in the case distribution (weeks 1-12), during the mode in the case distribution (weeks 11-22), or after the mode in the case distribution (weeks 21-32) (Figure S14).</w:t>
      </w:r>
    </w:p>
    <w:p w14:paraId="1EE40832" w14:textId="77777777" w:rsidR="0095436D" w:rsidRDefault="00000000">
      <w:pPr>
        <w:pStyle w:val="CaptionedFigure"/>
      </w:pPr>
      <w:r>
        <w:rPr>
          <w:noProof/>
        </w:rPr>
        <w:drawing>
          <wp:inline distT="0" distB="0" distL="0" distR="0" wp14:anchorId="1EE409CD" wp14:editId="1EE409CE">
            <wp:extent cx="4620126" cy="5544151"/>
            <wp:effectExtent l="0" t="0" r="0" b="0"/>
            <wp:docPr id="67" name="Picture" descr="Figure S14: Distributions of vaccination coverage used in simulations."/>
            <wp:cNvGraphicFramePr/>
            <a:graphic xmlns:a="http://schemas.openxmlformats.org/drawingml/2006/main">
              <a:graphicData uri="http://schemas.openxmlformats.org/drawingml/2006/picture">
                <pic:pic xmlns:pic="http://schemas.openxmlformats.org/drawingml/2006/picture">
                  <pic:nvPicPr>
                    <pic:cNvPr id="68" name="Picture" descr="tnd_prior_infection_supplement_unedited_2024-07-16_files/figure-docx/ap.dists-1.png"/>
                    <pic:cNvPicPr>
                      <a:picLocks noChangeAspect="1" noChangeArrowheads="1"/>
                    </pic:cNvPicPr>
                  </pic:nvPicPr>
                  <pic:blipFill>
                    <a:blip r:embed="rId20"/>
                    <a:stretch>
                      <a:fillRect/>
                    </a:stretch>
                  </pic:blipFill>
                  <pic:spPr bwMode="auto">
                    <a:xfrm>
                      <a:off x="0" y="0"/>
                      <a:ext cx="4620126" cy="5544151"/>
                    </a:xfrm>
                    <a:prstGeom prst="rect">
                      <a:avLst/>
                    </a:prstGeom>
                    <a:noFill/>
                    <a:ln w="9525">
                      <a:noFill/>
                      <a:headEnd/>
                      <a:tailEnd/>
                    </a:ln>
                  </pic:spPr>
                </pic:pic>
              </a:graphicData>
            </a:graphic>
          </wp:inline>
        </w:drawing>
      </w:r>
    </w:p>
    <w:p w14:paraId="1EE40833" w14:textId="77777777" w:rsidR="0095436D" w:rsidRDefault="00000000">
      <w:pPr>
        <w:pStyle w:val="ImageCaption"/>
      </w:pPr>
      <w:r>
        <w:t>Figure S14: Distributions of vaccination coverage used in simulations.</w:t>
      </w:r>
    </w:p>
    <w:p w14:paraId="1EE40834" w14:textId="77777777" w:rsidR="0095436D" w:rsidRDefault="0095436D">
      <w:pPr>
        <w:pStyle w:val="BodyText"/>
      </w:pPr>
    </w:p>
    <w:p w14:paraId="1EE40835" w14:textId="77777777" w:rsidR="0095436D" w:rsidRDefault="00000000">
      <w:pPr>
        <w:pStyle w:val="FirstParagraph"/>
      </w:pPr>
      <w:r>
        <w:t>The total probability of vaccination over the 32-week period was set at 10% or 25% and the above curve was scaled to match (Figure S15).</w:t>
      </w:r>
    </w:p>
    <w:p w14:paraId="1EE40836" w14:textId="77777777" w:rsidR="0095436D" w:rsidRDefault="00000000">
      <w:pPr>
        <w:pStyle w:val="CaptionedFigure"/>
      </w:pPr>
      <w:r>
        <w:rPr>
          <w:noProof/>
        </w:rPr>
        <w:lastRenderedPageBreak/>
        <w:drawing>
          <wp:inline distT="0" distB="0" distL="0" distR="0" wp14:anchorId="1EE409CF" wp14:editId="1EE409D0">
            <wp:extent cx="5334000" cy="4572000"/>
            <wp:effectExtent l="0" t="0" r="0" b="0"/>
            <wp:docPr id="70" name="Picture" descr="Figure S15: Final weekly distributions of seasonal vaccination coverage used in simulations."/>
            <wp:cNvGraphicFramePr/>
            <a:graphic xmlns:a="http://schemas.openxmlformats.org/drawingml/2006/main">
              <a:graphicData uri="http://schemas.openxmlformats.org/drawingml/2006/picture">
                <pic:pic xmlns:pic="http://schemas.openxmlformats.org/drawingml/2006/picture">
                  <pic:nvPicPr>
                    <pic:cNvPr id="71" name="Picture" descr="tnd_prior_infection_supplement_unedited_2024-07-16_files/figure-docx/apvax.probs-1.png"/>
                    <pic:cNvPicPr>
                      <a:picLocks noChangeAspect="1" noChangeArrowheads="1"/>
                    </pic:cNvPicPr>
                  </pic:nvPicPr>
                  <pic:blipFill>
                    <a:blip r:embed="rId21"/>
                    <a:stretch>
                      <a:fillRect/>
                    </a:stretch>
                  </pic:blipFill>
                  <pic:spPr bwMode="auto">
                    <a:xfrm>
                      <a:off x="0" y="0"/>
                      <a:ext cx="5334000" cy="4572000"/>
                    </a:xfrm>
                    <a:prstGeom prst="rect">
                      <a:avLst/>
                    </a:prstGeom>
                    <a:noFill/>
                    <a:ln w="9525">
                      <a:noFill/>
                      <a:headEnd/>
                      <a:tailEnd/>
                    </a:ln>
                  </pic:spPr>
                </pic:pic>
              </a:graphicData>
            </a:graphic>
          </wp:inline>
        </w:drawing>
      </w:r>
    </w:p>
    <w:p w14:paraId="1EE40837" w14:textId="77777777" w:rsidR="0095436D" w:rsidRDefault="00000000">
      <w:pPr>
        <w:pStyle w:val="ImageCaption"/>
      </w:pPr>
      <w:r>
        <w:t>Figure S15: Final weekly distributions of seasonal vaccination coverage used in simulations.</w:t>
      </w:r>
    </w:p>
    <w:p w14:paraId="1EE40838" w14:textId="77777777" w:rsidR="0095436D" w:rsidRDefault="0095436D">
      <w:pPr>
        <w:pStyle w:val="BodyText"/>
      </w:pPr>
    </w:p>
    <w:p w14:paraId="1EE40839" w14:textId="77777777" w:rsidR="0095436D" w:rsidRDefault="00000000">
      <w:pPr>
        <w:pStyle w:val="Heading3"/>
      </w:pPr>
      <w:bookmarkStart w:id="20" w:name="symptoms"/>
      <w:bookmarkStart w:id="21" w:name="_Toc172030372"/>
      <w:bookmarkEnd w:id="18"/>
      <w:r>
        <w:t>Symptoms</w:t>
      </w:r>
      <w:bookmarkEnd w:id="21"/>
    </w:p>
    <w:p w14:paraId="1EE4083A" w14:textId="77777777" w:rsidR="0095436D" w:rsidRDefault="00000000">
      <w:pPr>
        <w:pStyle w:val="FirstParagraph"/>
      </w:pPr>
      <w:r>
        <w:t>For infected people, the expected probability of symptoms was 0.8 and for uninfected people, the probability of symptoms was 0.2. This parameter was varied by individual to introduce some randomness to an infected person’s (Figure S16) or uninfected person’s (Figure S17) proclivity to develop symptoms after an infection. Of note, for uninfected people, the likelihood of symptoms is defined as the probability of symptoms over the analytic period instead of the probability of symptoms for an infection event.</w:t>
      </w:r>
    </w:p>
    <w:p w14:paraId="1EE4083B" w14:textId="77777777" w:rsidR="0095436D" w:rsidRDefault="00000000">
      <w:pPr>
        <w:pStyle w:val="CaptionedFigure"/>
      </w:pPr>
      <w:r>
        <w:rPr>
          <w:noProof/>
        </w:rPr>
        <w:lastRenderedPageBreak/>
        <w:drawing>
          <wp:inline distT="0" distB="0" distL="0" distR="0" wp14:anchorId="1EE409D1" wp14:editId="1EE409D2">
            <wp:extent cx="4620126" cy="2772075"/>
            <wp:effectExtent l="0" t="0" r="0" b="0"/>
            <wp:docPr id="74" name="Picture" descr="Figure S16: Distribution of the probabilty of symptoms for an infected person during the week of infection."/>
            <wp:cNvGraphicFramePr/>
            <a:graphic xmlns:a="http://schemas.openxmlformats.org/drawingml/2006/main">
              <a:graphicData uri="http://schemas.openxmlformats.org/drawingml/2006/picture">
                <pic:pic xmlns:pic="http://schemas.openxmlformats.org/drawingml/2006/picture">
                  <pic:nvPicPr>
                    <pic:cNvPr id="75" name="Picture" descr="tnd_prior_infection_supplement_unedited_2024-07-16_files/figure-docx/pr.sx.i-1.png"/>
                    <pic:cNvPicPr>
                      <a:picLocks noChangeAspect="1" noChangeArrowheads="1"/>
                    </pic:cNvPicPr>
                  </pic:nvPicPr>
                  <pic:blipFill>
                    <a:blip r:embed="rId22"/>
                    <a:stretch>
                      <a:fillRect/>
                    </a:stretch>
                  </pic:blipFill>
                  <pic:spPr bwMode="auto">
                    <a:xfrm>
                      <a:off x="0" y="0"/>
                      <a:ext cx="4620126" cy="2772075"/>
                    </a:xfrm>
                    <a:prstGeom prst="rect">
                      <a:avLst/>
                    </a:prstGeom>
                    <a:noFill/>
                    <a:ln w="9525">
                      <a:noFill/>
                      <a:headEnd/>
                      <a:tailEnd/>
                    </a:ln>
                  </pic:spPr>
                </pic:pic>
              </a:graphicData>
            </a:graphic>
          </wp:inline>
        </w:drawing>
      </w:r>
    </w:p>
    <w:p w14:paraId="1EE4083C" w14:textId="77777777" w:rsidR="0095436D" w:rsidRDefault="00000000">
      <w:pPr>
        <w:pStyle w:val="ImageCaption"/>
      </w:pPr>
      <w:r>
        <w:t>Figure S16: Distribution of the probabilty of symptoms for an infected person during the week of infection.</w:t>
      </w:r>
    </w:p>
    <w:p w14:paraId="1EE4083D" w14:textId="77777777" w:rsidR="0095436D" w:rsidRDefault="0095436D">
      <w:pPr>
        <w:pStyle w:val="BodyText"/>
      </w:pPr>
    </w:p>
    <w:p w14:paraId="1EE4083E" w14:textId="77777777" w:rsidR="0095436D" w:rsidRDefault="00000000">
      <w:pPr>
        <w:pStyle w:val="CaptionedFigure"/>
      </w:pPr>
      <w:r>
        <w:rPr>
          <w:noProof/>
        </w:rPr>
        <w:drawing>
          <wp:inline distT="0" distB="0" distL="0" distR="0" wp14:anchorId="1EE409D3" wp14:editId="1EE409D4">
            <wp:extent cx="4620126" cy="2772075"/>
            <wp:effectExtent l="0" t="0" r="0" b="0"/>
            <wp:docPr id="77" name="Picture" descr="Figure S17: Distribution of the probabilty of symptoms for an uninfected person during the entire analytic period."/>
            <wp:cNvGraphicFramePr/>
            <a:graphic xmlns:a="http://schemas.openxmlformats.org/drawingml/2006/main">
              <a:graphicData uri="http://schemas.openxmlformats.org/drawingml/2006/picture">
                <pic:pic xmlns:pic="http://schemas.openxmlformats.org/drawingml/2006/picture">
                  <pic:nvPicPr>
                    <pic:cNvPr id="78" name="Picture" descr="tnd_prior_infection_supplement_unedited_2024-07-16_files/figure-docx/pr.sx.u-1.png"/>
                    <pic:cNvPicPr>
                      <a:picLocks noChangeAspect="1" noChangeArrowheads="1"/>
                    </pic:cNvPicPr>
                  </pic:nvPicPr>
                  <pic:blipFill>
                    <a:blip r:embed="rId23"/>
                    <a:stretch>
                      <a:fillRect/>
                    </a:stretch>
                  </pic:blipFill>
                  <pic:spPr bwMode="auto">
                    <a:xfrm>
                      <a:off x="0" y="0"/>
                      <a:ext cx="4620126" cy="2772075"/>
                    </a:xfrm>
                    <a:prstGeom prst="rect">
                      <a:avLst/>
                    </a:prstGeom>
                    <a:noFill/>
                    <a:ln w="9525">
                      <a:noFill/>
                      <a:headEnd/>
                      <a:tailEnd/>
                    </a:ln>
                  </pic:spPr>
                </pic:pic>
              </a:graphicData>
            </a:graphic>
          </wp:inline>
        </w:drawing>
      </w:r>
    </w:p>
    <w:p w14:paraId="1EE4083F" w14:textId="77777777" w:rsidR="0095436D" w:rsidRDefault="00000000">
      <w:pPr>
        <w:pStyle w:val="ImageCaption"/>
      </w:pPr>
      <w:r>
        <w:t>Figure S17: Distribution of the probabilty of symptoms for an uninfected person during the entire analytic period.</w:t>
      </w:r>
    </w:p>
    <w:p w14:paraId="1EE40840" w14:textId="77777777" w:rsidR="0095436D" w:rsidRDefault="0095436D">
      <w:pPr>
        <w:pStyle w:val="BodyText"/>
      </w:pPr>
    </w:p>
    <w:p w14:paraId="1EE40841" w14:textId="77777777" w:rsidR="0095436D" w:rsidRDefault="00000000">
      <w:pPr>
        <w:pStyle w:val="Heading3"/>
      </w:pPr>
      <w:bookmarkStart w:id="22" w:name="test-characteristics"/>
      <w:bookmarkStart w:id="23" w:name="_Toc172030373"/>
      <w:bookmarkEnd w:id="20"/>
      <w:r>
        <w:t>Test Characteristics</w:t>
      </w:r>
      <w:bookmarkEnd w:id="23"/>
    </w:p>
    <w:p w14:paraId="1EE40842" w14:textId="77777777" w:rsidR="0095436D" w:rsidRDefault="00000000">
      <w:pPr>
        <w:pStyle w:val="FirstParagraph"/>
      </w:pPr>
      <w:r>
        <w:t>For the symptomatic infection outcome, testing positive depended on the weeks since the infection. Sensitivity values were dependent on the weeks since infection based on the results in Miller et al. [11]</w:t>
      </w:r>
    </w:p>
    <w:p w14:paraId="1EE40843" w14:textId="77777777" w:rsidR="0095436D" w:rsidRDefault="0095436D">
      <w:pPr>
        <w:pStyle w:val="BodyText"/>
      </w:pPr>
    </w:p>
    <w:p w14:paraId="1EE40844" w14:textId="77777777" w:rsidR="0095436D" w:rsidRDefault="00000000">
      <w:pPr>
        <w:pStyle w:val="TableCaption"/>
        <w:pBdr>
          <w:top w:val="none" w:sz="0" w:space="0" w:color="000000"/>
          <w:left w:val="none" w:sz="0" w:space="0" w:color="000000"/>
          <w:bottom w:val="none" w:sz="0" w:space="0" w:color="000000"/>
          <w:right w:val="none" w:sz="0" w:space="0" w:color="000000"/>
        </w:pBdr>
        <w:spacing w:before="60" w:after="60"/>
        <w:ind w:left="60" w:right="60"/>
        <w:jc w:val="center"/>
      </w:pPr>
      <w:r>
        <w:t>Table S1: Test characteristics by week where week=0 indicates the week of infection.</w:t>
      </w:r>
    </w:p>
    <w:tbl>
      <w:tblPr>
        <w:tblStyle w:val="Table"/>
        <w:tblW w:w="0" w:type="auto"/>
        <w:jc w:val="center"/>
        <w:tblLayout w:type="fixed"/>
        <w:tblLook w:val="0420" w:firstRow="1" w:lastRow="0" w:firstColumn="0" w:lastColumn="0" w:noHBand="0" w:noVBand="1"/>
      </w:tblPr>
      <w:tblGrid>
        <w:gridCol w:w="1080"/>
        <w:gridCol w:w="1080"/>
        <w:gridCol w:w="1080"/>
        <w:gridCol w:w="1080"/>
      </w:tblGrid>
      <w:tr w:rsidR="0095436D" w14:paraId="1EE40849" w14:textId="77777777" w:rsidTr="0095436D">
        <w:trPr>
          <w:cnfStyle w:val="100000000000" w:firstRow="1" w:lastRow="0" w:firstColumn="0" w:lastColumn="0" w:oddVBand="0" w:evenVBand="0" w:oddHBand="0" w:evenHBand="0" w:firstRowFirstColumn="0" w:firstRowLastColumn="0" w:lastRowFirstColumn="0" w:lastRowLastColumn="0"/>
          <w:tblHeader/>
          <w:jc w:val="center"/>
        </w:trPr>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45"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days</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46"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week</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47"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Sensitivity</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48"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Specificity</w:t>
            </w:r>
          </w:p>
        </w:tc>
      </w:tr>
      <w:tr w:rsidR="0095436D" w14:paraId="1EE4084E" w14:textId="77777777" w:rsidTr="0095436D">
        <w:trPr>
          <w:jc w:val="center"/>
        </w:trPr>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4A"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0-7</w:t>
            </w: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4B"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w:t>
            </w: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4C"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90</w:t>
            </w: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4D"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100</w:t>
            </w:r>
          </w:p>
        </w:tc>
      </w:tr>
      <w:tr w:rsidR="0095436D" w14:paraId="1EE40853" w14:textId="77777777" w:rsidTr="0095436D">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4F"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8-14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50"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51"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70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52"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100</w:t>
            </w:r>
          </w:p>
        </w:tc>
      </w:tr>
      <w:tr w:rsidR="0095436D" w14:paraId="1EE40858" w14:textId="77777777" w:rsidTr="0095436D">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54"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15-21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55"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56"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50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57"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100</w:t>
            </w:r>
          </w:p>
        </w:tc>
      </w:tr>
      <w:tr w:rsidR="0095436D" w14:paraId="1EE4085D" w14:textId="77777777" w:rsidTr="0095436D">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59"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22-28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5A"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5B"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20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5C"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100</w:t>
            </w:r>
          </w:p>
        </w:tc>
      </w:tr>
      <w:tr w:rsidR="0095436D" w14:paraId="1EE40862" w14:textId="77777777" w:rsidTr="0095436D">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5E"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29-35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5F"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60"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61"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100</w:t>
            </w:r>
          </w:p>
        </w:tc>
      </w:tr>
      <w:tr w:rsidR="0095436D" w14:paraId="1EE40867" w14:textId="77777777" w:rsidTr="0095436D">
        <w:trPr>
          <w:jc w:val="center"/>
        </w:trPr>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63"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36+</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64"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5+</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65"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66"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100</w:t>
            </w:r>
          </w:p>
        </w:tc>
      </w:tr>
    </w:tbl>
    <w:p w14:paraId="1EE40868" w14:textId="77777777" w:rsidR="0095436D" w:rsidRDefault="0095436D">
      <w:pPr>
        <w:pStyle w:val="FirstParagraph"/>
      </w:pPr>
    </w:p>
    <w:p w14:paraId="1EE40869" w14:textId="77777777" w:rsidR="0095436D" w:rsidRDefault="00000000">
      <w:pPr>
        <w:pStyle w:val="Heading3"/>
      </w:pPr>
      <w:bookmarkStart w:id="24" w:name="symptomatic-infection-outcome"/>
      <w:bookmarkStart w:id="25" w:name="_Toc172030374"/>
      <w:bookmarkEnd w:id="22"/>
      <w:r>
        <w:t>Symptomatic infection outcome</w:t>
      </w:r>
      <w:bookmarkEnd w:id="25"/>
    </w:p>
    <w:p w14:paraId="1EE4086A" w14:textId="77777777" w:rsidR="0095436D" w:rsidRDefault="00000000">
      <w:pPr>
        <w:pStyle w:val="FirstParagraph"/>
      </w:pPr>
      <w:r>
        <w:t>For the symptomatic infection outcome, whether a person was symptomatic in the week of data collection was included in the simulations. Once a person was symptomatic, they are automatically included in the TND at that week. Symptomatic people were then tested and, as covered above, the sensitivity of the test depends on how many weeks since a person’s last infection. A positive test was randomly generated from a Bernoulli distribution with probability equal to the test sensitivity divided by 100.</w:t>
      </w:r>
    </w:p>
    <w:p w14:paraId="1EE4086B" w14:textId="77777777" w:rsidR="0095436D" w:rsidRDefault="0095436D">
      <w:pPr>
        <w:pStyle w:val="BodyText"/>
      </w:pPr>
    </w:p>
    <w:p w14:paraId="1EE4086C" w14:textId="77777777" w:rsidR="0095436D" w:rsidRDefault="00000000">
      <w:pPr>
        <w:pStyle w:val="Heading3"/>
      </w:pPr>
      <w:bookmarkStart w:id="26" w:name="severe-disease-outcome"/>
      <w:bookmarkStart w:id="27" w:name="_Toc172030375"/>
      <w:bookmarkEnd w:id="24"/>
      <w:r>
        <w:t>Severe disease outcome</w:t>
      </w:r>
      <w:bookmarkEnd w:id="27"/>
    </w:p>
    <w:p w14:paraId="1EE4086D" w14:textId="77777777" w:rsidR="0095436D" w:rsidRDefault="00000000">
      <w:pPr>
        <w:pStyle w:val="FirstParagraph"/>
      </w:pPr>
      <w:r>
        <w:t>Vaccination-induced protection against severe disease started at 0.9 and took 192 weeks to wane to zero. Infection-induced protection against severe disease starts slightly higher at 0.95 and takes longer, specifically 384 weeks, to wane to zero (Figure S18).</w:t>
      </w:r>
    </w:p>
    <w:p w14:paraId="1EE4086E" w14:textId="77777777" w:rsidR="0095436D" w:rsidRDefault="00000000">
      <w:pPr>
        <w:pStyle w:val="CaptionedFigure"/>
      </w:pPr>
      <w:r>
        <w:rPr>
          <w:noProof/>
        </w:rPr>
        <w:lastRenderedPageBreak/>
        <w:drawing>
          <wp:inline distT="0" distB="0" distL="0" distR="0" wp14:anchorId="1EE409D5" wp14:editId="1EE409D6">
            <wp:extent cx="4620126" cy="2772075"/>
            <wp:effectExtent l="0" t="0" r="0" b="0"/>
            <wp:docPr id="83" name="Picture" descr="Figure S18: Waning curves for protection against severe disease."/>
            <wp:cNvGraphicFramePr/>
            <a:graphic xmlns:a="http://schemas.openxmlformats.org/drawingml/2006/main">
              <a:graphicData uri="http://schemas.openxmlformats.org/drawingml/2006/picture">
                <pic:pic xmlns:pic="http://schemas.openxmlformats.org/drawingml/2006/picture">
                  <pic:nvPicPr>
                    <pic:cNvPr id="84" name="Picture" descr="tnd_prior_infection_supplement_unedited_2024-07-16_files/figure-docx/sev.dis.prot.curves-1.png"/>
                    <pic:cNvPicPr>
                      <a:picLocks noChangeAspect="1" noChangeArrowheads="1"/>
                    </pic:cNvPicPr>
                  </pic:nvPicPr>
                  <pic:blipFill>
                    <a:blip r:embed="rId24"/>
                    <a:stretch>
                      <a:fillRect/>
                    </a:stretch>
                  </pic:blipFill>
                  <pic:spPr bwMode="auto">
                    <a:xfrm>
                      <a:off x="0" y="0"/>
                      <a:ext cx="4620126" cy="2772075"/>
                    </a:xfrm>
                    <a:prstGeom prst="rect">
                      <a:avLst/>
                    </a:prstGeom>
                    <a:noFill/>
                    <a:ln w="9525">
                      <a:noFill/>
                      <a:headEnd/>
                      <a:tailEnd/>
                    </a:ln>
                  </pic:spPr>
                </pic:pic>
              </a:graphicData>
            </a:graphic>
          </wp:inline>
        </w:drawing>
      </w:r>
    </w:p>
    <w:p w14:paraId="1EE4086F" w14:textId="77777777" w:rsidR="0095436D" w:rsidRDefault="00000000">
      <w:pPr>
        <w:pStyle w:val="ImageCaption"/>
      </w:pPr>
      <w:r>
        <w:t>Figure S18: Waning curves for protection against severe disease.</w:t>
      </w:r>
    </w:p>
    <w:p w14:paraId="1EE40870" w14:textId="77777777" w:rsidR="0095436D" w:rsidRDefault="0095436D">
      <w:pPr>
        <w:pStyle w:val="BodyText"/>
      </w:pPr>
    </w:p>
    <w:p w14:paraId="1EE40871" w14:textId="77777777" w:rsidR="0095436D" w:rsidRDefault="00000000">
      <w:pPr>
        <w:pStyle w:val="FirstParagraph"/>
      </w:pPr>
      <w:r>
        <w:t>Hybrid protection against severe disease was determined using the same function as hybrid protection against infection.</w:t>
      </w:r>
    </w:p>
    <w:p w14:paraId="1EE40872" w14:textId="77777777" w:rsidR="0095436D" w:rsidRDefault="00000000">
      <w:pPr>
        <w:pStyle w:val="BodyText"/>
      </w:pPr>
      <w:r>
        <w:t xml:space="preserve">To generate severe disease, </w:t>
      </w:r>
      <m:oMath>
        <m:r>
          <m:rPr>
            <m:sty m:val="p"/>
          </m:rPr>
          <w:rPr>
            <w:rFonts w:ascii="Cambria Math" w:hAnsi="Cambria Math"/>
          </w:rPr>
          <m:t>Pr</m:t>
        </m:r>
        <m:d>
          <m:dPr>
            <m:ctrlPr>
              <w:rPr>
                <w:rFonts w:ascii="Cambria Math" w:hAnsi="Cambria Math"/>
              </w:rPr>
            </m:ctrlPr>
          </m:dPr>
          <m:e>
            <m:sSub>
              <m:sSubPr>
                <m:ctrlPr>
                  <w:rPr>
                    <w:rFonts w:ascii="Cambria Math" w:hAnsi="Cambria Math"/>
                  </w:rPr>
                </m:ctrlPr>
              </m:sSubPr>
              <m:e>
                <m:r>
                  <w:rPr>
                    <w:rFonts w:ascii="Cambria Math" w:hAnsi="Cambria Math"/>
                  </w:rPr>
                  <m:t>I</m:t>
                </m:r>
              </m:e>
              <m:sub>
                <m:r>
                  <w:rPr>
                    <w:rFonts w:ascii="Cambria Math" w:hAnsi="Cambria Math"/>
                  </w:rPr>
                  <m:t>j</m:t>
                </m:r>
                <m:r>
                  <m:rPr>
                    <m:sty m:val="p"/>
                  </m:rPr>
                  <w:rPr>
                    <w:rFonts w:ascii="Cambria Math" w:hAnsi="Cambria Math"/>
                  </w:rPr>
                  <m:t>,</m:t>
                </m:r>
                <m:r>
                  <w:rPr>
                    <w:rFonts w:ascii="Cambria Math" w:hAnsi="Cambria Math"/>
                  </w:rPr>
                  <m:t>k</m:t>
                </m:r>
              </m:sub>
            </m:sSub>
          </m:e>
        </m:d>
      </m:oMath>
      <w:r>
        <w:t xml:space="preserve"> was simulated to create an infection outcome. Those infected in that week (</w:t>
      </w:r>
      <m:oMath>
        <m:sSub>
          <m:sSubPr>
            <m:ctrlPr>
              <w:rPr>
                <w:rFonts w:ascii="Cambria Math" w:hAnsi="Cambria Math"/>
              </w:rPr>
            </m:ctrlPr>
          </m:sSubPr>
          <m:e>
            <m:r>
              <w:rPr>
                <w:rFonts w:ascii="Cambria Math" w:hAnsi="Cambria Math"/>
              </w:rPr>
              <m:t>I</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1</m:t>
        </m:r>
      </m:oMath>
      <w:r>
        <w:t>) were determined to have a severe outcome by</w:t>
      </w:r>
    </w:p>
    <w:p w14:paraId="1EE40873" w14:textId="77777777" w:rsidR="0095436D" w:rsidRDefault="00000000">
      <w:pPr>
        <w:pStyle w:val="BodyText"/>
      </w:pPr>
      <m:oMathPara>
        <m:oMathParaPr>
          <m:jc m:val="center"/>
        </m:oMathParaPr>
        <m:oMath>
          <m:sSub>
            <m:sSubPr>
              <m:ctrlPr>
                <w:rPr>
                  <w:rFonts w:ascii="Cambria Math" w:hAnsi="Cambria Math"/>
                </w:rPr>
              </m:ctrlPr>
            </m:sSubPr>
            <m:e>
              <m:r>
                <w:rPr>
                  <w:rFonts w:ascii="Cambria Math" w:hAnsi="Cambria Math"/>
                </w:rPr>
                <m:t>S</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Bern</m:t>
          </m:r>
          <m:d>
            <m:dPr>
              <m:ctrlPr>
                <w:rPr>
                  <w:rFonts w:ascii="Cambria Math" w:hAnsi="Cambria Math"/>
                </w:rPr>
              </m:ctrlPr>
            </m:dPr>
            <m:e>
              <m:r>
                <m:rPr>
                  <m:sty m:val="p"/>
                </m:rPr>
                <w:rPr>
                  <w:rFonts w:ascii="Cambria Math" w:hAnsi="Cambria Math"/>
                </w:rPr>
                <m:t>Pr</m:t>
              </m:r>
              <m:d>
                <m:dPr>
                  <m:ctrlPr>
                    <w:rPr>
                      <w:rFonts w:ascii="Cambria Math" w:hAnsi="Cambria Math"/>
                    </w:rPr>
                  </m:ctrlPr>
                </m:dPr>
                <m:e>
                  <m:sSub>
                    <m:sSubPr>
                      <m:ctrlPr>
                        <w:rPr>
                          <w:rFonts w:ascii="Cambria Math" w:hAnsi="Cambria Math"/>
                        </w:rPr>
                      </m:ctrlPr>
                    </m:sSubPr>
                    <m:e>
                      <m:r>
                        <w:rPr>
                          <w:rFonts w:ascii="Cambria Math" w:hAnsi="Cambria Math"/>
                        </w:rPr>
                        <m:t>S</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1</m:t>
                  </m:r>
                </m:e>
              </m:d>
            </m:e>
          </m:d>
        </m:oMath>
      </m:oMathPara>
    </w:p>
    <w:p w14:paraId="1EE40874" w14:textId="77777777" w:rsidR="0095436D" w:rsidRDefault="00000000">
      <w:pPr>
        <w:pStyle w:val="FirstParagraph"/>
      </w:pPr>
      <w:r>
        <w:t>where</w:t>
      </w:r>
    </w:p>
    <w:p w14:paraId="1EE40875" w14:textId="77777777" w:rsidR="0095436D" w:rsidRDefault="00000000">
      <w:pPr>
        <w:pStyle w:val="BodyText"/>
      </w:pPr>
      <m:oMathPara>
        <m:oMathParaPr>
          <m:jc m:val="center"/>
        </m:oMathParaPr>
        <m:oMath>
          <m:r>
            <m:rPr>
              <m:sty m:val="p"/>
            </m:rPr>
            <w:rPr>
              <w:rFonts w:ascii="Cambria Math" w:hAnsi="Cambria Math"/>
            </w:rPr>
            <m:t>Pr</m:t>
          </m:r>
          <m:d>
            <m:dPr>
              <m:ctrlPr>
                <w:rPr>
                  <w:rFonts w:ascii="Cambria Math" w:hAnsi="Cambria Math"/>
                </w:rPr>
              </m:ctrlPr>
            </m:dPr>
            <m:e>
              <m:sSub>
                <m:sSubPr>
                  <m:ctrlPr>
                    <w:rPr>
                      <w:rFonts w:ascii="Cambria Math" w:hAnsi="Cambria Math"/>
                    </w:rPr>
                  </m:ctrlPr>
                </m:sSubPr>
                <m:e>
                  <m:r>
                    <w:rPr>
                      <w:rFonts w:ascii="Cambria Math" w:hAnsi="Cambria Math"/>
                    </w:rPr>
                    <m:t>S</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1</m:t>
              </m:r>
            </m:e>
          </m:d>
          <m:r>
            <m:rPr>
              <m:sty m:val="p"/>
            </m:rPr>
            <w:rPr>
              <w:rFonts w:ascii="Cambria Math" w:hAnsi="Cambria Math"/>
            </w:rPr>
            <m:t>=</m:t>
          </m:r>
          <m:f>
            <m:fPr>
              <m:ctrlPr>
                <w:rPr>
                  <w:rFonts w:ascii="Cambria Math" w:hAnsi="Cambria Math"/>
                </w:rPr>
              </m:ctrlPr>
            </m:fPr>
            <m:num>
              <m:d>
                <m:dPr>
                  <m:ctrlPr>
                    <w:rPr>
                      <w:rFonts w:ascii="Cambria Math" w:hAnsi="Cambria Math"/>
                    </w:rPr>
                  </m:ctrlPr>
                </m:dPr>
                <m:e>
                  <m:r>
                    <w:rPr>
                      <w:rFonts w:ascii="Cambria Math" w:hAnsi="Cambria Math"/>
                    </w:rPr>
                    <m:t>1</m:t>
                  </m:r>
                  <m:r>
                    <m:rPr>
                      <m:sty m:val="p"/>
                    </m:rPr>
                    <w:rPr>
                      <w:rFonts w:ascii="Cambria Math" w:hAnsi="Cambria Math"/>
                    </w:rPr>
                    <m:t>-</m:t>
                  </m:r>
                  <m:sSubSup>
                    <m:sSubSupPr>
                      <m:ctrlPr>
                        <w:rPr>
                          <w:rFonts w:ascii="Cambria Math" w:hAnsi="Cambria Math"/>
                        </w:rPr>
                      </m:ctrlPr>
                    </m:sSubSupPr>
                    <m:e>
                      <m:r>
                        <w:rPr>
                          <w:rFonts w:ascii="Cambria Math" w:hAnsi="Cambria Math"/>
                        </w:rPr>
                        <m:t>ψ</m:t>
                      </m:r>
                    </m:e>
                    <m:sub>
                      <m:r>
                        <w:rPr>
                          <w:rFonts w:ascii="Cambria Math" w:hAnsi="Cambria Math"/>
                        </w:rPr>
                        <m:t>j</m:t>
                      </m:r>
                      <m:r>
                        <m:rPr>
                          <m:sty m:val="p"/>
                        </m:rPr>
                        <w:rPr>
                          <w:rFonts w:ascii="Cambria Math" w:hAnsi="Cambria Math"/>
                        </w:rPr>
                        <m:t>,</m:t>
                      </m:r>
                      <m:r>
                        <w:rPr>
                          <w:rFonts w:ascii="Cambria Math" w:hAnsi="Cambria Math"/>
                        </w:rPr>
                        <m:t>k</m:t>
                      </m:r>
                      <m:r>
                        <m:rPr>
                          <m:sty m:val="p"/>
                        </m:rPr>
                        <w:rPr>
                          <w:rFonts w:ascii="Cambria Math" w:hAnsi="Cambria Math"/>
                        </w:rPr>
                        <m:t>-</m:t>
                      </m:r>
                      <m:r>
                        <w:rPr>
                          <w:rFonts w:ascii="Cambria Math" w:hAnsi="Cambria Math"/>
                        </w:rPr>
                        <m:t>1</m:t>
                      </m:r>
                    </m:sub>
                    <m:sup>
                      <m:r>
                        <w:rPr>
                          <w:rFonts w:ascii="Cambria Math" w:hAnsi="Cambria Math"/>
                        </w:rPr>
                        <m:t>s</m:t>
                      </m:r>
                    </m:sup>
                  </m:sSubSup>
                </m:e>
              </m:d>
            </m:num>
            <m:den>
              <m:d>
                <m:dPr>
                  <m:ctrlPr>
                    <w:rPr>
                      <w:rFonts w:ascii="Cambria Math" w:hAnsi="Cambria Math"/>
                    </w:rPr>
                  </m:ctrlPr>
                </m:dPr>
                <m:e>
                  <m:r>
                    <w:rPr>
                      <w:rFonts w:ascii="Cambria Math" w:hAnsi="Cambria Math"/>
                    </w:rPr>
                    <m:t>1</m:t>
                  </m:r>
                  <m:r>
                    <m:rPr>
                      <m:sty m:val="p"/>
                    </m:rPr>
                    <w:rPr>
                      <w:rFonts w:ascii="Cambria Math" w:hAnsi="Cambria Math"/>
                    </w:rPr>
                    <m:t>-</m:t>
                  </m:r>
                  <m:sSub>
                    <m:sSubPr>
                      <m:ctrlPr>
                        <w:rPr>
                          <w:rFonts w:ascii="Cambria Math" w:hAnsi="Cambria Math"/>
                        </w:rPr>
                      </m:ctrlPr>
                    </m:sSubPr>
                    <m:e>
                      <m:r>
                        <w:rPr>
                          <w:rFonts w:ascii="Cambria Math" w:hAnsi="Cambria Math"/>
                        </w:rPr>
                        <m:t>ψ</m:t>
                      </m:r>
                    </m:e>
                    <m:sub>
                      <m:r>
                        <w:rPr>
                          <w:rFonts w:ascii="Cambria Math" w:hAnsi="Cambria Math"/>
                        </w:rPr>
                        <m:t>j</m:t>
                      </m:r>
                      <m:r>
                        <m:rPr>
                          <m:sty m:val="p"/>
                        </m:rPr>
                        <w:rPr>
                          <w:rFonts w:ascii="Cambria Math" w:hAnsi="Cambria Math"/>
                        </w:rPr>
                        <m:t>,</m:t>
                      </m:r>
                      <m:r>
                        <w:rPr>
                          <w:rFonts w:ascii="Cambria Math" w:hAnsi="Cambria Math"/>
                        </w:rPr>
                        <m:t>k</m:t>
                      </m:r>
                      <m:r>
                        <m:rPr>
                          <m:sty m:val="p"/>
                        </m:rPr>
                        <w:rPr>
                          <w:rFonts w:ascii="Cambria Math" w:hAnsi="Cambria Math"/>
                        </w:rPr>
                        <m:t>-</m:t>
                      </m:r>
                      <m:r>
                        <w:rPr>
                          <w:rFonts w:ascii="Cambria Math" w:hAnsi="Cambria Math"/>
                        </w:rPr>
                        <m:t>1</m:t>
                      </m:r>
                    </m:sub>
                  </m:sSub>
                </m:e>
              </m:d>
            </m:den>
          </m:f>
        </m:oMath>
      </m:oMathPara>
    </w:p>
    <w:p w14:paraId="1EE40876" w14:textId="77777777" w:rsidR="0095436D" w:rsidRDefault="00000000">
      <w:pPr>
        <w:pStyle w:val="FirstParagraph"/>
      </w:pPr>
      <w:r>
        <w:t xml:space="preserve">where </w:t>
      </w:r>
      <m:oMath>
        <m:sSubSup>
          <m:sSubSupPr>
            <m:ctrlPr>
              <w:rPr>
                <w:rFonts w:ascii="Cambria Math" w:hAnsi="Cambria Math"/>
              </w:rPr>
            </m:ctrlPr>
          </m:sSubSupPr>
          <m:e>
            <m:r>
              <w:rPr>
                <w:rFonts w:ascii="Cambria Math" w:hAnsi="Cambria Math"/>
              </w:rPr>
              <m:t>ψ</m:t>
            </m:r>
          </m:e>
          <m:sub>
            <m:r>
              <w:rPr>
                <w:rFonts w:ascii="Cambria Math" w:hAnsi="Cambria Math"/>
              </w:rPr>
              <m:t>j</m:t>
            </m:r>
            <m:r>
              <m:rPr>
                <m:sty m:val="p"/>
              </m:rPr>
              <w:rPr>
                <w:rFonts w:ascii="Cambria Math" w:hAnsi="Cambria Math"/>
              </w:rPr>
              <m:t>,</m:t>
            </m:r>
            <m:r>
              <w:rPr>
                <w:rFonts w:ascii="Cambria Math" w:hAnsi="Cambria Math"/>
              </w:rPr>
              <m:t>k</m:t>
            </m:r>
            <m:r>
              <m:rPr>
                <m:sty m:val="p"/>
              </m:rPr>
              <w:rPr>
                <w:rFonts w:ascii="Cambria Math" w:hAnsi="Cambria Math"/>
              </w:rPr>
              <m:t>-</m:t>
            </m:r>
            <m:r>
              <w:rPr>
                <w:rFonts w:ascii="Cambria Math" w:hAnsi="Cambria Math"/>
              </w:rPr>
              <m:t>1</m:t>
            </m:r>
          </m:sub>
          <m:sup>
            <m:r>
              <w:rPr>
                <w:rFonts w:ascii="Cambria Math" w:hAnsi="Cambria Math"/>
              </w:rPr>
              <m:t>s</m:t>
            </m:r>
          </m:sup>
        </m:sSubSup>
      </m:oMath>
      <w:r>
        <w:t xml:space="preserve"> was person </w:t>
      </w:r>
      <m:oMath>
        <m:r>
          <w:rPr>
            <w:rFonts w:ascii="Cambria Math" w:hAnsi="Cambria Math"/>
          </w:rPr>
          <m:t>j</m:t>
        </m:r>
      </m:oMath>
      <w:r>
        <w:t xml:space="preserve">’s protection against severe disease calculated after week </w:t>
      </w:r>
      <m:oMath>
        <m:r>
          <w:rPr>
            <w:rFonts w:ascii="Cambria Math" w:hAnsi="Cambria Math"/>
          </w:rPr>
          <m:t>k</m:t>
        </m:r>
        <m:r>
          <m:rPr>
            <m:sty m:val="p"/>
          </m:rPr>
          <w:rPr>
            <w:rFonts w:ascii="Cambria Math" w:hAnsi="Cambria Math"/>
          </w:rPr>
          <m:t>-</m:t>
        </m:r>
        <m:r>
          <w:rPr>
            <w:rFonts w:ascii="Cambria Math" w:hAnsi="Cambria Math"/>
          </w:rPr>
          <m:t>1</m:t>
        </m:r>
      </m:oMath>
      <w:r>
        <w:t>.</w:t>
      </w:r>
    </w:p>
    <w:p w14:paraId="1EE40877" w14:textId="77777777" w:rsidR="0095436D" w:rsidRDefault="00000000">
      <w:pPr>
        <w:pStyle w:val="BodyText"/>
      </w:pPr>
      <w:r>
        <w:t xml:space="preserve">For uninfected people, i.e., </w:t>
      </w:r>
      <m:oMath>
        <m:sSub>
          <m:sSubPr>
            <m:ctrlPr>
              <w:rPr>
                <w:rFonts w:ascii="Cambria Math" w:hAnsi="Cambria Math"/>
              </w:rPr>
            </m:ctrlPr>
          </m:sSubPr>
          <m:e>
            <m:r>
              <w:rPr>
                <w:rFonts w:ascii="Cambria Math" w:hAnsi="Cambria Math"/>
              </w:rPr>
              <m:t>I</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0</m:t>
        </m:r>
      </m:oMath>
      <w:r>
        <w:t>, we set</w:t>
      </w:r>
    </w:p>
    <w:p w14:paraId="1EE40878" w14:textId="77777777" w:rsidR="0095436D" w:rsidRDefault="00000000">
      <w:pPr>
        <w:pStyle w:val="BodyText"/>
      </w:pPr>
      <m:oMathPara>
        <m:oMathParaPr>
          <m:jc m:val="center"/>
        </m:oMathParaPr>
        <m:oMath>
          <m:r>
            <m:rPr>
              <m:sty m:val="p"/>
            </m:rPr>
            <w:rPr>
              <w:rFonts w:ascii="Cambria Math" w:hAnsi="Cambria Math"/>
            </w:rPr>
            <m:t>Pr</m:t>
          </m:r>
          <m:d>
            <m:dPr>
              <m:ctrlPr>
                <w:rPr>
                  <w:rFonts w:ascii="Cambria Math" w:hAnsi="Cambria Math"/>
                </w:rPr>
              </m:ctrlPr>
            </m:dPr>
            <m:e>
              <m:sSub>
                <m:sSubPr>
                  <m:ctrlPr>
                    <w:rPr>
                      <w:rFonts w:ascii="Cambria Math" w:hAnsi="Cambria Math"/>
                    </w:rPr>
                  </m:ctrlPr>
                </m:sSubPr>
                <m:e>
                  <m:r>
                    <w:rPr>
                      <w:rFonts w:ascii="Cambria Math" w:hAnsi="Cambria Math"/>
                    </w:rPr>
                    <m:t>S</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0</m:t>
              </m:r>
            </m:e>
          </m:d>
          <m:r>
            <m:rPr>
              <m:sty m:val="p"/>
            </m:rPr>
            <w:rPr>
              <w:rFonts w:ascii="Cambria Math" w:hAnsi="Cambria Math"/>
            </w:rPr>
            <m:t>=</m:t>
          </m:r>
          <m:f>
            <m:fPr>
              <m:ctrlPr>
                <w:rPr>
                  <w:rFonts w:ascii="Cambria Math" w:hAnsi="Cambria Math"/>
                </w:rPr>
              </m:ctrlPr>
            </m:fPr>
            <m:num>
              <m:r>
                <w:rPr>
                  <w:rFonts w:ascii="Cambria Math" w:hAnsi="Cambria Math"/>
                </w:rPr>
                <m:t>0.02</m:t>
              </m:r>
            </m:num>
            <m:den>
              <m:r>
                <w:rPr>
                  <w:rFonts w:ascii="Cambria Math" w:hAnsi="Cambria Math"/>
                </w:rPr>
                <m:t>20</m:t>
              </m:r>
            </m:den>
          </m:f>
          <m:r>
            <m:rPr>
              <m:sty m:val="p"/>
            </m:rPr>
            <w:rPr>
              <w:rFonts w:ascii="Cambria Math" w:hAnsi="Cambria Math"/>
            </w:rPr>
            <m:t>,</m:t>
          </m:r>
        </m:oMath>
      </m:oMathPara>
    </w:p>
    <w:p w14:paraId="1EE40879" w14:textId="77777777" w:rsidR="0095436D" w:rsidRDefault="00000000">
      <w:pPr>
        <w:pStyle w:val="FirstParagraph"/>
      </w:pPr>
      <w:r>
        <w:t xml:space="preserve">where </w:t>
      </w:r>
      <m:oMath>
        <m:sSub>
          <m:sSubPr>
            <m:ctrlPr>
              <w:rPr>
                <w:rFonts w:ascii="Cambria Math" w:hAnsi="Cambria Math"/>
              </w:rPr>
            </m:ctrlPr>
          </m:sSubPr>
          <m:e>
            <m:r>
              <w:rPr>
                <w:rFonts w:ascii="Cambria Math" w:hAnsi="Cambria Math"/>
              </w:rPr>
              <m:t>S</m:t>
            </m:r>
          </m:e>
          <m:sub>
            <m:r>
              <w:rPr>
                <w:rFonts w:ascii="Cambria Math" w:hAnsi="Cambria Math"/>
              </w:rPr>
              <m:t>j</m:t>
            </m:r>
            <m:r>
              <m:rPr>
                <m:sty m:val="p"/>
              </m:rPr>
              <w:rPr>
                <w:rFonts w:ascii="Cambria Math" w:hAnsi="Cambria Math"/>
              </w:rPr>
              <m:t>,</m:t>
            </m:r>
            <m:r>
              <w:rPr>
                <w:rFonts w:ascii="Cambria Math" w:hAnsi="Cambria Math"/>
              </w:rPr>
              <m:t>k</m:t>
            </m:r>
          </m:sub>
        </m:sSub>
      </m:oMath>
      <w:r>
        <w:t xml:space="preserve"> was a severe disease event, 0.02 was chosen so the expectation would be that 2% of people would experience a severe disease event, and 20 is the number of weeks in the severe disease TND.</w:t>
      </w:r>
    </w:p>
    <w:p w14:paraId="1EE4087A" w14:textId="77777777" w:rsidR="0095436D" w:rsidRDefault="00000000">
      <w:pPr>
        <w:pStyle w:val="BodyText"/>
      </w:pPr>
      <w:r>
        <w:t>Testing was considered perfect (sensitivity=specificity=1) as we assumed a patient with severe respiratory disease would be diagnosed correctly.</w:t>
      </w:r>
    </w:p>
    <w:p w14:paraId="1EE4087B" w14:textId="77777777" w:rsidR="0095436D" w:rsidRDefault="00000000">
      <w:r>
        <w:br w:type="page"/>
      </w:r>
    </w:p>
    <w:p w14:paraId="1EE4087C" w14:textId="77777777" w:rsidR="0095436D" w:rsidRDefault="00000000">
      <w:pPr>
        <w:pStyle w:val="Heading1"/>
      </w:pPr>
      <w:bookmarkStart w:id="28" w:name="analytic-methods"/>
      <w:bookmarkStart w:id="29" w:name="_Toc172030376"/>
      <w:bookmarkEnd w:id="0"/>
      <w:bookmarkEnd w:id="14"/>
      <w:bookmarkEnd w:id="26"/>
      <w:r>
        <w:lastRenderedPageBreak/>
        <w:t>Analytic methods</w:t>
      </w:r>
      <w:bookmarkEnd w:id="29"/>
    </w:p>
    <w:p w14:paraId="1EE4087D" w14:textId="77777777" w:rsidR="0095436D" w:rsidRDefault="00000000">
      <w:pPr>
        <w:pStyle w:val="Heading2"/>
      </w:pPr>
      <w:bookmarkStart w:id="30" w:name="models"/>
      <w:bookmarkStart w:id="31" w:name="_Toc172030377"/>
      <w:r>
        <w:t>Models</w:t>
      </w:r>
      <w:bookmarkEnd w:id="31"/>
    </w:p>
    <w:p w14:paraId="1EE4087E" w14:textId="77777777" w:rsidR="0095436D" w:rsidRDefault="00000000">
      <w:pPr>
        <w:pStyle w:val="FirstParagraph"/>
      </w:pPr>
      <w:r>
        <w:t>Exposures fit in the models were:</w:t>
      </w:r>
    </w:p>
    <w:p w14:paraId="1EE4087F" w14:textId="77777777" w:rsidR="0095436D" w:rsidRDefault="00000000">
      <w:pPr>
        <w:pStyle w:val="Compact"/>
        <w:numPr>
          <w:ilvl w:val="0"/>
          <w:numId w:val="5"/>
        </w:numPr>
      </w:pPr>
      <w:r>
        <w:t>vaccination at any time during the analytic period;</w:t>
      </w:r>
    </w:p>
    <w:p w14:paraId="1EE40880" w14:textId="77777777" w:rsidR="0095436D" w:rsidRDefault="00000000">
      <w:pPr>
        <w:pStyle w:val="Compact"/>
        <w:numPr>
          <w:ilvl w:val="0"/>
          <w:numId w:val="5"/>
        </w:numPr>
      </w:pPr>
      <w:r>
        <w:t>vaccination in the previous 2 months;</w:t>
      </w:r>
    </w:p>
    <w:p w14:paraId="1EE40881" w14:textId="77777777" w:rsidR="0095436D" w:rsidRDefault="00000000">
      <w:pPr>
        <w:pStyle w:val="Compact"/>
        <w:numPr>
          <w:ilvl w:val="0"/>
          <w:numId w:val="5"/>
        </w:numPr>
      </w:pPr>
      <w:r>
        <w:t>vaccination in the previous 3 months;</w:t>
      </w:r>
    </w:p>
    <w:p w14:paraId="1EE40882" w14:textId="77777777" w:rsidR="0095436D" w:rsidRDefault="00000000">
      <w:pPr>
        <w:pStyle w:val="Compact"/>
        <w:numPr>
          <w:ilvl w:val="0"/>
          <w:numId w:val="5"/>
        </w:numPr>
      </w:pPr>
      <w:r>
        <w:t>vaccination in the previous 4 months;</w:t>
      </w:r>
    </w:p>
    <w:p w14:paraId="1EE40883" w14:textId="77777777" w:rsidR="0095436D" w:rsidRDefault="00000000">
      <w:pPr>
        <w:pStyle w:val="Compact"/>
        <w:numPr>
          <w:ilvl w:val="0"/>
          <w:numId w:val="5"/>
        </w:numPr>
      </w:pPr>
      <w:r>
        <w:t>vaccination in the previous 5 months;</w:t>
      </w:r>
    </w:p>
    <w:p w14:paraId="1EE40884" w14:textId="77777777" w:rsidR="0095436D" w:rsidRDefault="00000000">
      <w:pPr>
        <w:pStyle w:val="Compact"/>
        <w:numPr>
          <w:ilvl w:val="0"/>
          <w:numId w:val="5"/>
        </w:numPr>
      </w:pPr>
      <w:r>
        <w:t>vaccination in the previous 6 months;</w:t>
      </w:r>
    </w:p>
    <w:p w14:paraId="1EE40885" w14:textId="77777777" w:rsidR="0095436D" w:rsidRDefault="00000000">
      <w:pPr>
        <w:pStyle w:val="Compact"/>
        <w:numPr>
          <w:ilvl w:val="0"/>
          <w:numId w:val="5"/>
        </w:numPr>
      </w:pPr>
      <w:r>
        <w:t>the number of doses received (unvaccinated as the reference group, 2-dose, 3-dose, 4-dose, or 5-dose); and</w:t>
      </w:r>
    </w:p>
    <w:p w14:paraId="1EE40886" w14:textId="77777777" w:rsidR="0095436D" w:rsidRDefault="00000000">
      <w:pPr>
        <w:pStyle w:val="Compact"/>
        <w:numPr>
          <w:ilvl w:val="0"/>
          <w:numId w:val="5"/>
        </w:numPr>
      </w:pPr>
      <w:r>
        <w:t>the time since vaccination (unvaccinated as the reference group, 0-2 months, 3-4 months, 5-11 months, and 12 or more months).</w:t>
      </w:r>
    </w:p>
    <w:p w14:paraId="1EE40887" w14:textId="77777777" w:rsidR="0095436D" w:rsidRDefault="00000000">
      <w:pPr>
        <w:pStyle w:val="FirstParagraph"/>
      </w:pPr>
      <w:r>
        <w:t>Each exposure was included in a model with either</w:t>
      </w:r>
    </w:p>
    <w:p w14:paraId="1EE40888" w14:textId="77777777" w:rsidR="0095436D" w:rsidRDefault="00000000">
      <w:pPr>
        <w:pStyle w:val="Compact"/>
        <w:numPr>
          <w:ilvl w:val="0"/>
          <w:numId w:val="6"/>
        </w:numPr>
      </w:pPr>
      <w:r>
        <w:t>no other covariates (uncontrolled or unadjusted model) or</w:t>
      </w:r>
    </w:p>
    <w:p w14:paraId="1EE40889" w14:textId="77777777" w:rsidR="0095436D" w:rsidRDefault="00000000">
      <w:pPr>
        <w:pStyle w:val="Compact"/>
        <w:numPr>
          <w:ilvl w:val="0"/>
          <w:numId w:val="6"/>
        </w:numPr>
      </w:pPr>
      <w:r>
        <w:t xml:space="preserve">the months since the last infection (categorical with </w:t>
      </w:r>
      <m:oMath>
        <m:r>
          <m:rPr>
            <m:nor/>
          </m:rPr>
          <m:t>months</m:t>
        </m:r>
        <m:r>
          <m:rPr>
            <m:sty m:val="p"/>
          </m:rPr>
          <w:rPr>
            <w:rFonts w:ascii="Cambria Math" w:hAnsi="Cambria Math"/>
          </w:rPr>
          <m:t>={</m:t>
        </m:r>
        <m:r>
          <w:rPr>
            <w:rFonts w:ascii="Cambria Math" w:hAnsi="Cambria Math"/>
          </w:rPr>
          <m:t>1</m:t>
        </m:r>
        <m:r>
          <m:rPr>
            <m:sty m:val="p"/>
          </m:rPr>
          <w:rPr>
            <w:rFonts w:ascii="Cambria Math" w:hAnsi="Cambria Math"/>
          </w:rPr>
          <m:t>,</m:t>
        </m:r>
        <m:r>
          <w:rPr>
            <w:rFonts w:ascii="Cambria Math" w:hAnsi="Cambria Math"/>
          </w:rPr>
          <m:t>2</m:t>
        </m:r>
        <m:r>
          <m:rPr>
            <m:sty m:val="p"/>
          </m:rPr>
          <w:rPr>
            <w:rFonts w:ascii="Cambria Math" w:hAnsi="Cambria Math"/>
          </w:rPr>
          <m:t>,…,</m:t>
        </m:r>
        <m:r>
          <w:rPr>
            <w:rFonts w:ascii="Cambria Math" w:hAnsi="Cambria Math"/>
          </w:rPr>
          <m:t>11</m:t>
        </m:r>
        <m:r>
          <m:rPr>
            <m:sty m:val="p"/>
          </m:rPr>
          <w:rPr>
            <w:rFonts w:ascii="Cambria Math" w:hAnsi="Cambria Math"/>
          </w:rPr>
          <m:t>,</m:t>
        </m:r>
        <m:r>
          <w:rPr>
            <w:rFonts w:ascii="Cambria Math" w:hAnsi="Cambria Math"/>
          </w:rPr>
          <m:t>12 </m:t>
        </m:r>
        <m:r>
          <m:rPr>
            <m:nor/>
          </m:rPr>
          <m:t>or more</m:t>
        </m:r>
        <m:r>
          <m:rPr>
            <m:sty m:val="p"/>
          </m:rPr>
          <w:rPr>
            <w:rFonts w:ascii="Cambria Math" w:hAnsi="Cambria Math"/>
          </w:rPr>
          <m:t>}</m:t>
        </m:r>
      </m:oMath>
      <w:r>
        <w:t>) and the number of prior infections as a continuous variable (controlled or adjusted model).</w:t>
      </w:r>
    </w:p>
    <w:p w14:paraId="1EE4088A" w14:textId="77777777" w:rsidR="0095436D" w:rsidRDefault="00000000">
      <w:pPr>
        <w:pStyle w:val="FirstParagraph"/>
      </w:pPr>
      <w:r>
        <w:t xml:space="preserve">For each logistic regression, we modeled </w:t>
      </w:r>
      <m:oMath>
        <m:r>
          <m:rPr>
            <m:sty m:val="p"/>
          </m:rPr>
          <w:rPr>
            <w:rFonts w:ascii="Cambria Math" w:hAnsi="Cambria Math"/>
          </w:rPr>
          <m:t>Pr</m:t>
        </m:r>
        <m:d>
          <m:dPr>
            <m:ctrlPr>
              <w:rPr>
                <w:rFonts w:ascii="Cambria Math" w:hAnsi="Cambria Math"/>
              </w:rPr>
            </m:ctrlPr>
          </m:dPr>
          <m:e>
            <m:sSubSup>
              <m:sSubSupPr>
                <m:ctrlPr>
                  <w:rPr>
                    <w:rFonts w:ascii="Cambria Math" w:hAnsi="Cambria Math"/>
                  </w:rPr>
                </m:ctrlPr>
              </m:sSubSupPr>
              <m:e>
                <m:r>
                  <w:rPr>
                    <w:rFonts w:ascii="Cambria Math" w:hAnsi="Cambria Math"/>
                  </w:rPr>
                  <m:t>I</m:t>
                </m:r>
              </m:e>
              <m:sub>
                <m:r>
                  <w:rPr>
                    <w:rFonts w:ascii="Cambria Math" w:hAnsi="Cambria Math"/>
                  </w:rPr>
                  <m:t>j</m:t>
                </m:r>
                <m:r>
                  <m:rPr>
                    <m:sty m:val="p"/>
                  </m:rPr>
                  <w:rPr>
                    <w:rFonts w:ascii="Cambria Math" w:hAnsi="Cambria Math"/>
                  </w:rPr>
                  <m:t>,</m:t>
                </m:r>
                <m:r>
                  <w:rPr>
                    <w:rFonts w:ascii="Cambria Math" w:hAnsi="Cambria Math"/>
                  </w:rPr>
                  <m:t>k</m:t>
                </m:r>
              </m:sub>
              <m:sup>
                <m:r>
                  <m:rPr>
                    <m:sty m:val="p"/>
                  </m:rPr>
                  <w:rPr>
                    <w:rFonts w:ascii="Cambria Math" w:hAnsi="Cambria Math"/>
                  </w:rPr>
                  <m:t>*</m:t>
                </m:r>
              </m:sup>
            </m:sSubSup>
          </m:e>
        </m:d>
      </m:oMath>
      <w:r>
        <w:t>, such that</w:t>
      </w:r>
    </w:p>
    <w:p w14:paraId="1EE4088B" w14:textId="77777777" w:rsidR="0095436D" w:rsidRDefault="00000000">
      <w:pPr>
        <w:pStyle w:val="BodyText"/>
      </w:pPr>
      <m:oMathPara>
        <m:oMathParaPr>
          <m:jc m:val="center"/>
        </m:oMathParaPr>
        <m:oMath>
          <m:r>
            <m:rPr>
              <m:sty m:val="p"/>
            </m:rPr>
            <w:rPr>
              <w:rFonts w:ascii="Cambria Math" w:hAnsi="Cambria Math"/>
            </w:rPr>
            <m:t>Pr</m:t>
          </m:r>
          <m:d>
            <m:dPr>
              <m:ctrlPr>
                <w:rPr>
                  <w:rFonts w:ascii="Cambria Math" w:hAnsi="Cambria Math"/>
                </w:rPr>
              </m:ctrlPr>
            </m:dPr>
            <m:e>
              <m:sSubSup>
                <m:sSubSupPr>
                  <m:ctrlPr>
                    <w:rPr>
                      <w:rFonts w:ascii="Cambria Math" w:hAnsi="Cambria Math"/>
                    </w:rPr>
                  </m:ctrlPr>
                </m:sSubSupPr>
                <m:e>
                  <m:r>
                    <w:rPr>
                      <w:rFonts w:ascii="Cambria Math" w:hAnsi="Cambria Math"/>
                    </w:rPr>
                    <m:t>I</m:t>
                  </m:r>
                </m:e>
                <m:sub>
                  <m:r>
                    <w:rPr>
                      <w:rFonts w:ascii="Cambria Math" w:hAnsi="Cambria Math"/>
                    </w:rPr>
                    <m:t>j</m:t>
                  </m:r>
                  <m:r>
                    <m:rPr>
                      <m:sty m:val="p"/>
                    </m:rPr>
                    <w:rPr>
                      <w:rFonts w:ascii="Cambria Math" w:hAnsi="Cambria Math"/>
                    </w:rPr>
                    <m:t>,</m:t>
                  </m:r>
                  <m:r>
                    <w:rPr>
                      <w:rFonts w:ascii="Cambria Math" w:hAnsi="Cambria Math"/>
                    </w:rPr>
                    <m:t>k</m:t>
                  </m:r>
                </m:sub>
                <m:sup>
                  <m:r>
                    <m:rPr>
                      <m:sty m:val="p"/>
                    </m:rPr>
                    <w:rPr>
                      <w:rFonts w:ascii="Cambria Math" w:hAnsi="Cambria Math"/>
                    </w:rPr>
                    <m:t>*</m:t>
                  </m:r>
                </m:sup>
              </m:sSubSup>
            </m:e>
          </m:d>
          <m:r>
            <m:rPr>
              <m:sty m:val="p"/>
            </m:rPr>
            <w:rPr>
              <w:rFonts w:ascii="Cambria Math" w:hAnsi="Cambria Math"/>
            </w:rPr>
            <m:t>=</m:t>
          </m:r>
          <m:f>
            <m:fPr>
              <m:ctrlPr>
                <w:rPr>
                  <w:rFonts w:ascii="Cambria Math" w:hAnsi="Cambria Math"/>
                </w:rPr>
              </m:ctrlPr>
            </m:fPr>
            <m:num>
              <m:r>
                <m:rPr>
                  <m:sty m:val="p"/>
                </m:rPr>
                <w:rPr>
                  <w:rFonts w:ascii="Cambria Math" w:hAnsi="Cambria Math"/>
                </w:rPr>
                <m:t>exp</m:t>
              </m:r>
              <m:d>
                <m:dPr>
                  <m:ctrlPr>
                    <w:rPr>
                      <w:rFonts w:ascii="Cambria Math" w:hAnsi="Cambria Math"/>
                    </w:rPr>
                  </m:ctrlPr>
                </m:dPr>
                <m:e>
                  <m:r>
                    <w:rPr>
                      <w:rFonts w:ascii="Cambria Math" w:hAnsi="Cambria Math"/>
                    </w:rPr>
                    <m:t>ζ</m:t>
                  </m:r>
                </m:e>
              </m:d>
            </m:num>
            <m:den>
              <m:r>
                <w:rPr>
                  <w:rFonts w:ascii="Cambria Math" w:hAnsi="Cambria Math"/>
                </w:rPr>
                <m:t>1</m:t>
              </m:r>
              <m:r>
                <m:rPr>
                  <m:sty m:val="p"/>
                </m:rPr>
                <w:rPr>
                  <w:rFonts w:ascii="Cambria Math" w:hAnsi="Cambria Math"/>
                </w:rPr>
                <m:t>+exp</m:t>
              </m:r>
              <m:d>
                <m:dPr>
                  <m:ctrlPr>
                    <w:rPr>
                      <w:rFonts w:ascii="Cambria Math" w:hAnsi="Cambria Math"/>
                    </w:rPr>
                  </m:ctrlPr>
                </m:dPr>
                <m:e>
                  <m:r>
                    <w:rPr>
                      <w:rFonts w:ascii="Cambria Math" w:hAnsi="Cambria Math"/>
                    </w:rPr>
                    <m:t>ζ</m:t>
                  </m:r>
                </m:e>
              </m:d>
            </m:den>
          </m:f>
          <m:r>
            <m:rPr>
              <m:sty m:val="p"/>
            </m:rPr>
            <w:rPr>
              <w:rFonts w:ascii="Cambria Math" w:hAnsi="Cambria Math"/>
            </w:rPr>
            <m:t>.</m:t>
          </m:r>
        </m:oMath>
      </m:oMathPara>
    </w:p>
    <w:p w14:paraId="1EE4088C" w14:textId="77777777" w:rsidR="0095436D" w:rsidRDefault="00000000">
      <w:pPr>
        <w:pStyle w:val="FirstParagraph"/>
      </w:pPr>
      <w:r>
        <w:t>Corresponding to each of the exposure definitions, the unadjusted models were parameterized as follows:</w:t>
      </w:r>
    </w:p>
    <w:p w14:paraId="1EE4088D" w14:textId="77777777" w:rsidR="0095436D" w:rsidRDefault="00000000">
      <w:pPr>
        <w:pStyle w:val="Compact"/>
        <w:numPr>
          <w:ilvl w:val="0"/>
          <w:numId w:val="7"/>
        </w:numPr>
      </w:pPr>
      <m:oMath>
        <m:r>
          <w:rPr>
            <w:rFonts w:ascii="Cambria Math" w:hAnsi="Cambria Math"/>
          </w:rPr>
          <m:t>ζ</m:t>
        </m:r>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1</m:t>
            </m:r>
          </m:sub>
        </m:sSub>
        <m:sSub>
          <m:sSubPr>
            <m:ctrlPr>
              <w:rPr>
                <w:rFonts w:ascii="Cambria Math" w:hAnsi="Cambria Math"/>
              </w:rPr>
            </m:ctrlPr>
          </m:sSubPr>
          <m:e>
            <m:r>
              <m:rPr>
                <m:nor/>
              </m:rPr>
              <m:t>AP</m:t>
            </m:r>
          </m:e>
          <m:sub>
            <m:r>
              <w:rPr>
                <w:rFonts w:ascii="Cambria Math" w:hAnsi="Cambria Math"/>
              </w:rPr>
              <m:t>j</m:t>
            </m:r>
            <m:r>
              <m:rPr>
                <m:sty m:val="p"/>
              </m:rPr>
              <w:rPr>
                <w:rFonts w:ascii="Cambria Math" w:hAnsi="Cambria Math"/>
              </w:rPr>
              <m:t>,</m:t>
            </m:r>
            <m:r>
              <w:rPr>
                <w:rFonts w:ascii="Cambria Math" w:hAnsi="Cambria Math"/>
              </w:rPr>
              <m:t>k</m:t>
            </m:r>
          </m:sub>
        </m:sSub>
      </m:oMath>
      <w:r>
        <w:t xml:space="preserve">, where </w:t>
      </w:r>
      <m:oMath>
        <m:sSub>
          <m:sSubPr>
            <m:ctrlPr>
              <w:rPr>
                <w:rFonts w:ascii="Cambria Math" w:hAnsi="Cambria Math"/>
              </w:rPr>
            </m:ctrlPr>
          </m:sSubPr>
          <m:e>
            <m:r>
              <m:rPr>
                <m:nor/>
              </m:rPr>
              <m:t>AP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1</m:t>
        </m:r>
      </m:oMath>
      <w:r>
        <w:t xml:space="preserve"> if person </w:t>
      </w:r>
      <m:oMath>
        <m:r>
          <w:rPr>
            <w:rFonts w:ascii="Cambria Math" w:hAnsi="Cambria Math"/>
          </w:rPr>
          <m:t>j</m:t>
        </m:r>
      </m:oMath>
      <w:r>
        <w:t xml:space="preserve"> got a vaccination in the simulated roll out by week </w:t>
      </w:r>
      <m:oMath>
        <m:r>
          <w:rPr>
            <w:rFonts w:ascii="Cambria Math" w:hAnsi="Cambria Math"/>
          </w:rPr>
          <m:t>k</m:t>
        </m:r>
      </m:oMath>
      <w:r>
        <w:t xml:space="preserve"> and </w:t>
      </w:r>
      <m:oMath>
        <m:sSub>
          <m:sSubPr>
            <m:ctrlPr>
              <w:rPr>
                <w:rFonts w:ascii="Cambria Math" w:hAnsi="Cambria Math"/>
              </w:rPr>
            </m:ctrlPr>
          </m:sSubPr>
          <m:e>
            <m:r>
              <m:rPr>
                <m:nor/>
              </m:rPr>
              <m:t>AP</m:t>
            </m:r>
          </m:e>
          <m:sub>
            <m:r>
              <w:rPr>
                <w:rFonts w:ascii="Cambria Math" w:hAnsi="Cambria Math"/>
              </w:rPr>
              <m:t>j</m:t>
            </m:r>
            <m:r>
              <m:rPr>
                <m:sty m:val="p"/>
              </m:rPr>
              <w:rPr>
                <w:rFonts w:ascii="Cambria Math" w:hAnsi="Cambria Math"/>
              </w:rPr>
              <m:t>,</m:t>
            </m:r>
            <m:r>
              <w:rPr>
                <w:rFonts w:ascii="Cambria Math" w:hAnsi="Cambria Math"/>
              </w:rPr>
              <m:t>k</m:t>
            </m:r>
          </m:sub>
        </m:sSub>
        <m:r>
          <m:rPr>
            <m:sty m:val="p"/>
          </m:rPr>
          <w:rPr>
            <w:rFonts w:ascii="Cambria Math" w:hAnsi="Cambria Math"/>
          </w:rPr>
          <m:t>=</m:t>
        </m:r>
        <m:r>
          <w:rPr>
            <w:rFonts w:ascii="Cambria Math" w:hAnsi="Cambria Math"/>
          </w:rPr>
          <m:t>0</m:t>
        </m:r>
      </m:oMath>
      <w:r>
        <w:t xml:space="preserve"> if not;</w:t>
      </w:r>
    </w:p>
    <w:p w14:paraId="1EE4088E" w14:textId="77777777" w:rsidR="0095436D" w:rsidRDefault="00000000">
      <w:pPr>
        <w:pStyle w:val="Compact"/>
        <w:numPr>
          <w:ilvl w:val="0"/>
          <w:numId w:val="7"/>
        </w:numPr>
      </w:pPr>
      <m:oMath>
        <m:r>
          <w:rPr>
            <w:rFonts w:ascii="Cambria Math" w:hAnsi="Cambria Math"/>
          </w:rPr>
          <m:t>ζ</m:t>
        </m:r>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1</m:t>
            </m:r>
          </m:sub>
        </m:sSub>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2M</m:t>
            </m:r>
          </m:sup>
        </m:sSubSup>
      </m:oMath>
      <w:r>
        <w:t xml:space="preserve">, where </w:t>
      </w:r>
      <m:oMath>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2M</m:t>
            </m:r>
          </m:sup>
        </m:sSubSup>
        <m:r>
          <m:rPr>
            <m:sty m:val="p"/>
          </m:rPr>
          <w:rPr>
            <w:rFonts w:ascii="Cambria Math" w:hAnsi="Cambria Math"/>
          </w:rPr>
          <m:t>=</m:t>
        </m:r>
        <m:r>
          <w:rPr>
            <w:rFonts w:ascii="Cambria Math" w:hAnsi="Cambria Math"/>
          </w:rPr>
          <m:t>1</m:t>
        </m:r>
      </m:oMath>
      <w:r>
        <w:t xml:space="preserve"> if person </w:t>
      </w:r>
      <m:oMath>
        <m:r>
          <w:rPr>
            <w:rFonts w:ascii="Cambria Math" w:hAnsi="Cambria Math"/>
          </w:rPr>
          <m:t>j</m:t>
        </m:r>
      </m:oMath>
      <w:r>
        <w:t xml:space="preserve"> got a vaccination in the 2 months prior to week </w:t>
      </w:r>
      <m:oMath>
        <m:r>
          <w:rPr>
            <w:rFonts w:ascii="Cambria Math" w:hAnsi="Cambria Math"/>
          </w:rPr>
          <m:t>k</m:t>
        </m:r>
      </m:oMath>
      <w:r>
        <w:t xml:space="preserve"> and </w:t>
      </w:r>
      <m:oMath>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2M</m:t>
            </m:r>
          </m:sup>
        </m:sSubSup>
        <m:r>
          <m:rPr>
            <m:sty m:val="p"/>
          </m:rPr>
          <w:rPr>
            <w:rFonts w:ascii="Cambria Math" w:hAnsi="Cambria Math"/>
          </w:rPr>
          <m:t>=</m:t>
        </m:r>
        <m:r>
          <w:rPr>
            <w:rFonts w:ascii="Cambria Math" w:hAnsi="Cambria Math"/>
          </w:rPr>
          <m:t>0</m:t>
        </m:r>
      </m:oMath>
      <w:r>
        <w:t xml:space="preserve"> if not;</w:t>
      </w:r>
    </w:p>
    <w:p w14:paraId="1EE4088F" w14:textId="77777777" w:rsidR="0095436D" w:rsidRDefault="00000000">
      <w:pPr>
        <w:pStyle w:val="Compact"/>
        <w:numPr>
          <w:ilvl w:val="0"/>
          <w:numId w:val="7"/>
        </w:numPr>
      </w:pPr>
      <m:oMath>
        <m:r>
          <w:rPr>
            <w:rFonts w:ascii="Cambria Math" w:hAnsi="Cambria Math"/>
          </w:rPr>
          <m:t>ζ</m:t>
        </m:r>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1</m:t>
            </m:r>
          </m:sub>
        </m:sSub>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3M</m:t>
            </m:r>
          </m:sup>
        </m:sSubSup>
      </m:oMath>
      <w:r>
        <w:t xml:space="preserve">, where </w:t>
      </w:r>
      <m:oMath>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3M</m:t>
            </m:r>
          </m:sup>
        </m:sSubSup>
        <m:r>
          <m:rPr>
            <m:sty m:val="p"/>
          </m:rPr>
          <w:rPr>
            <w:rFonts w:ascii="Cambria Math" w:hAnsi="Cambria Math"/>
          </w:rPr>
          <m:t>=</m:t>
        </m:r>
        <m:r>
          <w:rPr>
            <w:rFonts w:ascii="Cambria Math" w:hAnsi="Cambria Math"/>
          </w:rPr>
          <m:t>1</m:t>
        </m:r>
      </m:oMath>
      <w:r>
        <w:t xml:space="preserve"> if person </w:t>
      </w:r>
      <m:oMath>
        <m:r>
          <w:rPr>
            <w:rFonts w:ascii="Cambria Math" w:hAnsi="Cambria Math"/>
          </w:rPr>
          <m:t>j</m:t>
        </m:r>
      </m:oMath>
      <w:r>
        <w:t xml:space="preserve"> got a vaccination in the 3 months prior to week </w:t>
      </w:r>
      <m:oMath>
        <m:r>
          <w:rPr>
            <w:rFonts w:ascii="Cambria Math" w:hAnsi="Cambria Math"/>
          </w:rPr>
          <m:t>k</m:t>
        </m:r>
      </m:oMath>
      <w:r>
        <w:t xml:space="preserve"> and </w:t>
      </w:r>
      <m:oMath>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3M</m:t>
            </m:r>
          </m:sup>
        </m:sSubSup>
        <m:r>
          <m:rPr>
            <m:sty m:val="p"/>
          </m:rPr>
          <w:rPr>
            <w:rFonts w:ascii="Cambria Math" w:hAnsi="Cambria Math"/>
          </w:rPr>
          <m:t>=</m:t>
        </m:r>
        <m:r>
          <w:rPr>
            <w:rFonts w:ascii="Cambria Math" w:hAnsi="Cambria Math"/>
          </w:rPr>
          <m:t>0</m:t>
        </m:r>
      </m:oMath>
      <w:r>
        <w:t xml:space="preserve"> if not;</w:t>
      </w:r>
    </w:p>
    <w:p w14:paraId="1EE40890" w14:textId="77777777" w:rsidR="0095436D" w:rsidRDefault="00000000">
      <w:pPr>
        <w:pStyle w:val="Compact"/>
        <w:numPr>
          <w:ilvl w:val="0"/>
          <w:numId w:val="7"/>
        </w:numPr>
      </w:pPr>
      <m:oMath>
        <m:r>
          <w:rPr>
            <w:rFonts w:ascii="Cambria Math" w:hAnsi="Cambria Math"/>
          </w:rPr>
          <m:t>ζ</m:t>
        </m:r>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1</m:t>
            </m:r>
          </m:sub>
        </m:sSub>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4M</m:t>
            </m:r>
          </m:sup>
        </m:sSubSup>
      </m:oMath>
      <w:r>
        <w:t xml:space="preserve">, where </w:t>
      </w:r>
      <m:oMath>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4M</m:t>
            </m:r>
          </m:sup>
        </m:sSubSup>
        <m:r>
          <m:rPr>
            <m:sty m:val="p"/>
          </m:rPr>
          <w:rPr>
            <w:rFonts w:ascii="Cambria Math" w:hAnsi="Cambria Math"/>
          </w:rPr>
          <m:t>=</m:t>
        </m:r>
        <m:r>
          <w:rPr>
            <w:rFonts w:ascii="Cambria Math" w:hAnsi="Cambria Math"/>
          </w:rPr>
          <m:t>1</m:t>
        </m:r>
      </m:oMath>
      <w:r>
        <w:t xml:space="preserve"> if person </w:t>
      </w:r>
      <m:oMath>
        <m:r>
          <w:rPr>
            <w:rFonts w:ascii="Cambria Math" w:hAnsi="Cambria Math"/>
          </w:rPr>
          <m:t>j</m:t>
        </m:r>
      </m:oMath>
      <w:r>
        <w:t xml:space="preserve"> got a vaccination in the 4 months prior to week </w:t>
      </w:r>
      <m:oMath>
        <m:r>
          <w:rPr>
            <w:rFonts w:ascii="Cambria Math" w:hAnsi="Cambria Math"/>
          </w:rPr>
          <m:t>k</m:t>
        </m:r>
      </m:oMath>
      <w:r>
        <w:t xml:space="preserve"> and </w:t>
      </w:r>
      <m:oMath>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4M</m:t>
            </m:r>
          </m:sup>
        </m:sSubSup>
        <m:r>
          <m:rPr>
            <m:sty m:val="p"/>
          </m:rPr>
          <w:rPr>
            <w:rFonts w:ascii="Cambria Math" w:hAnsi="Cambria Math"/>
          </w:rPr>
          <m:t>=</m:t>
        </m:r>
        <m:r>
          <w:rPr>
            <w:rFonts w:ascii="Cambria Math" w:hAnsi="Cambria Math"/>
          </w:rPr>
          <m:t>0</m:t>
        </m:r>
      </m:oMath>
      <w:r>
        <w:t xml:space="preserve"> if not;</w:t>
      </w:r>
    </w:p>
    <w:p w14:paraId="1EE40891" w14:textId="77777777" w:rsidR="0095436D" w:rsidRDefault="00000000">
      <w:pPr>
        <w:pStyle w:val="Compact"/>
        <w:numPr>
          <w:ilvl w:val="0"/>
          <w:numId w:val="7"/>
        </w:numPr>
      </w:pPr>
      <m:oMath>
        <m:r>
          <w:rPr>
            <w:rFonts w:ascii="Cambria Math" w:hAnsi="Cambria Math"/>
          </w:rPr>
          <m:t>ζ</m:t>
        </m:r>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1</m:t>
            </m:r>
          </m:sub>
        </m:sSub>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5M</m:t>
            </m:r>
          </m:sup>
        </m:sSubSup>
      </m:oMath>
      <w:r>
        <w:t xml:space="preserve">, where </w:t>
      </w:r>
      <m:oMath>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5M</m:t>
            </m:r>
          </m:sup>
        </m:sSubSup>
        <m:r>
          <m:rPr>
            <m:sty m:val="p"/>
          </m:rPr>
          <w:rPr>
            <w:rFonts w:ascii="Cambria Math" w:hAnsi="Cambria Math"/>
          </w:rPr>
          <m:t>=</m:t>
        </m:r>
        <m:r>
          <w:rPr>
            <w:rFonts w:ascii="Cambria Math" w:hAnsi="Cambria Math"/>
          </w:rPr>
          <m:t>1</m:t>
        </m:r>
      </m:oMath>
      <w:r>
        <w:t xml:space="preserve"> if person </w:t>
      </w:r>
      <m:oMath>
        <m:r>
          <w:rPr>
            <w:rFonts w:ascii="Cambria Math" w:hAnsi="Cambria Math"/>
          </w:rPr>
          <m:t>j</m:t>
        </m:r>
      </m:oMath>
      <w:r>
        <w:t xml:space="preserve"> got a vaccination in the 5 months prior to week </w:t>
      </w:r>
      <m:oMath>
        <m:r>
          <w:rPr>
            <w:rFonts w:ascii="Cambria Math" w:hAnsi="Cambria Math"/>
          </w:rPr>
          <m:t>k</m:t>
        </m:r>
      </m:oMath>
      <w:r>
        <w:t xml:space="preserve"> and </w:t>
      </w:r>
      <m:oMath>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5M</m:t>
            </m:r>
          </m:sup>
        </m:sSubSup>
        <m:r>
          <m:rPr>
            <m:sty m:val="p"/>
          </m:rPr>
          <w:rPr>
            <w:rFonts w:ascii="Cambria Math" w:hAnsi="Cambria Math"/>
          </w:rPr>
          <m:t>=</m:t>
        </m:r>
        <m:r>
          <w:rPr>
            <w:rFonts w:ascii="Cambria Math" w:hAnsi="Cambria Math"/>
          </w:rPr>
          <m:t>0</m:t>
        </m:r>
      </m:oMath>
      <w:r>
        <w:t xml:space="preserve"> if not;</w:t>
      </w:r>
    </w:p>
    <w:p w14:paraId="1EE40892" w14:textId="77777777" w:rsidR="0095436D" w:rsidRDefault="00000000">
      <w:pPr>
        <w:pStyle w:val="Compact"/>
        <w:numPr>
          <w:ilvl w:val="0"/>
          <w:numId w:val="7"/>
        </w:numPr>
      </w:pPr>
      <m:oMath>
        <m:r>
          <w:rPr>
            <w:rFonts w:ascii="Cambria Math" w:hAnsi="Cambria Math"/>
          </w:rPr>
          <m:t>ζ</m:t>
        </m:r>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1</m:t>
            </m:r>
          </m:sub>
        </m:sSub>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6M</m:t>
            </m:r>
          </m:sup>
        </m:sSubSup>
      </m:oMath>
      <w:r>
        <w:t xml:space="preserve">, where </w:t>
      </w:r>
      <m:oMath>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6M</m:t>
            </m:r>
          </m:sup>
        </m:sSubSup>
        <m:r>
          <m:rPr>
            <m:sty m:val="p"/>
          </m:rPr>
          <w:rPr>
            <w:rFonts w:ascii="Cambria Math" w:hAnsi="Cambria Math"/>
          </w:rPr>
          <m:t>=</m:t>
        </m:r>
        <m:r>
          <w:rPr>
            <w:rFonts w:ascii="Cambria Math" w:hAnsi="Cambria Math"/>
          </w:rPr>
          <m:t>1</m:t>
        </m:r>
      </m:oMath>
      <w:r>
        <w:t xml:space="preserve"> if person </w:t>
      </w:r>
      <m:oMath>
        <m:r>
          <w:rPr>
            <w:rFonts w:ascii="Cambria Math" w:hAnsi="Cambria Math"/>
          </w:rPr>
          <m:t>j</m:t>
        </m:r>
      </m:oMath>
      <w:r>
        <w:t xml:space="preserve"> got a vaccination in the 6 months prior to week </w:t>
      </w:r>
      <m:oMath>
        <m:r>
          <w:rPr>
            <w:rFonts w:ascii="Cambria Math" w:hAnsi="Cambria Math"/>
          </w:rPr>
          <m:t>k</m:t>
        </m:r>
      </m:oMath>
      <w:r>
        <w:t xml:space="preserve"> and </w:t>
      </w:r>
      <m:oMath>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6M</m:t>
            </m:r>
          </m:sup>
        </m:sSubSup>
        <m:r>
          <m:rPr>
            <m:sty m:val="p"/>
          </m:rPr>
          <w:rPr>
            <w:rFonts w:ascii="Cambria Math" w:hAnsi="Cambria Math"/>
          </w:rPr>
          <m:t>=</m:t>
        </m:r>
        <m:r>
          <w:rPr>
            <w:rFonts w:ascii="Cambria Math" w:hAnsi="Cambria Math"/>
          </w:rPr>
          <m:t>0</m:t>
        </m:r>
      </m:oMath>
      <w:r>
        <w:t xml:space="preserve"> if not;</w:t>
      </w:r>
    </w:p>
    <w:p w14:paraId="1EE40893" w14:textId="77777777" w:rsidR="0095436D" w:rsidRDefault="00000000">
      <w:pPr>
        <w:pStyle w:val="Compact"/>
        <w:numPr>
          <w:ilvl w:val="0"/>
          <w:numId w:val="7"/>
        </w:numPr>
      </w:pPr>
      <m:oMath>
        <m:r>
          <w:rPr>
            <w:rFonts w:ascii="Cambria Math" w:hAnsi="Cambria Math"/>
          </w:rPr>
          <w:lastRenderedPageBreak/>
          <m:t>ζ</m:t>
        </m:r>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1</m:t>
            </m:r>
          </m:sub>
        </m:sSub>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2</m:t>
            </m:r>
            <m:r>
              <m:rPr>
                <m:nor/>
              </m:rPr>
              <m:t>-dose</m:t>
            </m:r>
          </m:sup>
        </m:sSubSup>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2</m:t>
            </m:r>
          </m:sub>
        </m:sSub>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3</m:t>
            </m:r>
            <m:r>
              <m:rPr>
                <m:nor/>
              </m:rPr>
              <m:t>-dose</m:t>
            </m:r>
          </m:sup>
        </m:sSubSup>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3</m:t>
            </m:r>
          </m:sub>
        </m:sSub>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4</m:t>
            </m:r>
            <m:r>
              <m:rPr>
                <m:nor/>
              </m:rPr>
              <m:t>-dose</m:t>
            </m:r>
          </m:sup>
        </m:sSubSup>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4</m:t>
            </m:r>
          </m:sub>
        </m:sSub>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5</m:t>
            </m:r>
            <m:r>
              <m:rPr>
                <m:nor/>
              </m:rPr>
              <m:t>-dose</m:t>
            </m:r>
          </m:sup>
        </m:sSubSup>
      </m:oMath>
      <w:r>
        <w:t xml:space="preserve">, where </w:t>
      </w:r>
      <m:oMath>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n</m:t>
            </m:r>
            <m:r>
              <m:rPr>
                <m:nor/>
              </m:rPr>
              <m:t>-dose</m:t>
            </m:r>
          </m:sup>
        </m:sSubSup>
        <m:r>
          <m:rPr>
            <m:sty m:val="p"/>
          </m:rPr>
          <w:rPr>
            <w:rFonts w:ascii="Cambria Math" w:hAnsi="Cambria Math"/>
          </w:rPr>
          <m:t>=</m:t>
        </m:r>
        <m:r>
          <w:rPr>
            <w:rFonts w:ascii="Cambria Math" w:hAnsi="Cambria Math"/>
          </w:rPr>
          <m:t>1</m:t>
        </m:r>
      </m:oMath>
      <w:r>
        <w:t xml:space="preserve"> if person </w:t>
      </w:r>
      <m:oMath>
        <m:r>
          <w:rPr>
            <w:rFonts w:ascii="Cambria Math" w:hAnsi="Cambria Math"/>
          </w:rPr>
          <m:t>j</m:t>
        </m:r>
      </m:oMath>
      <w:r>
        <w:t xml:space="preserve"> had </w:t>
      </w:r>
      <m:oMath>
        <m:r>
          <w:rPr>
            <w:rFonts w:ascii="Cambria Math" w:hAnsi="Cambria Math"/>
          </w:rPr>
          <m:t>n</m:t>
        </m:r>
      </m:oMath>
      <w:r>
        <w:t xml:space="preserve"> doses in week </w:t>
      </w:r>
      <m:oMath>
        <m:r>
          <w:rPr>
            <w:rFonts w:ascii="Cambria Math" w:hAnsi="Cambria Math"/>
          </w:rPr>
          <m:t>k</m:t>
        </m:r>
      </m:oMath>
      <w:r>
        <w:t xml:space="preserve"> and </w:t>
      </w:r>
      <m:oMath>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n</m:t>
            </m:r>
            <m:r>
              <m:rPr>
                <m:nor/>
              </m:rPr>
              <m:t>-dose</m:t>
            </m:r>
          </m:sup>
        </m:sSubSup>
        <m:r>
          <m:rPr>
            <m:sty m:val="p"/>
          </m:rPr>
          <w:rPr>
            <w:rFonts w:ascii="Cambria Math" w:hAnsi="Cambria Math"/>
          </w:rPr>
          <m:t>=</m:t>
        </m:r>
        <m:r>
          <w:rPr>
            <w:rFonts w:ascii="Cambria Math" w:hAnsi="Cambria Math"/>
          </w:rPr>
          <m:t>0</m:t>
        </m:r>
      </m:oMath>
      <w:r>
        <w:t xml:space="preserve"> if not; and</w:t>
      </w:r>
    </w:p>
    <w:p w14:paraId="1EE40894" w14:textId="77777777" w:rsidR="0095436D" w:rsidRDefault="00000000">
      <w:pPr>
        <w:pStyle w:val="Compact"/>
        <w:numPr>
          <w:ilvl w:val="0"/>
          <w:numId w:val="7"/>
        </w:numPr>
      </w:pPr>
      <m:oMath>
        <m:r>
          <w:rPr>
            <w:rFonts w:ascii="Cambria Math" w:hAnsi="Cambria Math"/>
          </w:rPr>
          <m:t>ζ</m:t>
        </m:r>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1</m:t>
            </m:r>
          </m:sub>
        </m:sSub>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0</m:t>
            </m:r>
            <m:r>
              <m:rPr>
                <m:sty m:val="p"/>
              </m:rPr>
              <w:rPr>
                <w:rFonts w:ascii="Cambria Math" w:hAnsi="Cambria Math"/>
              </w:rPr>
              <m:t>-</m:t>
            </m:r>
            <m:r>
              <w:rPr>
                <w:rFonts w:ascii="Cambria Math" w:hAnsi="Cambria Math"/>
              </w:rPr>
              <m:t>2</m:t>
            </m:r>
            <m:r>
              <m:rPr>
                <m:nor/>
              </m:rPr>
              <m:t xml:space="preserve"> months</m:t>
            </m:r>
          </m:sup>
        </m:sSubSup>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2</m:t>
            </m:r>
          </m:sub>
        </m:sSub>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3</m:t>
            </m:r>
            <m:r>
              <m:rPr>
                <m:sty m:val="p"/>
              </m:rPr>
              <w:rPr>
                <w:rFonts w:ascii="Cambria Math" w:hAnsi="Cambria Math"/>
              </w:rPr>
              <m:t>-</m:t>
            </m:r>
            <m:r>
              <w:rPr>
                <w:rFonts w:ascii="Cambria Math" w:hAnsi="Cambria Math"/>
              </w:rPr>
              <m:t>4</m:t>
            </m:r>
            <m:r>
              <m:rPr>
                <m:nor/>
              </m:rPr>
              <m:t xml:space="preserve"> months</m:t>
            </m:r>
          </m:sup>
        </m:sSubSup>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3</m:t>
            </m:r>
          </m:sub>
        </m:sSub>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5</m:t>
            </m:r>
            <m:r>
              <m:rPr>
                <m:sty m:val="p"/>
              </m:rPr>
              <w:rPr>
                <w:rFonts w:ascii="Cambria Math" w:hAnsi="Cambria Math"/>
              </w:rPr>
              <m:t>-</m:t>
            </m:r>
            <m:r>
              <w:rPr>
                <w:rFonts w:ascii="Cambria Math" w:hAnsi="Cambria Math"/>
              </w:rPr>
              <m:t>11</m:t>
            </m:r>
            <m:r>
              <m:rPr>
                <m:nor/>
              </m:rPr>
              <m:t xml:space="preserve"> months</m:t>
            </m:r>
          </m:sup>
        </m:sSubSup>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4</m:t>
            </m:r>
          </m:sub>
        </m:sSub>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12</m:t>
            </m:r>
            <m:r>
              <m:rPr>
                <m:nor/>
              </m:rPr>
              <m:t>+ months</m:t>
            </m:r>
          </m:sup>
        </m:sSubSup>
      </m:oMath>
      <w:r>
        <w:t xml:space="preserve">, where </w:t>
      </w:r>
      <m:oMath>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n</m:t>
            </m:r>
            <m:r>
              <m:rPr>
                <m:nor/>
              </m:rPr>
              <m:t xml:space="preserve"> months</m:t>
            </m:r>
          </m:sup>
        </m:sSubSup>
        <m:r>
          <m:rPr>
            <m:sty m:val="p"/>
          </m:rPr>
          <w:rPr>
            <w:rFonts w:ascii="Cambria Math" w:hAnsi="Cambria Math"/>
          </w:rPr>
          <m:t>=</m:t>
        </m:r>
        <m:r>
          <w:rPr>
            <w:rFonts w:ascii="Cambria Math" w:hAnsi="Cambria Math"/>
          </w:rPr>
          <m:t>1</m:t>
        </m:r>
      </m:oMath>
      <w:r>
        <w:t xml:space="preserve"> if person </w:t>
      </w:r>
      <m:oMath>
        <m:r>
          <w:rPr>
            <w:rFonts w:ascii="Cambria Math" w:hAnsi="Cambria Math"/>
          </w:rPr>
          <m:t>j</m:t>
        </m:r>
      </m:oMath>
      <w:r>
        <w:t xml:space="preserve"> had her or his most recent vaccination </w:t>
      </w:r>
      <m:oMath>
        <m:r>
          <w:rPr>
            <w:rFonts w:ascii="Cambria Math" w:hAnsi="Cambria Math"/>
          </w:rPr>
          <m:t>n</m:t>
        </m:r>
      </m:oMath>
      <w:r>
        <w:t xml:space="preserve"> months in week </w:t>
      </w:r>
      <m:oMath>
        <m:r>
          <w:rPr>
            <w:rFonts w:ascii="Cambria Math" w:hAnsi="Cambria Math"/>
          </w:rPr>
          <m:t>k</m:t>
        </m:r>
      </m:oMath>
      <w:r>
        <w:t xml:space="preserve"> and </w:t>
      </w:r>
      <m:oMath>
        <m:sSubSup>
          <m:sSubSupPr>
            <m:ctrlPr>
              <w:rPr>
                <w:rFonts w:ascii="Cambria Math" w:hAnsi="Cambria Math"/>
              </w:rPr>
            </m:ctrlPr>
          </m:sSubSupPr>
          <m:e>
            <m:r>
              <m:rPr>
                <m:nor/>
              </m:rPr>
              <m:t>R</m:t>
            </m:r>
          </m:e>
          <m:sub>
            <m:r>
              <w:rPr>
                <w:rFonts w:ascii="Cambria Math" w:hAnsi="Cambria Math"/>
              </w:rPr>
              <m:t>j</m:t>
            </m:r>
            <m:r>
              <m:rPr>
                <m:sty m:val="p"/>
              </m:rPr>
              <w:rPr>
                <w:rFonts w:ascii="Cambria Math" w:hAnsi="Cambria Math"/>
              </w:rPr>
              <m:t>,</m:t>
            </m:r>
            <m:r>
              <w:rPr>
                <w:rFonts w:ascii="Cambria Math" w:hAnsi="Cambria Math"/>
              </w:rPr>
              <m:t>k</m:t>
            </m:r>
          </m:sub>
          <m:sup>
            <m:r>
              <w:rPr>
                <w:rFonts w:ascii="Cambria Math" w:hAnsi="Cambria Math"/>
              </w:rPr>
              <m:t>n</m:t>
            </m:r>
            <m:r>
              <m:rPr>
                <m:nor/>
              </m:rPr>
              <m:t xml:space="preserve"> months</m:t>
            </m:r>
          </m:sup>
        </m:sSubSup>
        <m:r>
          <m:rPr>
            <m:sty m:val="p"/>
          </m:rPr>
          <w:rPr>
            <w:rFonts w:ascii="Cambria Math" w:hAnsi="Cambria Math"/>
          </w:rPr>
          <m:t>=</m:t>
        </m:r>
        <m:r>
          <w:rPr>
            <w:rFonts w:ascii="Cambria Math" w:hAnsi="Cambria Math"/>
          </w:rPr>
          <m:t>0</m:t>
        </m:r>
      </m:oMath>
      <w:r>
        <w:t xml:space="preserve"> if not.</w:t>
      </w:r>
    </w:p>
    <w:p w14:paraId="1EE40895" w14:textId="77777777" w:rsidR="0095436D" w:rsidRDefault="00000000">
      <w:pPr>
        <w:pStyle w:val="FirstParagraph"/>
      </w:pPr>
      <w:r>
        <w:t xml:space="preserve">In all models, VE was calculated as </w:t>
      </w:r>
      <m:oMath>
        <m:d>
          <m:dPr>
            <m:ctrlPr>
              <w:rPr>
                <w:rFonts w:ascii="Cambria Math" w:hAnsi="Cambria Math"/>
              </w:rPr>
            </m:ctrlPr>
          </m:dPr>
          <m:e>
            <m:r>
              <w:rPr>
                <w:rFonts w:ascii="Cambria Math" w:hAnsi="Cambria Math"/>
              </w:rPr>
              <m:t>1</m:t>
            </m:r>
            <m:r>
              <m:rPr>
                <m:sty m:val="p"/>
              </m:rPr>
              <w:rPr>
                <w:rFonts w:ascii="Cambria Math" w:hAnsi="Cambria Math"/>
              </w:rPr>
              <m:t>-</m:t>
            </m:r>
            <m:r>
              <w:rPr>
                <w:rFonts w:ascii="Cambria Math" w:hAnsi="Cambria Math"/>
              </w:rPr>
              <m:t>OR</m:t>
            </m:r>
          </m:e>
        </m:d>
        <m:r>
          <m:rPr>
            <m:sty m:val="p"/>
          </m:rPr>
          <w:rPr>
            <w:rFonts w:ascii="Cambria Math" w:hAnsi="Cambria Math"/>
          </w:rPr>
          <m:t>*</m:t>
        </m:r>
        <m:r>
          <w:rPr>
            <w:rFonts w:ascii="Cambria Math" w:hAnsi="Cambria Math"/>
          </w:rPr>
          <m:t>100</m:t>
        </m:r>
      </m:oMath>
      <w:r>
        <w:t xml:space="preserve"> where </w:t>
      </w:r>
      <m:oMath>
        <m:r>
          <w:rPr>
            <w:rFonts w:ascii="Cambria Math" w:hAnsi="Cambria Math"/>
          </w:rPr>
          <m:t>OR</m:t>
        </m:r>
      </m:oMath>
      <w:r>
        <w:t xml:space="preserve"> was the odds ratio from the logistic model.</w:t>
      </w:r>
    </w:p>
    <w:p w14:paraId="1EE40896" w14:textId="77777777" w:rsidR="0095436D" w:rsidRDefault="0095436D">
      <w:pPr>
        <w:pStyle w:val="BodyText"/>
      </w:pPr>
    </w:p>
    <w:p w14:paraId="1EE40897" w14:textId="77777777" w:rsidR="0095436D" w:rsidRDefault="00000000">
      <w:pPr>
        <w:pStyle w:val="Heading2"/>
      </w:pPr>
      <w:bookmarkStart w:id="32" w:name="bias"/>
      <w:bookmarkStart w:id="33" w:name="_Toc172030378"/>
      <w:bookmarkEnd w:id="30"/>
      <w:r>
        <w:t>Bias</w:t>
      </w:r>
      <w:bookmarkEnd w:id="33"/>
    </w:p>
    <w:p w14:paraId="1EE40898" w14:textId="77777777" w:rsidR="0095436D" w:rsidRDefault="00000000">
      <w:pPr>
        <w:pStyle w:val="FirstParagraph"/>
      </w:pPr>
      <w:r>
        <w:t>Bias in simulation studies is typically defined as the deviation from truth. In these simulations, true VE is challenging to determine since true VE depends the distribution of vaccination dissemination, the waning protection of vaccinations, the distribution of infections, and the waning protection of infections. Thus, a true VE will depend on each individual’s time since vaccination and, if applicable, time since last infection, meaning the true VE will be different for each simulation.</w:t>
      </w:r>
    </w:p>
    <w:p w14:paraId="1EE40899" w14:textId="77777777" w:rsidR="0095436D" w:rsidRDefault="00000000">
      <w:pPr>
        <w:pStyle w:val="BodyText"/>
      </w:pPr>
      <w:r>
        <w:t>Though, the purpose of these simulations is to present a real-world, policy-relevant evaluation of ignoring the effect of prior infection in an evaluation of vaccine effectiveness. To do this, we felt it was important to generate individual people’s histories across a relevant range of scenarios. As a result, these simulations differ from typical simulation studies because we do not compare our results to a true parameter value. Thus, our definition of bias is</w:t>
      </w:r>
    </w:p>
    <w:p w14:paraId="1EE4089A" w14:textId="77777777" w:rsidR="0095436D" w:rsidRDefault="00000000">
      <w:pPr>
        <w:pStyle w:val="BodyText"/>
      </w:pPr>
      <m:oMathPara>
        <m:oMathParaPr>
          <m:jc m:val="center"/>
        </m:oMathParaPr>
        <m:oMath>
          <m:r>
            <m:rPr>
              <m:sty m:val="p"/>
            </m:rPr>
            <w:rPr>
              <w:rFonts w:ascii="Cambria Math" w:hAnsi="Cambria Math"/>
            </w:rPr>
            <m:t>Bias</m:t>
          </m:r>
          <m:d>
            <m:dPr>
              <m:ctrlPr>
                <w:rPr>
                  <w:rFonts w:ascii="Cambria Math" w:hAnsi="Cambria Math"/>
                </w:rPr>
              </m:ctrlPr>
            </m:dPr>
            <m:e>
              <m:r>
                <m:rPr>
                  <m:sty m:val="p"/>
                </m:rPr>
                <w:rPr>
                  <w:rFonts w:ascii="Cambria Math" w:hAnsi="Cambria Math"/>
                </w:rPr>
                <m:t>VE</m:t>
              </m:r>
            </m:e>
          </m:d>
          <m:r>
            <m:rPr>
              <m:sty m:val="p"/>
            </m:rPr>
            <w:rPr>
              <w:rFonts w:ascii="Cambria Math" w:hAnsi="Cambria Math"/>
            </w:rPr>
            <m:t>=E</m:t>
          </m:r>
          <m:d>
            <m:dPr>
              <m:begChr m:val="["/>
              <m:endChr m:val="]"/>
              <m:ctrlPr>
                <w:rPr>
                  <w:rFonts w:ascii="Cambria Math" w:hAnsi="Cambria Math"/>
                </w:rPr>
              </m:ctrlPr>
            </m:dPr>
            <m:e>
              <m:sSup>
                <m:sSupPr>
                  <m:ctrlPr>
                    <w:rPr>
                      <w:rFonts w:ascii="Cambria Math" w:hAnsi="Cambria Math"/>
                    </w:rPr>
                  </m:ctrlPr>
                </m:sSupPr>
                <m:e>
                  <m:r>
                    <m:rPr>
                      <m:sty m:val="p"/>
                    </m:rPr>
                    <w:rPr>
                      <w:rFonts w:ascii="Cambria Math" w:hAnsi="Cambria Math"/>
                    </w:rPr>
                    <m:t>VE</m:t>
                  </m:r>
                </m:e>
                <m:sup>
                  <m:r>
                    <m:rPr>
                      <m:nor/>
                    </m:rPr>
                    <m:t>unadjusted</m:t>
                  </m:r>
                </m:sup>
              </m:sSup>
              <m:r>
                <m:rPr>
                  <m:sty m:val="p"/>
                </m:rPr>
                <w:rPr>
                  <w:rFonts w:ascii="Cambria Math" w:hAnsi="Cambria Math"/>
                </w:rPr>
                <m:t>-</m:t>
              </m:r>
              <m:sSup>
                <m:sSupPr>
                  <m:ctrlPr>
                    <w:rPr>
                      <w:rFonts w:ascii="Cambria Math" w:hAnsi="Cambria Math"/>
                    </w:rPr>
                  </m:ctrlPr>
                </m:sSupPr>
                <m:e>
                  <m:r>
                    <m:rPr>
                      <m:sty m:val="p"/>
                    </m:rPr>
                    <w:rPr>
                      <w:rFonts w:ascii="Cambria Math" w:hAnsi="Cambria Math"/>
                    </w:rPr>
                    <m:t>VE</m:t>
                  </m:r>
                </m:e>
                <m:sup>
                  <m:r>
                    <m:rPr>
                      <m:nor/>
                    </m:rPr>
                    <m:t>adjusted</m:t>
                  </m:r>
                </m:sup>
              </m:sSup>
            </m:e>
          </m:d>
        </m:oMath>
      </m:oMathPara>
    </w:p>
    <w:p w14:paraId="1EE4089B" w14:textId="77777777" w:rsidR="0095436D" w:rsidRDefault="00000000">
      <w:pPr>
        <w:pStyle w:val="FirstParagraph"/>
      </w:pPr>
      <w:r>
        <w:t xml:space="preserve">where </w:t>
      </w:r>
      <m:oMath>
        <m:sSup>
          <m:sSupPr>
            <m:ctrlPr>
              <w:rPr>
                <w:rFonts w:ascii="Cambria Math" w:hAnsi="Cambria Math"/>
              </w:rPr>
            </m:ctrlPr>
          </m:sSupPr>
          <m:e>
            <m:r>
              <m:rPr>
                <m:sty m:val="p"/>
              </m:rPr>
              <w:rPr>
                <w:rFonts w:ascii="Cambria Math" w:hAnsi="Cambria Math"/>
              </w:rPr>
              <m:t>VE</m:t>
            </m:r>
          </m:e>
          <m:sup>
            <m:r>
              <m:rPr>
                <m:nor/>
              </m:rPr>
              <m:t>unadjusted</m:t>
            </m:r>
          </m:sup>
        </m:sSup>
      </m:oMath>
      <w:r>
        <w:t xml:space="preserve"> was the vaccine effectiveness estimate from models without controlling for participants’ prior infection status and </w:t>
      </w:r>
      <m:oMath>
        <m:sSup>
          <m:sSupPr>
            <m:ctrlPr>
              <w:rPr>
                <w:rFonts w:ascii="Cambria Math" w:hAnsi="Cambria Math"/>
              </w:rPr>
            </m:ctrlPr>
          </m:sSupPr>
          <m:e>
            <m:r>
              <m:rPr>
                <m:sty m:val="p"/>
              </m:rPr>
              <w:rPr>
                <w:rFonts w:ascii="Cambria Math" w:hAnsi="Cambria Math"/>
              </w:rPr>
              <m:t>VE</m:t>
            </m:r>
          </m:e>
          <m:sup>
            <m:r>
              <m:rPr>
                <m:nor/>
              </m:rPr>
              <m:t>adjusted</m:t>
            </m:r>
          </m:sup>
        </m:sSup>
      </m:oMath>
      <w:r>
        <w:t xml:space="preserve"> was the vaccine effectiveness estimate from models that adjust for participants’ prior infection.</w:t>
      </w:r>
    </w:p>
    <w:p w14:paraId="1EE4089C" w14:textId="77777777" w:rsidR="0095436D" w:rsidRDefault="00000000">
      <w:pPr>
        <w:pStyle w:val="BodyText"/>
      </w:pPr>
      <w:r>
        <w:t>We retain the use of “bias” to describe our comparison. Although we do not compare our simulated VE estimates to a true VE, we feel bias is a reasonable term to use since that conveys the deviation from an established measurement.</w:t>
      </w:r>
    </w:p>
    <w:p w14:paraId="1EE4089D" w14:textId="77777777" w:rsidR="0095436D" w:rsidRDefault="0095436D">
      <w:pPr>
        <w:pStyle w:val="BodyText"/>
      </w:pPr>
    </w:p>
    <w:p w14:paraId="1EE4089E" w14:textId="77777777" w:rsidR="0095436D" w:rsidRDefault="00000000">
      <w:pPr>
        <w:pStyle w:val="Heading2"/>
      </w:pPr>
      <w:bookmarkStart w:id="34" w:name="unstable-estimates"/>
      <w:bookmarkStart w:id="35" w:name="_Toc172030379"/>
      <w:bookmarkEnd w:id="32"/>
      <w:r>
        <w:t>Unstable estimates</w:t>
      </w:r>
      <w:bookmarkEnd w:id="35"/>
    </w:p>
    <w:p w14:paraId="1EE4089F" w14:textId="77777777" w:rsidR="0095436D" w:rsidRDefault="00000000">
      <w:pPr>
        <w:pStyle w:val="FirstParagraph"/>
      </w:pPr>
      <w:r>
        <w:t>A total of 21,504,000 VE estimates were produced from these simulations.</w:t>
      </w:r>
    </w:p>
    <w:p w14:paraId="1EE408A0" w14:textId="77777777" w:rsidR="0095436D" w:rsidRDefault="00000000">
      <w:pPr>
        <w:pStyle w:val="BodyText"/>
      </w:pPr>
      <w:r>
        <w:t xml:space="preserve">Of those, 260 estimates had a log odds above 1 (corresponding to an odds ratio of 2.72 or greater). Two of those were from the 5-11 months since vaccination category and the other 258 were from the 5-dose exposure group. The odds ratios were large in these simulations since a very small number of people were sampled (median=11; range=4, 23) and a high </w:t>
      </w:r>
      <w:r>
        <w:lastRenderedPageBreak/>
        <w:t xml:space="preserve">percentage were positive. For these simulations, an odds ratio of 1.00 was used, which corresponds to a VE of </w:t>
      </w:r>
      <m:oMath>
        <m:d>
          <m:dPr>
            <m:ctrlPr>
              <w:rPr>
                <w:rFonts w:ascii="Cambria Math" w:hAnsi="Cambria Math"/>
              </w:rPr>
            </m:ctrlPr>
          </m:dPr>
          <m:e>
            <m:r>
              <w:rPr>
                <w:rFonts w:ascii="Cambria Math" w:hAnsi="Cambria Math"/>
              </w:rPr>
              <m:t>1</m:t>
            </m:r>
            <m:r>
              <m:rPr>
                <m:sty m:val="p"/>
              </m:rP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1</m:t>
                </m:r>
              </m:sup>
            </m:sSup>
          </m:e>
        </m:d>
        <m:r>
          <m:rPr>
            <m:sty m:val="p"/>
          </m:rPr>
          <w:rPr>
            <w:rFonts w:ascii="Cambria Math" w:hAnsi="Cambria Math"/>
          </w:rPr>
          <m:t>*</m:t>
        </m:r>
        <m:r>
          <w:rPr>
            <w:rFonts w:ascii="Cambria Math" w:hAnsi="Cambria Math"/>
          </w:rPr>
          <m:t>100</m:t>
        </m:r>
        <m:r>
          <m:rPr>
            <m:sty m:val="p"/>
          </m:rPr>
          <w:rPr>
            <w:rFonts w:ascii="Cambria Math" w:hAnsi="Cambria Math"/>
          </w:rPr>
          <m:t>=-</m:t>
        </m:r>
        <m:r>
          <w:rPr>
            <w:rFonts w:ascii="Cambria Math" w:hAnsi="Cambria Math"/>
          </w:rPr>
          <m:t>171.83</m:t>
        </m:r>
      </m:oMath>
      <w:r>
        <w:t>.</w:t>
      </w:r>
    </w:p>
    <w:p w14:paraId="1EE408A1" w14:textId="77777777" w:rsidR="0095436D" w:rsidRDefault="00000000">
      <w:pPr>
        <w:pStyle w:val="BodyText"/>
      </w:pPr>
      <w:r>
        <w:t>A total of 4,178 estimates had a large standard error (defined as a standard error of 2 or greater). Two of these estimates were from the vaccination at any time during the analytic period exposure group, 26 were from the 5-11 months since vaccination category, and the remaining 4,150 were from the 5-dose exposure group. These simulations usually had a large standard error because no exposed people were positive for SARS-CoV-2. For these simulations with a large sample size, a standard error of five was used.</w:t>
      </w:r>
    </w:p>
    <w:p w14:paraId="1EE408A2" w14:textId="77777777" w:rsidR="0095436D" w:rsidRDefault="00000000">
      <w:pPr>
        <w:pStyle w:val="BodyText"/>
      </w:pPr>
      <w:r>
        <w:t>Two simulations fell into both categories, meaning a total of 4,436 estimates (or 0.02%) were unstable.</w:t>
      </w:r>
    </w:p>
    <w:p w14:paraId="1EE408A3" w14:textId="77777777" w:rsidR="0095436D" w:rsidRDefault="00000000">
      <w:r>
        <w:br w:type="page"/>
      </w:r>
    </w:p>
    <w:p w14:paraId="1EE408A4" w14:textId="77777777" w:rsidR="0095436D" w:rsidRDefault="00000000">
      <w:pPr>
        <w:pStyle w:val="Heading1"/>
      </w:pPr>
      <w:bookmarkStart w:id="36" w:name="supplemental-results"/>
      <w:bookmarkStart w:id="37" w:name="_Toc172030380"/>
      <w:bookmarkEnd w:id="28"/>
      <w:bookmarkEnd w:id="34"/>
      <w:r>
        <w:lastRenderedPageBreak/>
        <w:t>Supplemental Results</w:t>
      </w:r>
      <w:bookmarkEnd w:id="37"/>
    </w:p>
    <w:p w14:paraId="1EE408A5" w14:textId="77777777" w:rsidR="0095436D" w:rsidRDefault="00000000">
      <w:pPr>
        <w:pStyle w:val="Heading2"/>
      </w:pPr>
      <w:bookmarkStart w:id="38" w:name="supplemental-tables"/>
      <w:bookmarkStart w:id="39" w:name="_Toc172030381"/>
      <w:r>
        <w:t>Supplemental Tables</w:t>
      </w:r>
      <w:bookmarkEnd w:id="39"/>
    </w:p>
    <w:p w14:paraId="1EE408A6" w14:textId="77777777" w:rsidR="0095436D" w:rsidRDefault="00000000">
      <w:pPr>
        <w:pStyle w:val="TableCaption"/>
        <w:pBdr>
          <w:top w:val="none" w:sz="0" w:space="0" w:color="000000"/>
          <w:left w:val="none" w:sz="0" w:space="0" w:color="000000"/>
          <w:bottom w:val="none" w:sz="0" w:space="0" w:color="000000"/>
          <w:right w:val="none" w:sz="0" w:space="0" w:color="000000"/>
        </w:pBdr>
        <w:spacing w:before="60" w:after="60"/>
        <w:ind w:left="60" w:right="60"/>
        <w:jc w:val="center"/>
      </w:pPr>
      <w:r>
        <w:t>Table S2. Median, minimum, and maximum per simulation of protection against infection, protection against severe disease, weeks since vaccination, and weeks since infection across 200 simulated populations for each of the 8 combinations of vaccine protection, infection protection, and hybrid protection definitions.</w:t>
      </w:r>
    </w:p>
    <w:tbl>
      <w:tblPr>
        <w:tblStyle w:val="Table"/>
        <w:tblW w:w="0" w:type="pct"/>
        <w:jc w:val="center"/>
        <w:tblLook w:val="0420" w:firstRow="1" w:lastRow="0" w:firstColumn="0" w:lastColumn="0" w:noHBand="0" w:noVBand="1"/>
      </w:tblPr>
      <w:tblGrid>
        <w:gridCol w:w="1416"/>
        <w:gridCol w:w="1248"/>
        <w:gridCol w:w="1567"/>
        <w:gridCol w:w="1214"/>
        <w:gridCol w:w="1365"/>
        <w:gridCol w:w="1275"/>
        <w:gridCol w:w="1275"/>
      </w:tblGrid>
      <w:tr w:rsidR="0095436D" w14:paraId="1EE408AE" w14:textId="77777777" w:rsidTr="0095436D">
        <w:trPr>
          <w:cnfStyle w:val="100000000000" w:firstRow="1" w:lastRow="0" w:firstColumn="0" w:lastColumn="0" w:oddVBand="0" w:evenVBand="0" w:oddHBand="0" w:evenHBand="0" w:firstRowFirstColumn="0" w:firstRowLastColumn="0" w:lastRowFirstColumn="0" w:lastRowLastColumn="0"/>
          <w:tblHeader/>
          <w:jc w:val="center"/>
        </w:trPr>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A7"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Vaccine protection</w:t>
            </w:r>
            <w:r>
              <w:rPr>
                <w:rFonts w:ascii="Arial" w:eastAsia="Arial" w:hAnsi="Arial" w:cs="Arial"/>
                <w:color w:val="000000"/>
                <w:sz w:val="16"/>
                <w:szCs w:val="16"/>
              </w:rPr>
              <w:br/>
              <w:t>defintion (VP)</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A8"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Infection protection</w:t>
            </w:r>
            <w:r>
              <w:rPr>
                <w:rFonts w:ascii="Arial" w:eastAsia="Arial" w:hAnsi="Arial" w:cs="Arial"/>
                <w:color w:val="000000"/>
                <w:sz w:val="16"/>
                <w:szCs w:val="16"/>
              </w:rPr>
              <w:br/>
              <w:t>defintion (IP)</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A9"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Hybrid protection</w:t>
            </w:r>
            <w:r>
              <w:rPr>
                <w:rFonts w:ascii="Arial" w:eastAsia="Arial" w:hAnsi="Arial" w:cs="Arial"/>
                <w:color w:val="000000"/>
                <w:sz w:val="16"/>
                <w:szCs w:val="16"/>
              </w:rPr>
              <w:br/>
              <w:t>defintion (HP)</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AA"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Median protection</w:t>
            </w:r>
            <w:r>
              <w:rPr>
                <w:rFonts w:ascii="Arial" w:eastAsia="Arial" w:hAnsi="Arial" w:cs="Arial"/>
                <w:color w:val="000000"/>
                <w:sz w:val="16"/>
                <w:szCs w:val="16"/>
              </w:rPr>
              <w:br/>
              <w:t>against infection</w:t>
            </w:r>
            <w:r>
              <w:rPr>
                <w:rFonts w:ascii="Arial" w:eastAsia="Arial" w:hAnsi="Arial" w:cs="Arial"/>
                <w:color w:val="000000"/>
                <w:sz w:val="16"/>
                <w:szCs w:val="16"/>
              </w:rPr>
              <w:br/>
              <w:t>per simulation</w:t>
            </w:r>
            <w:r>
              <w:rPr>
                <w:rFonts w:ascii="Arial" w:eastAsia="Arial" w:hAnsi="Arial" w:cs="Arial"/>
                <w:color w:val="000000"/>
                <w:sz w:val="16"/>
                <w:szCs w:val="16"/>
              </w:rPr>
              <w:br/>
              <w:t>median (min, max)</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AB"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Median protection</w:t>
            </w:r>
            <w:r>
              <w:rPr>
                <w:rFonts w:ascii="Arial" w:eastAsia="Arial" w:hAnsi="Arial" w:cs="Arial"/>
                <w:color w:val="000000"/>
                <w:sz w:val="16"/>
                <w:szCs w:val="16"/>
              </w:rPr>
              <w:br/>
              <w:t>against severe disease</w:t>
            </w:r>
            <w:r>
              <w:rPr>
                <w:rFonts w:ascii="Arial" w:eastAsia="Arial" w:hAnsi="Arial" w:cs="Arial"/>
                <w:color w:val="000000"/>
                <w:sz w:val="16"/>
                <w:szCs w:val="16"/>
              </w:rPr>
              <w:br/>
              <w:t>per simulation</w:t>
            </w:r>
            <w:r>
              <w:rPr>
                <w:rFonts w:ascii="Arial" w:eastAsia="Arial" w:hAnsi="Arial" w:cs="Arial"/>
                <w:color w:val="000000"/>
                <w:sz w:val="16"/>
                <w:szCs w:val="16"/>
              </w:rPr>
              <w:br/>
              <w:t>median (min, max)</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AC"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Median weeks</w:t>
            </w:r>
            <w:r>
              <w:rPr>
                <w:rFonts w:ascii="Arial" w:eastAsia="Arial" w:hAnsi="Arial" w:cs="Arial"/>
                <w:color w:val="000000"/>
                <w:sz w:val="16"/>
                <w:szCs w:val="16"/>
              </w:rPr>
              <w:br/>
              <w:t>since vaccination</w:t>
            </w:r>
            <w:r>
              <w:rPr>
                <w:rFonts w:ascii="Arial" w:eastAsia="Arial" w:hAnsi="Arial" w:cs="Arial"/>
                <w:color w:val="000000"/>
                <w:sz w:val="16"/>
                <w:szCs w:val="16"/>
              </w:rPr>
              <w:br/>
              <w:t>per simulation</w:t>
            </w:r>
            <w:r>
              <w:rPr>
                <w:rFonts w:ascii="Arial" w:eastAsia="Arial" w:hAnsi="Arial" w:cs="Arial"/>
                <w:color w:val="000000"/>
                <w:sz w:val="16"/>
                <w:szCs w:val="16"/>
              </w:rPr>
              <w:br/>
              <w:t>median(min, max)</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AD"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Median weeks</w:t>
            </w:r>
            <w:r>
              <w:rPr>
                <w:rFonts w:ascii="Arial" w:eastAsia="Arial" w:hAnsi="Arial" w:cs="Arial"/>
                <w:color w:val="000000"/>
                <w:sz w:val="16"/>
                <w:szCs w:val="16"/>
              </w:rPr>
              <w:br/>
              <w:t>since infection</w:t>
            </w:r>
            <w:r>
              <w:rPr>
                <w:rFonts w:ascii="Arial" w:eastAsia="Arial" w:hAnsi="Arial" w:cs="Arial"/>
                <w:color w:val="000000"/>
                <w:sz w:val="16"/>
                <w:szCs w:val="16"/>
              </w:rPr>
              <w:br/>
              <w:t>per simulation</w:t>
            </w:r>
            <w:r>
              <w:rPr>
                <w:rFonts w:ascii="Arial" w:eastAsia="Arial" w:hAnsi="Arial" w:cs="Arial"/>
                <w:color w:val="000000"/>
                <w:sz w:val="16"/>
                <w:szCs w:val="16"/>
              </w:rPr>
              <w:br/>
              <w:t>median(min, max)</w:t>
            </w:r>
          </w:p>
        </w:tc>
      </w:tr>
      <w:tr w:rsidR="0095436D" w14:paraId="1EE408B6" w14:textId="77777777" w:rsidTr="0095436D">
        <w:trPr>
          <w:jc w:val="center"/>
        </w:trPr>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AF"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VP wanes by 48(24) wks</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B0"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IP wanes by 96 wks</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B1"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Additional 30% either</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B2"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0.46 (0.33, 0.51)</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B3"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0.94 (0.90, 0.96)</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B4"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68.0 (68.0, 69.0)</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B5"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45.0 (41.0, 52.0)</w:t>
            </w:r>
          </w:p>
        </w:tc>
      </w:tr>
      <w:tr w:rsidR="0095436D" w14:paraId="1EE408BE" w14:textId="77777777" w:rsidTr="0095436D">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B7"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VP wanes by 24(12) wks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B8"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IP wanes by 96 wks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B9"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Additional 30% either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BA"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0.46 (0.31, 0.51)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BB"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0.95 (0.89, 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BC"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68.0 (68.0, 69.0)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BD"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46.0 (41.0, 53.0)</w:t>
            </w:r>
          </w:p>
        </w:tc>
      </w:tr>
      <w:tr w:rsidR="0095436D" w14:paraId="1EE408C6" w14:textId="77777777" w:rsidTr="0095436D">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BF"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VP wanes by 48(24) wks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C0"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IP wanes by 72 wks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C1"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Additional 30% either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C2"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0.37 (0.26, 0.44)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C3"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0.95 (0.92, 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C4"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68.0 (67.0, 69.0)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C5"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42.0 (36.0, 47.0)</w:t>
            </w:r>
          </w:p>
        </w:tc>
      </w:tr>
      <w:tr w:rsidR="0095436D" w14:paraId="1EE408CE" w14:textId="77777777" w:rsidTr="0095436D">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C7"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VP wanes by 24(12) wks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C8"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IP wanes by 72 wks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C9"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Additional 30% either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CA"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0.36 (0.26, 0.43)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CB"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0.96 (0.93, 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CC"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68.0 (68.0, 69.0)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CD"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42.0 (37.0, 47.0)</w:t>
            </w:r>
          </w:p>
        </w:tc>
      </w:tr>
      <w:tr w:rsidR="0095436D" w14:paraId="1EE408D6" w14:textId="77777777" w:rsidTr="0095436D">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CF"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VP wanes by 48(24) wks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D0"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IP wanes by 96 wks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D1"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Additional 10% VP or 30% IP</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D2"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0.46 (0.40, 0.50)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D3"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0.89 (0.87, 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D4"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68.0 (68.0, 69.0)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D5"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45.0 (41.0, 49.0)</w:t>
            </w:r>
          </w:p>
        </w:tc>
      </w:tr>
      <w:tr w:rsidR="0095436D" w14:paraId="1EE408DE" w14:textId="77777777" w:rsidTr="0095436D">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D7"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VP wanes by 24(12) wks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D8"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IP wanes by 96 wks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D9"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Additional 10% VP or 30% IP</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DA"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0.46 (0.35, 0.50)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DB"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0.90 (0.87, 0.91)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DC"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68.0 (68.0, 69.0)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DD"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46.0 (41.0, 51.0)</w:t>
            </w:r>
          </w:p>
        </w:tc>
      </w:tr>
      <w:tr w:rsidR="0095436D" w14:paraId="1EE408E6" w14:textId="77777777" w:rsidTr="0095436D">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DF"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VP wanes by 48(24) wks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E0"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IP wanes by 72 wks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E1"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Additional 10% VP or 30% IP</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E2"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0.36 (0.26, 0.44)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E3"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0.90 (0.87, 0.92)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E4"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68.0 (67.0, 69.0)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E5"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42.0 (36.0, 47.0)</w:t>
            </w:r>
          </w:p>
        </w:tc>
      </w:tr>
      <w:tr w:rsidR="0095436D" w14:paraId="1EE408EE" w14:textId="77777777" w:rsidTr="0095436D">
        <w:trPr>
          <w:jc w:val="center"/>
        </w:trPr>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E7"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VP wanes by 24(12) wks</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E8"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IP wanes by 72 wks</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E9"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Additional 10% VP or 30% IP</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EA"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0.36 (0.24, 0.43)</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EB"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0.90 (0.87, 0.92)</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EC"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68.0 (68.0, 69.0)</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ED"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42.0 (37.0, 48.0)</w:t>
            </w:r>
          </w:p>
        </w:tc>
      </w:tr>
    </w:tbl>
    <w:p w14:paraId="1EE408EF" w14:textId="77777777" w:rsidR="0095436D" w:rsidRDefault="00000000">
      <w:r>
        <w:br w:type="page"/>
      </w:r>
    </w:p>
    <w:p w14:paraId="1EE408F0" w14:textId="77777777" w:rsidR="0095436D" w:rsidRDefault="00000000">
      <w:pPr>
        <w:pStyle w:val="TableCaption"/>
        <w:pBdr>
          <w:top w:val="none" w:sz="0" w:space="0" w:color="000000"/>
          <w:left w:val="none" w:sz="0" w:space="0" w:color="000000"/>
          <w:bottom w:val="none" w:sz="0" w:space="0" w:color="000000"/>
          <w:right w:val="none" w:sz="0" w:space="0" w:color="000000"/>
        </w:pBdr>
        <w:spacing w:before="60" w:after="60"/>
        <w:ind w:left="60" w:right="60"/>
        <w:jc w:val="center"/>
      </w:pPr>
      <w:r>
        <w:lastRenderedPageBreak/>
        <w:t>Table S3. Median, minimum, and maximum per simulation for protection against infection, protection against severe disease, weeks since vaccination, and weeks since infection across 1,600 simulated populations broken down by number of vaccinations.</w:t>
      </w:r>
    </w:p>
    <w:tbl>
      <w:tblPr>
        <w:tblStyle w:val="Table"/>
        <w:tblW w:w="0" w:type="pct"/>
        <w:jc w:val="center"/>
        <w:tblLook w:val="0420" w:firstRow="1" w:lastRow="0" w:firstColumn="0" w:lastColumn="0" w:noHBand="0" w:noVBand="1"/>
      </w:tblPr>
      <w:tblGrid>
        <w:gridCol w:w="1460"/>
        <w:gridCol w:w="1236"/>
        <w:gridCol w:w="1272"/>
        <w:gridCol w:w="1442"/>
        <w:gridCol w:w="1349"/>
        <w:gridCol w:w="1329"/>
        <w:gridCol w:w="1272"/>
      </w:tblGrid>
      <w:tr w:rsidR="0095436D" w14:paraId="1EE408F8" w14:textId="77777777" w:rsidTr="0095436D">
        <w:trPr>
          <w:cnfStyle w:val="100000000000" w:firstRow="1" w:lastRow="0" w:firstColumn="0" w:lastColumn="0" w:oddVBand="0" w:evenVBand="0" w:oddHBand="0" w:evenHBand="0" w:firstRowFirstColumn="0" w:firstRowLastColumn="0" w:lastRowFirstColumn="0" w:lastRowLastColumn="0"/>
          <w:tblHeader/>
          <w:jc w:val="center"/>
        </w:trPr>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F1"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Number of vaccinations</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F2"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N</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F3"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Median protection</w:t>
            </w:r>
            <w:r>
              <w:rPr>
                <w:rFonts w:ascii="Arial" w:eastAsia="Arial" w:hAnsi="Arial" w:cs="Arial"/>
                <w:color w:val="000000"/>
                <w:sz w:val="16"/>
                <w:szCs w:val="16"/>
              </w:rPr>
              <w:br/>
              <w:t>against infection</w:t>
            </w:r>
            <w:r>
              <w:rPr>
                <w:rFonts w:ascii="Arial" w:eastAsia="Arial" w:hAnsi="Arial" w:cs="Arial"/>
                <w:color w:val="000000"/>
                <w:sz w:val="16"/>
                <w:szCs w:val="16"/>
              </w:rPr>
              <w:br/>
              <w:t>per simulation</w:t>
            </w:r>
            <w:r>
              <w:rPr>
                <w:rFonts w:ascii="Arial" w:eastAsia="Arial" w:hAnsi="Arial" w:cs="Arial"/>
                <w:color w:val="000000"/>
                <w:sz w:val="16"/>
                <w:szCs w:val="16"/>
              </w:rPr>
              <w:br/>
              <w:t>median(min, max)</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F4"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Median protection</w:t>
            </w:r>
            <w:r>
              <w:rPr>
                <w:rFonts w:ascii="Arial" w:eastAsia="Arial" w:hAnsi="Arial" w:cs="Arial"/>
                <w:color w:val="000000"/>
                <w:sz w:val="16"/>
                <w:szCs w:val="16"/>
              </w:rPr>
              <w:br/>
              <w:t>against severe disease</w:t>
            </w:r>
            <w:r>
              <w:rPr>
                <w:rFonts w:ascii="Arial" w:eastAsia="Arial" w:hAnsi="Arial" w:cs="Arial"/>
                <w:color w:val="000000"/>
                <w:sz w:val="16"/>
                <w:szCs w:val="16"/>
              </w:rPr>
              <w:br/>
              <w:t>per simulation</w:t>
            </w:r>
            <w:r>
              <w:rPr>
                <w:rFonts w:ascii="Arial" w:eastAsia="Arial" w:hAnsi="Arial" w:cs="Arial"/>
                <w:color w:val="000000"/>
                <w:sz w:val="16"/>
                <w:szCs w:val="16"/>
              </w:rPr>
              <w:br/>
              <w:t>median(min, max)</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F5"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Median weeks</w:t>
            </w:r>
            <w:r>
              <w:rPr>
                <w:rFonts w:ascii="Arial" w:eastAsia="Arial" w:hAnsi="Arial" w:cs="Arial"/>
                <w:color w:val="000000"/>
                <w:sz w:val="16"/>
                <w:szCs w:val="16"/>
              </w:rPr>
              <w:br/>
              <w:t>since vaccination</w:t>
            </w:r>
            <w:r>
              <w:rPr>
                <w:rFonts w:ascii="Arial" w:eastAsia="Arial" w:hAnsi="Arial" w:cs="Arial"/>
                <w:color w:val="000000"/>
                <w:sz w:val="16"/>
                <w:szCs w:val="16"/>
              </w:rPr>
              <w:br/>
              <w:t>per simulation</w:t>
            </w:r>
            <w:r>
              <w:rPr>
                <w:rFonts w:ascii="Arial" w:eastAsia="Arial" w:hAnsi="Arial" w:cs="Arial"/>
                <w:color w:val="000000"/>
                <w:sz w:val="16"/>
                <w:szCs w:val="16"/>
              </w:rPr>
              <w:br/>
              <w:t>median(min, max)</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F6"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N with prior</w:t>
            </w:r>
            <w:r>
              <w:rPr>
                <w:rFonts w:ascii="Arial" w:eastAsia="Arial" w:hAnsi="Arial" w:cs="Arial"/>
                <w:color w:val="000000"/>
                <w:sz w:val="16"/>
                <w:szCs w:val="16"/>
              </w:rPr>
              <w:br/>
              <w:t>infection</w:t>
            </w:r>
            <w:r>
              <w:rPr>
                <w:rFonts w:ascii="Arial" w:eastAsia="Arial" w:hAnsi="Arial" w:cs="Arial"/>
                <w:color w:val="000000"/>
                <w:sz w:val="16"/>
                <w:szCs w:val="16"/>
              </w:rPr>
              <w:br/>
              <w:t>per simulation</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8F7"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Median weeks</w:t>
            </w:r>
            <w:r>
              <w:rPr>
                <w:rFonts w:ascii="Arial" w:eastAsia="Arial" w:hAnsi="Arial" w:cs="Arial"/>
                <w:color w:val="000000"/>
                <w:sz w:val="16"/>
                <w:szCs w:val="16"/>
              </w:rPr>
              <w:br/>
              <w:t>since infection</w:t>
            </w:r>
            <w:r>
              <w:rPr>
                <w:rFonts w:ascii="Arial" w:eastAsia="Arial" w:hAnsi="Arial" w:cs="Arial"/>
                <w:color w:val="000000"/>
                <w:sz w:val="16"/>
                <w:szCs w:val="16"/>
              </w:rPr>
              <w:br/>
              <w:t>per simulation</w:t>
            </w:r>
            <w:r>
              <w:rPr>
                <w:rFonts w:ascii="Arial" w:eastAsia="Arial" w:hAnsi="Arial" w:cs="Arial"/>
                <w:color w:val="000000"/>
                <w:sz w:val="16"/>
                <w:szCs w:val="16"/>
              </w:rPr>
              <w:br/>
              <w:t>median(min, max)</w:t>
            </w:r>
          </w:p>
        </w:tc>
      </w:tr>
      <w:tr w:rsidR="0095436D" w14:paraId="1EE40900" w14:textId="77777777" w:rsidTr="0095436D">
        <w:trPr>
          <w:jc w:val="center"/>
        </w:trPr>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F9"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FA"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36454 (35996, 36929)</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FB"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0.42 (0.24, 0.52)</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FC"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0.83 (0.79, 0.86)</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FD"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FE"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35904 (32348, 36687)</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8FF"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44.0 (35.0, 56.0)</w:t>
            </w:r>
          </w:p>
        </w:tc>
      </w:tr>
      <w:tr w:rsidR="0095436D" w14:paraId="1EE40908" w14:textId="77777777" w:rsidTr="0095436D">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01"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02"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24820 (24392, 25285)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03"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0.41 (0.24, 0.52)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04"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0.91 (0.85, 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05"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104.0 (103.0, 104.0)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06"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24306 (21823, 25179)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07"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44.0 (36.0, 56.0)</w:t>
            </w:r>
          </w:p>
        </w:tc>
      </w:tr>
      <w:tr w:rsidR="0095436D" w14:paraId="1EE40910" w14:textId="77777777" w:rsidTr="0095436D">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09"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0A"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14011 (13600, 14358)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0B"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0.43 (0.27, 0.52)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0C"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0.95 (0.88, 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0D"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72.0 (72.0, 73.0)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0E"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13649 (12194, 14107)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0F"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43.0 (35.0, 51.0)</w:t>
            </w:r>
          </w:p>
        </w:tc>
      </w:tr>
      <w:tr w:rsidR="0095436D" w14:paraId="1EE40918" w14:textId="77777777" w:rsidTr="0095436D">
        <w:trPr>
          <w:jc w:val="center"/>
        </w:trPr>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911"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4</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912"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24725 (24348, 25147)</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913"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0.40 (0.21, 0.50)</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914"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0.99 (0.99, 0.99)</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915"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28.0 (28.0, 29.0)</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916"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22708 (17249, 24462)</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917"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44.0 (38.0, 49.0)</w:t>
            </w:r>
          </w:p>
        </w:tc>
      </w:tr>
    </w:tbl>
    <w:p w14:paraId="1EE40919" w14:textId="77777777" w:rsidR="0095436D" w:rsidRDefault="00000000">
      <w:r>
        <w:br w:type="page"/>
      </w:r>
    </w:p>
    <w:p w14:paraId="1EE4091A" w14:textId="77777777" w:rsidR="0095436D" w:rsidRDefault="00000000">
      <w:pPr>
        <w:pStyle w:val="TableCaption"/>
        <w:pBdr>
          <w:top w:val="none" w:sz="0" w:space="0" w:color="000000"/>
          <w:left w:val="none" w:sz="0" w:space="0" w:color="000000"/>
          <w:bottom w:val="none" w:sz="0" w:space="0" w:color="000000"/>
          <w:right w:val="none" w:sz="0" w:space="0" w:color="000000"/>
        </w:pBdr>
        <w:spacing w:before="60" w:after="60"/>
        <w:ind w:left="60" w:right="60"/>
        <w:jc w:val="center"/>
      </w:pPr>
      <w:r>
        <w:lastRenderedPageBreak/>
        <w:t>Table S4. Median, minimum, and maximum protection against infection, protection against severe disease, weeks since vaccination, and weeks since infection across 1,600 simulated populations broken down by number of number of infections</w:t>
      </w:r>
    </w:p>
    <w:tbl>
      <w:tblPr>
        <w:tblStyle w:val="Table"/>
        <w:tblW w:w="0" w:type="pct"/>
        <w:jc w:val="center"/>
        <w:tblLook w:val="0420" w:firstRow="1" w:lastRow="0" w:firstColumn="0" w:lastColumn="0" w:noHBand="0" w:noVBand="1"/>
      </w:tblPr>
      <w:tblGrid>
        <w:gridCol w:w="1298"/>
        <w:gridCol w:w="1294"/>
        <w:gridCol w:w="1295"/>
        <w:gridCol w:w="1485"/>
        <w:gridCol w:w="1398"/>
        <w:gridCol w:w="1295"/>
        <w:gridCol w:w="1295"/>
      </w:tblGrid>
      <w:tr w:rsidR="0095436D" w14:paraId="1EE40922" w14:textId="77777777" w:rsidTr="0095436D">
        <w:trPr>
          <w:cnfStyle w:val="100000000000" w:firstRow="1" w:lastRow="0" w:firstColumn="0" w:lastColumn="0" w:oddVBand="0" w:evenVBand="0" w:oddHBand="0" w:evenHBand="0" w:firstRowFirstColumn="0" w:firstRowLastColumn="0" w:lastRowFirstColumn="0" w:lastRowLastColumn="0"/>
          <w:tblHeader/>
          <w:jc w:val="center"/>
        </w:trPr>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91B"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Number of infections</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91C"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N</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91D"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Median protection</w:t>
            </w:r>
            <w:r>
              <w:rPr>
                <w:rFonts w:ascii="Arial" w:eastAsia="Arial" w:hAnsi="Arial" w:cs="Arial"/>
                <w:color w:val="000000"/>
                <w:sz w:val="16"/>
                <w:szCs w:val="16"/>
              </w:rPr>
              <w:br/>
              <w:t>against infection</w:t>
            </w:r>
            <w:r>
              <w:rPr>
                <w:rFonts w:ascii="Arial" w:eastAsia="Arial" w:hAnsi="Arial" w:cs="Arial"/>
                <w:color w:val="000000"/>
                <w:sz w:val="16"/>
                <w:szCs w:val="16"/>
              </w:rPr>
              <w:br/>
              <w:t>per simulation</w:t>
            </w:r>
            <w:r>
              <w:rPr>
                <w:rFonts w:ascii="Arial" w:eastAsia="Arial" w:hAnsi="Arial" w:cs="Arial"/>
                <w:color w:val="000000"/>
                <w:sz w:val="16"/>
                <w:szCs w:val="16"/>
              </w:rPr>
              <w:br/>
              <w:t>median(min, max)</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91E"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Median protection</w:t>
            </w:r>
            <w:r>
              <w:rPr>
                <w:rFonts w:ascii="Arial" w:eastAsia="Arial" w:hAnsi="Arial" w:cs="Arial"/>
                <w:color w:val="000000"/>
                <w:sz w:val="16"/>
                <w:szCs w:val="16"/>
              </w:rPr>
              <w:br/>
              <w:t>against severe disease</w:t>
            </w:r>
            <w:r>
              <w:rPr>
                <w:rFonts w:ascii="Arial" w:eastAsia="Arial" w:hAnsi="Arial" w:cs="Arial"/>
                <w:color w:val="000000"/>
                <w:sz w:val="16"/>
                <w:szCs w:val="16"/>
              </w:rPr>
              <w:br/>
              <w:t>per simulation</w:t>
            </w:r>
            <w:r>
              <w:rPr>
                <w:rFonts w:ascii="Arial" w:eastAsia="Arial" w:hAnsi="Arial" w:cs="Arial"/>
                <w:color w:val="000000"/>
                <w:sz w:val="16"/>
                <w:szCs w:val="16"/>
              </w:rPr>
              <w:br/>
              <w:t>median(min, max)</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91F"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N vaccinated</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920"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Median weeks</w:t>
            </w:r>
            <w:r>
              <w:rPr>
                <w:rFonts w:ascii="Arial" w:eastAsia="Arial" w:hAnsi="Arial" w:cs="Arial"/>
                <w:color w:val="000000"/>
                <w:sz w:val="16"/>
                <w:szCs w:val="16"/>
              </w:rPr>
              <w:br/>
              <w:t>since vaccination</w:t>
            </w:r>
            <w:r>
              <w:rPr>
                <w:rFonts w:ascii="Arial" w:eastAsia="Arial" w:hAnsi="Arial" w:cs="Arial"/>
                <w:color w:val="000000"/>
                <w:sz w:val="16"/>
                <w:szCs w:val="16"/>
              </w:rPr>
              <w:br/>
              <w:t>per simulation</w:t>
            </w:r>
            <w:r>
              <w:rPr>
                <w:rFonts w:ascii="Arial" w:eastAsia="Arial" w:hAnsi="Arial" w:cs="Arial"/>
                <w:color w:val="000000"/>
                <w:sz w:val="16"/>
                <w:szCs w:val="16"/>
              </w:rPr>
              <w:br/>
              <w:t>median(min, max)</w:t>
            </w:r>
          </w:p>
        </w:tc>
        <w:tc>
          <w:tcPr>
            <w:tcW w:w="0" w:type="auto"/>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921"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Median weeks</w:t>
            </w:r>
            <w:r>
              <w:rPr>
                <w:rFonts w:ascii="Arial" w:eastAsia="Arial" w:hAnsi="Arial" w:cs="Arial"/>
                <w:color w:val="000000"/>
                <w:sz w:val="16"/>
                <w:szCs w:val="16"/>
              </w:rPr>
              <w:br/>
              <w:t>since infection</w:t>
            </w:r>
            <w:r>
              <w:rPr>
                <w:rFonts w:ascii="Arial" w:eastAsia="Arial" w:hAnsi="Arial" w:cs="Arial"/>
                <w:color w:val="000000"/>
                <w:sz w:val="16"/>
                <w:szCs w:val="16"/>
              </w:rPr>
              <w:br/>
              <w:t>per simulation</w:t>
            </w:r>
            <w:r>
              <w:rPr>
                <w:rFonts w:ascii="Arial" w:eastAsia="Arial" w:hAnsi="Arial" w:cs="Arial"/>
                <w:color w:val="000000"/>
                <w:sz w:val="16"/>
                <w:szCs w:val="16"/>
              </w:rPr>
              <w:br/>
              <w:t>median(min, max)</w:t>
            </w:r>
          </w:p>
        </w:tc>
      </w:tr>
      <w:tr w:rsidR="0095436D" w14:paraId="1EE4092A" w14:textId="77777777" w:rsidTr="0095436D">
        <w:trPr>
          <w:jc w:val="center"/>
        </w:trPr>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23"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24"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3414 (794, 15379)</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25"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0.00 (0.00, 0.00)</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26"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0.70 (0.60, 0.73)</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27"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2859 (679, 11885)</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28"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32.0 (31.0, 33.0)</w:t>
            </w:r>
          </w:p>
        </w:tc>
        <w:tc>
          <w:tcPr>
            <w:tcW w:w="0" w:type="auto"/>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29"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w:t>
            </w:r>
          </w:p>
        </w:tc>
      </w:tr>
      <w:tr w:rsidR="0095436D" w14:paraId="1EE40932" w14:textId="77777777" w:rsidTr="0095436D">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2B"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2C"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27370 (13460, 48763)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2D"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0.18 (0.05, 0.29)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2E"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0.92 (0.87, 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2F"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20260 (10397, 32447)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30"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61.0 (35.0, 70.0)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31"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67.0 (65.0, 69.0)</w:t>
            </w:r>
          </w:p>
        </w:tc>
      </w:tr>
      <w:tr w:rsidR="0095436D" w14:paraId="1EE4093A" w14:textId="77777777" w:rsidTr="0095436D">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33"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34"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39506 (28711, 42006)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35"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0.43 (0.35, 0.51)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36"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0.93 (0.90, 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37"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24788 (16167, 26657)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38"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71.0 (67.0, 78.0)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39"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43.0 (41.0, 46.0)</w:t>
            </w:r>
          </w:p>
        </w:tc>
      </w:tr>
      <w:tr w:rsidR="0095436D" w14:paraId="1EE40942" w14:textId="77777777" w:rsidTr="0095436D">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3B"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3C"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21685 (6267, 32009)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3D"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0.61 (0.55, 0.65)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3E"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0.93 (0.90, 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3F"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11824 (3159, 18847)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40"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75.0 (71.0, 82.0)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41"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26.0 (23.0, 28.0)</w:t>
            </w:r>
          </w:p>
        </w:tc>
      </w:tr>
      <w:tr w:rsidR="0095436D" w14:paraId="1EE4094A" w14:textId="77777777" w:rsidTr="0095436D">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43"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44"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5914 (813, 14218)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45"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0.67 (0.64, 0.70)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46"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0.92 (0.89, 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47"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2918 (391, 7516)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48"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77.0 (72.0, 88.0)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40949"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17.0 (16.0, 18.0)</w:t>
            </w:r>
          </w:p>
        </w:tc>
      </w:tr>
      <w:tr w:rsidR="0095436D" w14:paraId="1EE40952" w14:textId="77777777" w:rsidTr="0095436D">
        <w:trPr>
          <w:jc w:val="center"/>
        </w:trPr>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94B"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&gt;=5</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94C"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1292 (67, 5236)</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94D"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0.69 (0.65, 0.72)</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94E"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0.89 (0.85, 0.94)</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94F"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586 (30, 2444)</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950"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80.0 (68.0, 100.0)</w:t>
            </w:r>
          </w:p>
        </w:tc>
        <w:tc>
          <w:tcPr>
            <w:tcW w:w="0" w:type="auto"/>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E40951" w14:textId="77777777" w:rsidR="0095436D" w:rsidRDefault="00000000">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sz w:val="16"/>
                <w:szCs w:val="16"/>
              </w:rPr>
              <w:t>14.0 (12.0, 16.0)</w:t>
            </w:r>
          </w:p>
        </w:tc>
      </w:tr>
    </w:tbl>
    <w:p w14:paraId="1EE40953" w14:textId="77777777" w:rsidR="0095436D" w:rsidRDefault="00000000">
      <w:r>
        <w:br w:type="page"/>
      </w:r>
    </w:p>
    <w:p w14:paraId="1EE40954" w14:textId="77777777" w:rsidR="0095436D" w:rsidRDefault="00000000">
      <w:pPr>
        <w:pStyle w:val="Heading2"/>
      </w:pPr>
      <w:bookmarkStart w:id="40" w:name="supplemental-figures"/>
      <w:bookmarkStart w:id="41" w:name="_Toc172030382"/>
      <w:bookmarkEnd w:id="38"/>
      <w:r>
        <w:lastRenderedPageBreak/>
        <w:t>Supplemental Figures</w:t>
      </w:r>
      <w:bookmarkEnd w:id="41"/>
    </w:p>
    <w:p w14:paraId="1EE40955" w14:textId="77777777" w:rsidR="0095436D" w:rsidRDefault="00000000">
      <w:pPr>
        <w:pStyle w:val="CaptionedFigure"/>
      </w:pPr>
      <w:r>
        <w:rPr>
          <w:noProof/>
        </w:rPr>
        <w:drawing>
          <wp:inline distT="0" distB="0" distL="0" distR="0" wp14:anchorId="1EE409D7" wp14:editId="1EE409D8">
            <wp:extent cx="5334000" cy="5667375"/>
            <wp:effectExtent l="0" t="0" r="0" b="0"/>
            <wp:docPr id="94" name="Picture" descr="Figure S19: Distribution of simulated VE estimates for VE against symptomatic infection and VE against severe disease. Estimates are for each exposure definition stratifed by estimates unadjusted for prior infection and adjusted for prior infection."/>
            <wp:cNvGraphicFramePr/>
            <a:graphic xmlns:a="http://schemas.openxmlformats.org/drawingml/2006/main">
              <a:graphicData uri="http://schemas.openxmlformats.org/drawingml/2006/picture">
                <pic:pic xmlns:pic="http://schemas.openxmlformats.org/drawingml/2006/picture">
                  <pic:nvPicPr>
                    <pic:cNvPr id="95" name="Picture" descr="tnd_prior_infection_supplement_unedited_2024-07-16_files/figure-docx/ve.ests.fig.test-1.png"/>
                    <pic:cNvPicPr>
                      <a:picLocks noChangeAspect="1" noChangeArrowheads="1"/>
                    </pic:cNvPicPr>
                  </pic:nvPicPr>
                  <pic:blipFill>
                    <a:blip r:embed="rId25"/>
                    <a:stretch>
                      <a:fillRect/>
                    </a:stretch>
                  </pic:blipFill>
                  <pic:spPr bwMode="auto">
                    <a:xfrm>
                      <a:off x="0" y="0"/>
                      <a:ext cx="5334000" cy="5667375"/>
                    </a:xfrm>
                    <a:prstGeom prst="rect">
                      <a:avLst/>
                    </a:prstGeom>
                    <a:noFill/>
                    <a:ln w="9525">
                      <a:noFill/>
                      <a:headEnd/>
                      <a:tailEnd/>
                    </a:ln>
                  </pic:spPr>
                </pic:pic>
              </a:graphicData>
            </a:graphic>
          </wp:inline>
        </w:drawing>
      </w:r>
    </w:p>
    <w:p w14:paraId="1EE40956" w14:textId="77777777" w:rsidR="0095436D" w:rsidRDefault="00000000">
      <w:pPr>
        <w:pStyle w:val="ImageCaption"/>
      </w:pPr>
      <w:r>
        <w:t>Figure S19: Distribution of simulated VE estimates for VE against symptomatic infection and VE against severe disease. Estimates are for each exposure definition stratifed by estimates unadjusted for prior infection and adjusted for prior infection.</w:t>
      </w:r>
    </w:p>
    <w:p w14:paraId="1EE40957" w14:textId="77777777" w:rsidR="0095436D" w:rsidRDefault="00000000">
      <w:pPr>
        <w:pStyle w:val="Heading3"/>
      </w:pPr>
      <w:bookmarkStart w:id="42" w:name="ve-against-symptomatic-infection"/>
      <w:bookmarkStart w:id="43" w:name="_Toc172030383"/>
      <w:r>
        <w:lastRenderedPageBreak/>
        <w:t>VE against symptomatic infection</w:t>
      </w:r>
      <w:bookmarkEnd w:id="43"/>
    </w:p>
    <w:p w14:paraId="1EE40958" w14:textId="77777777" w:rsidR="0095436D" w:rsidRDefault="00000000">
      <w:pPr>
        <w:pStyle w:val="CaptionedFigure"/>
      </w:pPr>
      <w:r>
        <w:rPr>
          <w:noProof/>
        </w:rPr>
        <w:drawing>
          <wp:inline distT="0" distB="0" distL="0" distR="0" wp14:anchorId="1EE409D9" wp14:editId="1EE409DA">
            <wp:extent cx="5334000" cy="3137647"/>
            <wp:effectExtent l="0" t="0" r="0" b="0"/>
            <wp:docPr id="97" name="Picture" descr="Figure S20: Unadjusted vaccine effectiveness (VE) against symptomatic infection, bias compared to adjusted VE estimates, and percentage of simulations with unadjusted VE less than zero (negative VE) for vaccination at any time during the analytic period."/>
            <wp:cNvGraphicFramePr/>
            <a:graphic xmlns:a="http://schemas.openxmlformats.org/drawingml/2006/main">
              <a:graphicData uri="http://schemas.openxmlformats.org/drawingml/2006/picture">
                <pic:pic xmlns:pic="http://schemas.openxmlformats.org/drawingml/2006/picture">
                  <pic:nvPicPr>
                    <pic:cNvPr id="98" name="Picture" descr="tnd_prior_infection_supplement_unedited_2024-07-16_files/figure-docx/fig.i.ap.vax-1.png"/>
                    <pic:cNvPicPr>
                      <a:picLocks noChangeAspect="1" noChangeArrowheads="1"/>
                    </pic:cNvPicPr>
                  </pic:nvPicPr>
                  <pic:blipFill>
                    <a:blip r:embed="rId26"/>
                    <a:stretch>
                      <a:fillRect/>
                    </a:stretch>
                  </pic:blipFill>
                  <pic:spPr bwMode="auto">
                    <a:xfrm>
                      <a:off x="0" y="0"/>
                      <a:ext cx="5334000" cy="3137647"/>
                    </a:xfrm>
                    <a:prstGeom prst="rect">
                      <a:avLst/>
                    </a:prstGeom>
                    <a:noFill/>
                    <a:ln w="9525">
                      <a:noFill/>
                      <a:headEnd/>
                      <a:tailEnd/>
                    </a:ln>
                  </pic:spPr>
                </pic:pic>
              </a:graphicData>
            </a:graphic>
          </wp:inline>
        </w:drawing>
      </w:r>
    </w:p>
    <w:p w14:paraId="1EE40959" w14:textId="77777777" w:rsidR="0095436D" w:rsidRDefault="00000000">
      <w:pPr>
        <w:pStyle w:val="ImageCaption"/>
      </w:pPr>
      <w:r>
        <w:t>Figure S20: Unadjusted vaccine effectiveness (VE) against symptomatic infection, bias compared to adjusted VE estimates, and percentage of simulations with unadjusted VE less than zero (negative VE) for vaccination at any time during the analytic period.</w:t>
      </w:r>
    </w:p>
    <w:p w14:paraId="1EE4095A" w14:textId="77777777" w:rsidR="0095436D" w:rsidRDefault="00000000">
      <w:r>
        <w:br w:type="page"/>
      </w:r>
    </w:p>
    <w:p w14:paraId="1EE4095B" w14:textId="77777777" w:rsidR="0095436D" w:rsidRDefault="00000000">
      <w:pPr>
        <w:pStyle w:val="CaptionedFigure"/>
      </w:pPr>
      <w:r>
        <w:rPr>
          <w:noProof/>
        </w:rPr>
        <w:lastRenderedPageBreak/>
        <w:drawing>
          <wp:inline distT="0" distB="0" distL="0" distR="0" wp14:anchorId="1EE409DB" wp14:editId="1EE409DC">
            <wp:extent cx="5334000" cy="3137647"/>
            <wp:effectExtent l="0" t="0" r="0" b="0"/>
            <wp:docPr id="100" name="Picture" descr="Figure S21: Unadjusted vaccine effectiveness (VE) against symptomatic infection, bias compared to adjusted VE estimates, and percentage of simulations with unadjusted VE less than zero (negative VE) for vaccination in the previous 2 months."/>
            <wp:cNvGraphicFramePr/>
            <a:graphic xmlns:a="http://schemas.openxmlformats.org/drawingml/2006/main">
              <a:graphicData uri="http://schemas.openxmlformats.org/drawingml/2006/picture">
                <pic:pic xmlns:pic="http://schemas.openxmlformats.org/drawingml/2006/picture">
                  <pic:nvPicPr>
                    <pic:cNvPr id="101" name="Picture" descr="tnd_prior_infection_supplement_unedited_2024-07-16_files/figure-docx/fig.i.vax2m-1.png"/>
                    <pic:cNvPicPr>
                      <a:picLocks noChangeAspect="1" noChangeArrowheads="1"/>
                    </pic:cNvPicPr>
                  </pic:nvPicPr>
                  <pic:blipFill>
                    <a:blip r:embed="rId27"/>
                    <a:stretch>
                      <a:fillRect/>
                    </a:stretch>
                  </pic:blipFill>
                  <pic:spPr bwMode="auto">
                    <a:xfrm>
                      <a:off x="0" y="0"/>
                      <a:ext cx="5334000" cy="3137647"/>
                    </a:xfrm>
                    <a:prstGeom prst="rect">
                      <a:avLst/>
                    </a:prstGeom>
                    <a:noFill/>
                    <a:ln w="9525">
                      <a:noFill/>
                      <a:headEnd/>
                      <a:tailEnd/>
                    </a:ln>
                  </pic:spPr>
                </pic:pic>
              </a:graphicData>
            </a:graphic>
          </wp:inline>
        </w:drawing>
      </w:r>
    </w:p>
    <w:p w14:paraId="1EE4095C" w14:textId="77777777" w:rsidR="0095436D" w:rsidRDefault="00000000">
      <w:pPr>
        <w:pStyle w:val="ImageCaption"/>
      </w:pPr>
      <w:r>
        <w:t>Figure S21: Unadjusted vaccine effectiveness (VE) against symptomatic infection, bias compared to adjusted VE estimates, and percentage of simulations with unadjusted VE less than zero (negative VE) for vaccination in the previous 2 months.</w:t>
      </w:r>
    </w:p>
    <w:p w14:paraId="1EE4095D" w14:textId="77777777" w:rsidR="0095436D" w:rsidRDefault="00000000">
      <w:r>
        <w:br w:type="page"/>
      </w:r>
    </w:p>
    <w:p w14:paraId="1EE4095E" w14:textId="77777777" w:rsidR="0095436D" w:rsidRDefault="00000000">
      <w:pPr>
        <w:pStyle w:val="CaptionedFigure"/>
      </w:pPr>
      <w:r>
        <w:rPr>
          <w:noProof/>
        </w:rPr>
        <w:lastRenderedPageBreak/>
        <w:drawing>
          <wp:inline distT="0" distB="0" distL="0" distR="0" wp14:anchorId="1EE409DD" wp14:editId="1EE409DE">
            <wp:extent cx="5334000" cy="3137647"/>
            <wp:effectExtent l="0" t="0" r="0" b="0"/>
            <wp:docPr id="103" name="Picture" descr="Figure S22: Unadjusted vaccine effectiveness (VE) against symptomatic infection, bias compared to adjusted VE estimates, and percentage of simulations with unadjusted VE less than zero (negative VE) for vaccination in the previous 4 months."/>
            <wp:cNvGraphicFramePr/>
            <a:graphic xmlns:a="http://schemas.openxmlformats.org/drawingml/2006/main">
              <a:graphicData uri="http://schemas.openxmlformats.org/drawingml/2006/picture">
                <pic:pic xmlns:pic="http://schemas.openxmlformats.org/drawingml/2006/picture">
                  <pic:nvPicPr>
                    <pic:cNvPr id="104" name="Picture" descr="tnd_prior_infection_supplement_unedited_2024-07-16_files/figure-docx/fig.i.vax4m-1.png"/>
                    <pic:cNvPicPr>
                      <a:picLocks noChangeAspect="1" noChangeArrowheads="1"/>
                    </pic:cNvPicPr>
                  </pic:nvPicPr>
                  <pic:blipFill>
                    <a:blip r:embed="rId28"/>
                    <a:stretch>
                      <a:fillRect/>
                    </a:stretch>
                  </pic:blipFill>
                  <pic:spPr bwMode="auto">
                    <a:xfrm>
                      <a:off x="0" y="0"/>
                      <a:ext cx="5334000" cy="3137647"/>
                    </a:xfrm>
                    <a:prstGeom prst="rect">
                      <a:avLst/>
                    </a:prstGeom>
                    <a:noFill/>
                    <a:ln w="9525">
                      <a:noFill/>
                      <a:headEnd/>
                      <a:tailEnd/>
                    </a:ln>
                  </pic:spPr>
                </pic:pic>
              </a:graphicData>
            </a:graphic>
          </wp:inline>
        </w:drawing>
      </w:r>
    </w:p>
    <w:p w14:paraId="1EE4095F" w14:textId="77777777" w:rsidR="0095436D" w:rsidRDefault="00000000">
      <w:pPr>
        <w:pStyle w:val="ImageCaption"/>
      </w:pPr>
      <w:r>
        <w:t>Figure S22: Unadjusted vaccine effectiveness (VE) against symptomatic infection, bias compared to adjusted VE estimates, and percentage of simulations with unadjusted VE less than zero (negative VE) for vaccination in the previous 4 months.</w:t>
      </w:r>
    </w:p>
    <w:p w14:paraId="1EE40960" w14:textId="77777777" w:rsidR="0095436D" w:rsidRDefault="00000000">
      <w:r>
        <w:br w:type="page"/>
      </w:r>
    </w:p>
    <w:p w14:paraId="1EE40961" w14:textId="77777777" w:rsidR="0095436D" w:rsidRDefault="00000000">
      <w:pPr>
        <w:pStyle w:val="CaptionedFigure"/>
      </w:pPr>
      <w:r>
        <w:rPr>
          <w:noProof/>
        </w:rPr>
        <w:lastRenderedPageBreak/>
        <w:drawing>
          <wp:inline distT="0" distB="0" distL="0" distR="0" wp14:anchorId="1EE409DF" wp14:editId="1EE409E0">
            <wp:extent cx="5334000" cy="3137647"/>
            <wp:effectExtent l="0" t="0" r="0" b="0"/>
            <wp:docPr id="106" name="Picture" descr="Figure S23: Unadjusted vaccine effectiveness (VE) against symptomatic infection, bias compared to adjusted VE estimates, and percentage of simulations with unadjusted VE less than zero (negative VE) for vaccination in the previous 5 months."/>
            <wp:cNvGraphicFramePr/>
            <a:graphic xmlns:a="http://schemas.openxmlformats.org/drawingml/2006/main">
              <a:graphicData uri="http://schemas.openxmlformats.org/drawingml/2006/picture">
                <pic:pic xmlns:pic="http://schemas.openxmlformats.org/drawingml/2006/picture">
                  <pic:nvPicPr>
                    <pic:cNvPr id="107" name="Picture" descr="tnd_prior_infection_supplement_unedited_2024-07-16_files/figure-docx/fig.i.vax5m-1.png"/>
                    <pic:cNvPicPr>
                      <a:picLocks noChangeAspect="1" noChangeArrowheads="1"/>
                    </pic:cNvPicPr>
                  </pic:nvPicPr>
                  <pic:blipFill>
                    <a:blip r:embed="rId29"/>
                    <a:stretch>
                      <a:fillRect/>
                    </a:stretch>
                  </pic:blipFill>
                  <pic:spPr bwMode="auto">
                    <a:xfrm>
                      <a:off x="0" y="0"/>
                      <a:ext cx="5334000" cy="3137647"/>
                    </a:xfrm>
                    <a:prstGeom prst="rect">
                      <a:avLst/>
                    </a:prstGeom>
                    <a:noFill/>
                    <a:ln w="9525">
                      <a:noFill/>
                      <a:headEnd/>
                      <a:tailEnd/>
                    </a:ln>
                  </pic:spPr>
                </pic:pic>
              </a:graphicData>
            </a:graphic>
          </wp:inline>
        </w:drawing>
      </w:r>
    </w:p>
    <w:p w14:paraId="1EE40962" w14:textId="77777777" w:rsidR="0095436D" w:rsidRDefault="00000000">
      <w:pPr>
        <w:pStyle w:val="ImageCaption"/>
      </w:pPr>
      <w:r>
        <w:t>Figure S23: Unadjusted vaccine effectiveness (VE) against symptomatic infection, bias compared to adjusted VE estimates, and percentage of simulations with unadjusted VE less than zero (negative VE) for vaccination in the previous 5 months.</w:t>
      </w:r>
    </w:p>
    <w:p w14:paraId="1EE40963" w14:textId="77777777" w:rsidR="0095436D" w:rsidRDefault="00000000">
      <w:r>
        <w:br w:type="page"/>
      </w:r>
    </w:p>
    <w:p w14:paraId="1EE40964" w14:textId="77777777" w:rsidR="0095436D" w:rsidRDefault="00000000">
      <w:pPr>
        <w:pStyle w:val="CaptionedFigure"/>
      </w:pPr>
      <w:r>
        <w:rPr>
          <w:noProof/>
        </w:rPr>
        <w:lastRenderedPageBreak/>
        <w:drawing>
          <wp:inline distT="0" distB="0" distL="0" distR="0" wp14:anchorId="1EE409E1" wp14:editId="1EE409E2">
            <wp:extent cx="5334000" cy="3137647"/>
            <wp:effectExtent l="0" t="0" r="0" b="0"/>
            <wp:docPr id="109" name="Picture" descr="Figure S24: Unadjusted vaccine effectiveness (VE) against symptomatic infection, bias compared to adjusted VE estimates, and percentage of simulations with unadjusted VE less than zero (negative VE) for vaccination in the previous 6 months."/>
            <wp:cNvGraphicFramePr/>
            <a:graphic xmlns:a="http://schemas.openxmlformats.org/drawingml/2006/main">
              <a:graphicData uri="http://schemas.openxmlformats.org/drawingml/2006/picture">
                <pic:pic xmlns:pic="http://schemas.openxmlformats.org/drawingml/2006/picture">
                  <pic:nvPicPr>
                    <pic:cNvPr id="110" name="Picture" descr="tnd_prior_infection_supplement_unedited_2024-07-16_files/figure-docx/fig.i.vax6m-1.png"/>
                    <pic:cNvPicPr>
                      <a:picLocks noChangeAspect="1" noChangeArrowheads="1"/>
                    </pic:cNvPicPr>
                  </pic:nvPicPr>
                  <pic:blipFill>
                    <a:blip r:embed="rId30"/>
                    <a:stretch>
                      <a:fillRect/>
                    </a:stretch>
                  </pic:blipFill>
                  <pic:spPr bwMode="auto">
                    <a:xfrm>
                      <a:off x="0" y="0"/>
                      <a:ext cx="5334000" cy="3137647"/>
                    </a:xfrm>
                    <a:prstGeom prst="rect">
                      <a:avLst/>
                    </a:prstGeom>
                    <a:noFill/>
                    <a:ln w="9525">
                      <a:noFill/>
                      <a:headEnd/>
                      <a:tailEnd/>
                    </a:ln>
                  </pic:spPr>
                </pic:pic>
              </a:graphicData>
            </a:graphic>
          </wp:inline>
        </w:drawing>
      </w:r>
    </w:p>
    <w:p w14:paraId="1EE40965" w14:textId="77777777" w:rsidR="0095436D" w:rsidRDefault="00000000">
      <w:pPr>
        <w:pStyle w:val="ImageCaption"/>
      </w:pPr>
      <w:r>
        <w:t>Figure S24: Unadjusted vaccine effectiveness (VE) against symptomatic infection, bias compared to adjusted VE estimates, and percentage of simulations with unadjusted VE less than zero (negative VE) for vaccination in the previous 6 months.</w:t>
      </w:r>
    </w:p>
    <w:p w14:paraId="1EE40966" w14:textId="77777777" w:rsidR="0095436D" w:rsidRDefault="00000000">
      <w:r>
        <w:br w:type="page"/>
      </w:r>
    </w:p>
    <w:p w14:paraId="1EE40967" w14:textId="77777777" w:rsidR="0095436D" w:rsidRDefault="00000000">
      <w:pPr>
        <w:pStyle w:val="CaptionedFigure"/>
      </w:pPr>
      <w:r>
        <w:rPr>
          <w:noProof/>
        </w:rPr>
        <w:lastRenderedPageBreak/>
        <w:drawing>
          <wp:inline distT="0" distB="0" distL="0" distR="0" wp14:anchorId="1EE409E3" wp14:editId="1EE409E4">
            <wp:extent cx="5334000" cy="3137647"/>
            <wp:effectExtent l="0" t="0" r="0" b="0"/>
            <wp:docPr id="112" name="Picture" descr="Figure S25: Unadjusted vaccine effectiveness (VE) against symptomatic infection, bias compared to adjusted VE estimates, and percentage of simulations with unadjusted VE less than zero (negative VE) for 1-2 months since the last vaccination."/>
            <wp:cNvGraphicFramePr/>
            <a:graphic xmlns:a="http://schemas.openxmlformats.org/drawingml/2006/main">
              <a:graphicData uri="http://schemas.openxmlformats.org/drawingml/2006/picture">
                <pic:pic xmlns:pic="http://schemas.openxmlformats.org/drawingml/2006/picture">
                  <pic:nvPicPr>
                    <pic:cNvPr id="113" name="Picture" descr="tnd_prior_infection_supplement_unedited_2024-07-16_files/figure-docx/fig.i.msv1-1.png"/>
                    <pic:cNvPicPr>
                      <a:picLocks noChangeAspect="1" noChangeArrowheads="1"/>
                    </pic:cNvPicPr>
                  </pic:nvPicPr>
                  <pic:blipFill>
                    <a:blip r:embed="rId31"/>
                    <a:stretch>
                      <a:fillRect/>
                    </a:stretch>
                  </pic:blipFill>
                  <pic:spPr bwMode="auto">
                    <a:xfrm>
                      <a:off x="0" y="0"/>
                      <a:ext cx="5334000" cy="3137647"/>
                    </a:xfrm>
                    <a:prstGeom prst="rect">
                      <a:avLst/>
                    </a:prstGeom>
                    <a:noFill/>
                    <a:ln w="9525">
                      <a:noFill/>
                      <a:headEnd/>
                      <a:tailEnd/>
                    </a:ln>
                  </pic:spPr>
                </pic:pic>
              </a:graphicData>
            </a:graphic>
          </wp:inline>
        </w:drawing>
      </w:r>
    </w:p>
    <w:p w14:paraId="1EE40968" w14:textId="77777777" w:rsidR="0095436D" w:rsidRDefault="00000000">
      <w:pPr>
        <w:pStyle w:val="ImageCaption"/>
      </w:pPr>
      <w:r>
        <w:t>Figure S25: Unadjusted vaccine effectiveness (VE) against symptomatic infection, bias compared to adjusted VE estimates, and percentage of simulations with unadjusted VE less than zero (negative VE) for 1-2 months since the last vaccination.</w:t>
      </w:r>
    </w:p>
    <w:p w14:paraId="1EE40969" w14:textId="77777777" w:rsidR="0095436D" w:rsidRDefault="00000000">
      <w:r>
        <w:br w:type="page"/>
      </w:r>
    </w:p>
    <w:p w14:paraId="1EE4096A" w14:textId="77777777" w:rsidR="0095436D" w:rsidRDefault="00000000">
      <w:pPr>
        <w:pStyle w:val="CaptionedFigure"/>
      </w:pPr>
      <w:r>
        <w:rPr>
          <w:noProof/>
        </w:rPr>
        <w:lastRenderedPageBreak/>
        <w:drawing>
          <wp:inline distT="0" distB="0" distL="0" distR="0" wp14:anchorId="1EE409E5" wp14:editId="1EE409E6">
            <wp:extent cx="5334000" cy="3137647"/>
            <wp:effectExtent l="0" t="0" r="0" b="0"/>
            <wp:docPr id="115" name="Picture" descr="Figure S26: Unadjusted vaccine effectiveness (VE) against symptomatic infection, bias compared to adjusted VE estimates, and percentage of simulations with unadjusted VE less than zero (negative VE) for 3-4 months since the last vaccination."/>
            <wp:cNvGraphicFramePr/>
            <a:graphic xmlns:a="http://schemas.openxmlformats.org/drawingml/2006/main">
              <a:graphicData uri="http://schemas.openxmlformats.org/drawingml/2006/picture">
                <pic:pic xmlns:pic="http://schemas.openxmlformats.org/drawingml/2006/picture">
                  <pic:nvPicPr>
                    <pic:cNvPr id="116" name="Picture" descr="tnd_prior_infection_supplement_unedited_2024-07-16_files/figure-docx/fig.i.msv3-1.png"/>
                    <pic:cNvPicPr>
                      <a:picLocks noChangeAspect="1" noChangeArrowheads="1"/>
                    </pic:cNvPicPr>
                  </pic:nvPicPr>
                  <pic:blipFill>
                    <a:blip r:embed="rId32"/>
                    <a:stretch>
                      <a:fillRect/>
                    </a:stretch>
                  </pic:blipFill>
                  <pic:spPr bwMode="auto">
                    <a:xfrm>
                      <a:off x="0" y="0"/>
                      <a:ext cx="5334000" cy="3137647"/>
                    </a:xfrm>
                    <a:prstGeom prst="rect">
                      <a:avLst/>
                    </a:prstGeom>
                    <a:noFill/>
                    <a:ln w="9525">
                      <a:noFill/>
                      <a:headEnd/>
                      <a:tailEnd/>
                    </a:ln>
                  </pic:spPr>
                </pic:pic>
              </a:graphicData>
            </a:graphic>
          </wp:inline>
        </w:drawing>
      </w:r>
    </w:p>
    <w:p w14:paraId="1EE4096B" w14:textId="77777777" w:rsidR="0095436D" w:rsidRDefault="00000000">
      <w:pPr>
        <w:pStyle w:val="ImageCaption"/>
      </w:pPr>
      <w:r>
        <w:t>Figure S26: Unadjusted vaccine effectiveness (VE) against symptomatic infection, bias compared to adjusted VE estimates, and percentage of simulations with unadjusted VE less than zero (negative VE) for 3-4 months since the last vaccination.</w:t>
      </w:r>
    </w:p>
    <w:p w14:paraId="1EE4096C" w14:textId="77777777" w:rsidR="0095436D" w:rsidRDefault="00000000">
      <w:r>
        <w:br w:type="page"/>
      </w:r>
    </w:p>
    <w:p w14:paraId="1EE4096D" w14:textId="77777777" w:rsidR="0095436D" w:rsidRDefault="00000000">
      <w:pPr>
        <w:pStyle w:val="CaptionedFigure"/>
      </w:pPr>
      <w:r>
        <w:rPr>
          <w:noProof/>
        </w:rPr>
        <w:lastRenderedPageBreak/>
        <w:drawing>
          <wp:inline distT="0" distB="0" distL="0" distR="0" wp14:anchorId="1EE409E7" wp14:editId="1EE409E8">
            <wp:extent cx="5334000" cy="3137647"/>
            <wp:effectExtent l="0" t="0" r="0" b="0"/>
            <wp:docPr id="118" name="Picture" descr="Figure S27: Unadjusted vaccine effectiveness (VE) against symptomatic infection, bias compared to adjusted VE estimates, and percentage of simulations with unadjusted VE less than zero (negative VE) for 5-11 months since the last vaccination."/>
            <wp:cNvGraphicFramePr/>
            <a:graphic xmlns:a="http://schemas.openxmlformats.org/drawingml/2006/main">
              <a:graphicData uri="http://schemas.openxmlformats.org/drawingml/2006/picture">
                <pic:pic xmlns:pic="http://schemas.openxmlformats.org/drawingml/2006/picture">
                  <pic:nvPicPr>
                    <pic:cNvPr id="119" name="Picture" descr="tnd_prior_infection_supplement_unedited_2024-07-16_files/figure-docx/fig.i.msv5-1.png"/>
                    <pic:cNvPicPr>
                      <a:picLocks noChangeAspect="1" noChangeArrowheads="1"/>
                    </pic:cNvPicPr>
                  </pic:nvPicPr>
                  <pic:blipFill>
                    <a:blip r:embed="rId33"/>
                    <a:stretch>
                      <a:fillRect/>
                    </a:stretch>
                  </pic:blipFill>
                  <pic:spPr bwMode="auto">
                    <a:xfrm>
                      <a:off x="0" y="0"/>
                      <a:ext cx="5334000" cy="3137647"/>
                    </a:xfrm>
                    <a:prstGeom prst="rect">
                      <a:avLst/>
                    </a:prstGeom>
                    <a:noFill/>
                    <a:ln w="9525">
                      <a:noFill/>
                      <a:headEnd/>
                      <a:tailEnd/>
                    </a:ln>
                  </pic:spPr>
                </pic:pic>
              </a:graphicData>
            </a:graphic>
          </wp:inline>
        </w:drawing>
      </w:r>
    </w:p>
    <w:p w14:paraId="1EE4096E" w14:textId="77777777" w:rsidR="0095436D" w:rsidRDefault="00000000">
      <w:pPr>
        <w:pStyle w:val="ImageCaption"/>
      </w:pPr>
      <w:r>
        <w:t>Figure S27: Unadjusted vaccine effectiveness (VE) against symptomatic infection, bias compared to adjusted VE estimates, and percentage of simulations with unadjusted VE less than zero (negative VE) for 5-11 months since the last vaccination.</w:t>
      </w:r>
    </w:p>
    <w:p w14:paraId="1EE4096F" w14:textId="77777777" w:rsidR="0095436D" w:rsidRDefault="00000000">
      <w:r>
        <w:br w:type="page"/>
      </w:r>
    </w:p>
    <w:p w14:paraId="1EE40970" w14:textId="77777777" w:rsidR="0095436D" w:rsidRDefault="00000000">
      <w:pPr>
        <w:pStyle w:val="CaptionedFigure"/>
      </w:pPr>
      <w:r>
        <w:rPr>
          <w:noProof/>
        </w:rPr>
        <w:lastRenderedPageBreak/>
        <w:drawing>
          <wp:inline distT="0" distB="0" distL="0" distR="0" wp14:anchorId="1EE409E9" wp14:editId="1EE409EA">
            <wp:extent cx="5334000" cy="3137647"/>
            <wp:effectExtent l="0" t="0" r="0" b="0"/>
            <wp:docPr id="121" name="Picture" descr="Figure S28: Unadjusted vaccine effectiveness (VE) against symptomatic infection, bias compared to adjusted VE estimates, and percentage of simulations with unadjusted VE less than zero (negative VE) for 12 or more months since the last vaccination."/>
            <wp:cNvGraphicFramePr/>
            <a:graphic xmlns:a="http://schemas.openxmlformats.org/drawingml/2006/main">
              <a:graphicData uri="http://schemas.openxmlformats.org/drawingml/2006/picture">
                <pic:pic xmlns:pic="http://schemas.openxmlformats.org/drawingml/2006/picture">
                  <pic:nvPicPr>
                    <pic:cNvPr id="122" name="Picture" descr="tnd_prior_infection_supplement_unedited_2024-07-16_files/figure-docx/fig.i.msv12-1.png"/>
                    <pic:cNvPicPr>
                      <a:picLocks noChangeAspect="1" noChangeArrowheads="1"/>
                    </pic:cNvPicPr>
                  </pic:nvPicPr>
                  <pic:blipFill>
                    <a:blip r:embed="rId34"/>
                    <a:stretch>
                      <a:fillRect/>
                    </a:stretch>
                  </pic:blipFill>
                  <pic:spPr bwMode="auto">
                    <a:xfrm>
                      <a:off x="0" y="0"/>
                      <a:ext cx="5334000" cy="3137647"/>
                    </a:xfrm>
                    <a:prstGeom prst="rect">
                      <a:avLst/>
                    </a:prstGeom>
                    <a:noFill/>
                    <a:ln w="9525">
                      <a:noFill/>
                      <a:headEnd/>
                      <a:tailEnd/>
                    </a:ln>
                  </pic:spPr>
                </pic:pic>
              </a:graphicData>
            </a:graphic>
          </wp:inline>
        </w:drawing>
      </w:r>
    </w:p>
    <w:p w14:paraId="1EE40971" w14:textId="77777777" w:rsidR="0095436D" w:rsidRDefault="00000000">
      <w:pPr>
        <w:pStyle w:val="ImageCaption"/>
      </w:pPr>
      <w:r>
        <w:t>Figure S28: Unadjusted vaccine effectiveness (VE) against symptomatic infection, bias compared to adjusted VE estimates, and percentage of simulations with unadjusted VE less than zero (negative VE) for 12 or more months since the last vaccination.</w:t>
      </w:r>
    </w:p>
    <w:p w14:paraId="1EE40972" w14:textId="77777777" w:rsidR="0095436D" w:rsidRDefault="00000000">
      <w:r>
        <w:br w:type="page"/>
      </w:r>
    </w:p>
    <w:p w14:paraId="1EE40973" w14:textId="77777777" w:rsidR="0095436D" w:rsidRDefault="00000000">
      <w:pPr>
        <w:pStyle w:val="CaptionedFigure"/>
      </w:pPr>
      <w:r>
        <w:rPr>
          <w:noProof/>
        </w:rPr>
        <w:lastRenderedPageBreak/>
        <w:drawing>
          <wp:inline distT="0" distB="0" distL="0" distR="0" wp14:anchorId="1EE409EB" wp14:editId="1EE409EC">
            <wp:extent cx="5334000" cy="3137647"/>
            <wp:effectExtent l="0" t="0" r="0" b="0"/>
            <wp:docPr id="124" name="Picture" descr="Figure S29: Unadjusted vaccine effectiveness (VE) against symptomatic infection, bias compared to adjusted VE estimates, and percentage of simulations with unadjusted VE less than zero (negative VE) for 2 vaccination doses."/>
            <wp:cNvGraphicFramePr/>
            <a:graphic xmlns:a="http://schemas.openxmlformats.org/drawingml/2006/main">
              <a:graphicData uri="http://schemas.openxmlformats.org/drawingml/2006/picture">
                <pic:pic xmlns:pic="http://schemas.openxmlformats.org/drawingml/2006/picture">
                  <pic:nvPicPr>
                    <pic:cNvPr id="125" name="Picture" descr="tnd_prior_infection_supplement_unedited_2024-07-16_files/figure-docx/fig.i.doses2-1.png"/>
                    <pic:cNvPicPr>
                      <a:picLocks noChangeAspect="1" noChangeArrowheads="1"/>
                    </pic:cNvPicPr>
                  </pic:nvPicPr>
                  <pic:blipFill>
                    <a:blip r:embed="rId35"/>
                    <a:stretch>
                      <a:fillRect/>
                    </a:stretch>
                  </pic:blipFill>
                  <pic:spPr bwMode="auto">
                    <a:xfrm>
                      <a:off x="0" y="0"/>
                      <a:ext cx="5334000" cy="3137647"/>
                    </a:xfrm>
                    <a:prstGeom prst="rect">
                      <a:avLst/>
                    </a:prstGeom>
                    <a:noFill/>
                    <a:ln w="9525">
                      <a:noFill/>
                      <a:headEnd/>
                      <a:tailEnd/>
                    </a:ln>
                  </pic:spPr>
                </pic:pic>
              </a:graphicData>
            </a:graphic>
          </wp:inline>
        </w:drawing>
      </w:r>
    </w:p>
    <w:p w14:paraId="1EE40974" w14:textId="77777777" w:rsidR="0095436D" w:rsidRDefault="00000000">
      <w:pPr>
        <w:pStyle w:val="ImageCaption"/>
      </w:pPr>
      <w:r>
        <w:t>Figure S29: Unadjusted vaccine effectiveness (VE) against symptomatic infection, bias compared to adjusted VE estimates, and percentage of simulations with unadjusted VE less than zero (negative VE) for 2 vaccination doses.</w:t>
      </w:r>
    </w:p>
    <w:p w14:paraId="1EE40975" w14:textId="77777777" w:rsidR="0095436D" w:rsidRDefault="00000000">
      <w:r>
        <w:br w:type="page"/>
      </w:r>
    </w:p>
    <w:p w14:paraId="1EE40976" w14:textId="77777777" w:rsidR="0095436D" w:rsidRDefault="00000000">
      <w:pPr>
        <w:pStyle w:val="CaptionedFigure"/>
      </w:pPr>
      <w:r>
        <w:rPr>
          <w:noProof/>
        </w:rPr>
        <w:lastRenderedPageBreak/>
        <w:drawing>
          <wp:inline distT="0" distB="0" distL="0" distR="0" wp14:anchorId="1EE409ED" wp14:editId="1EE409EE">
            <wp:extent cx="5334000" cy="3137647"/>
            <wp:effectExtent l="0" t="0" r="0" b="0"/>
            <wp:docPr id="127" name="Picture" descr="Figure S30: Unadjusted vaccine effectiveness (VE) against symptomatic infection, bias compared to adjusted VE estimates, and percentage of simulations with unadjusted VE less than zero (negative VE) for 3 vaccination doses."/>
            <wp:cNvGraphicFramePr/>
            <a:graphic xmlns:a="http://schemas.openxmlformats.org/drawingml/2006/main">
              <a:graphicData uri="http://schemas.openxmlformats.org/drawingml/2006/picture">
                <pic:pic xmlns:pic="http://schemas.openxmlformats.org/drawingml/2006/picture">
                  <pic:nvPicPr>
                    <pic:cNvPr id="128" name="Picture" descr="tnd_prior_infection_supplement_unedited_2024-07-16_files/figure-docx/fig.i.doses3-1.png"/>
                    <pic:cNvPicPr>
                      <a:picLocks noChangeAspect="1" noChangeArrowheads="1"/>
                    </pic:cNvPicPr>
                  </pic:nvPicPr>
                  <pic:blipFill>
                    <a:blip r:embed="rId36"/>
                    <a:stretch>
                      <a:fillRect/>
                    </a:stretch>
                  </pic:blipFill>
                  <pic:spPr bwMode="auto">
                    <a:xfrm>
                      <a:off x="0" y="0"/>
                      <a:ext cx="5334000" cy="3137647"/>
                    </a:xfrm>
                    <a:prstGeom prst="rect">
                      <a:avLst/>
                    </a:prstGeom>
                    <a:noFill/>
                    <a:ln w="9525">
                      <a:noFill/>
                      <a:headEnd/>
                      <a:tailEnd/>
                    </a:ln>
                  </pic:spPr>
                </pic:pic>
              </a:graphicData>
            </a:graphic>
          </wp:inline>
        </w:drawing>
      </w:r>
    </w:p>
    <w:p w14:paraId="1EE40977" w14:textId="77777777" w:rsidR="0095436D" w:rsidRDefault="00000000">
      <w:pPr>
        <w:pStyle w:val="ImageCaption"/>
      </w:pPr>
      <w:r>
        <w:t>Figure S30: Unadjusted vaccine effectiveness (VE) against symptomatic infection, bias compared to adjusted VE estimates, and percentage of simulations with unadjusted VE less than zero (negative VE) for 3 vaccination doses.</w:t>
      </w:r>
    </w:p>
    <w:p w14:paraId="1EE40978" w14:textId="77777777" w:rsidR="0095436D" w:rsidRDefault="00000000">
      <w:r>
        <w:br w:type="page"/>
      </w:r>
    </w:p>
    <w:p w14:paraId="1EE40979" w14:textId="77777777" w:rsidR="0095436D" w:rsidRDefault="00000000">
      <w:pPr>
        <w:pStyle w:val="CaptionedFigure"/>
      </w:pPr>
      <w:r>
        <w:rPr>
          <w:noProof/>
        </w:rPr>
        <w:lastRenderedPageBreak/>
        <w:drawing>
          <wp:inline distT="0" distB="0" distL="0" distR="0" wp14:anchorId="1EE409EF" wp14:editId="1EE409F0">
            <wp:extent cx="5334000" cy="3137647"/>
            <wp:effectExtent l="0" t="0" r="0" b="0"/>
            <wp:docPr id="130" name="Picture" descr="Figure S31: Unadjusted vaccine effectiveness (VE) against symptomatic infection, bias compared to adjusted VE estimates, and percentage of simulations with unadjusted VE less than zero (negative VE) for 4 vaccination doses."/>
            <wp:cNvGraphicFramePr/>
            <a:graphic xmlns:a="http://schemas.openxmlformats.org/drawingml/2006/main">
              <a:graphicData uri="http://schemas.openxmlformats.org/drawingml/2006/picture">
                <pic:pic xmlns:pic="http://schemas.openxmlformats.org/drawingml/2006/picture">
                  <pic:nvPicPr>
                    <pic:cNvPr id="131" name="Picture" descr="tnd_prior_infection_supplement_unedited_2024-07-16_files/figure-docx/fig.i.doses4-1.png"/>
                    <pic:cNvPicPr>
                      <a:picLocks noChangeAspect="1" noChangeArrowheads="1"/>
                    </pic:cNvPicPr>
                  </pic:nvPicPr>
                  <pic:blipFill>
                    <a:blip r:embed="rId37"/>
                    <a:stretch>
                      <a:fillRect/>
                    </a:stretch>
                  </pic:blipFill>
                  <pic:spPr bwMode="auto">
                    <a:xfrm>
                      <a:off x="0" y="0"/>
                      <a:ext cx="5334000" cy="3137647"/>
                    </a:xfrm>
                    <a:prstGeom prst="rect">
                      <a:avLst/>
                    </a:prstGeom>
                    <a:noFill/>
                    <a:ln w="9525">
                      <a:noFill/>
                      <a:headEnd/>
                      <a:tailEnd/>
                    </a:ln>
                  </pic:spPr>
                </pic:pic>
              </a:graphicData>
            </a:graphic>
          </wp:inline>
        </w:drawing>
      </w:r>
    </w:p>
    <w:p w14:paraId="1EE4097A" w14:textId="77777777" w:rsidR="0095436D" w:rsidRDefault="00000000">
      <w:pPr>
        <w:pStyle w:val="ImageCaption"/>
      </w:pPr>
      <w:r>
        <w:t>Figure S31: Unadjusted vaccine effectiveness (VE) against symptomatic infection, bias compared to adjusted VE estimates, and percentage of simulations with unadjusted VE less than zero (negative VE) for 4 vaccination doses.</w:t>
      </w:r>
    </w:p>
    <w:p w14:paraId="1EE4097B" w14:textId="77777777" w:rsidR="0095436D" w:rsidRDefault="00000000">
      <w:r>
        <w:br w:type="page"/>
      </w:r>
    </w:p>
    <w:p w14:paraId="1EE4097C" w14:textId="77777777" w:rsidR="0095436D" w:rsidRDefault="00000000">
      <w:pPr>
        <w:pStyle w:val="CaptionedFigure"/>
      </w:pPr>
      <w:r>
        <w:rPr>
          <w:noProof/>
        </w:rPr>
        <w:lastRenderedPageBreak/>
        <w:drawing>
          <wp:inline distT="0" distB="0" distL="0" distR="0" wp14:anchorId="1EE409F1" wp14:editId="1EE409F2">
            <wp:extent cx="5334000" cy="3137647"/>
            <wp:effectExtent l="0" t="0" r="0" b="0"/>
            <wp:docPr id="133" name="Picture" descr="Figure S32: Unadjusted vaccine effectiveness (VE) against symptomatic infection, bias compared to adjusted VE estimates, and percentage of simulations with unadjusted VE less than zero (negative VE) for 5 vaccination doses."/>
            <wp:cNvGraphicFramePr/>
            <a:graphic xmlns:a="http://schemas.openxmlformats.org/drawingml/2006/main">
              <a:graphicData uri="http://schemas.openxmlformats.org/drawingml/2006/picture">
                <pic:pic xmlns:pic="http://schemas.openxmlformats.org/drawingml/2006/picture">
                  <pic:nvPicPr>
                    <pic:cNvPr id="134" name="Picture" descr="tnd_prior_infection_supplement_unedited_2024-07-16_files/figure-docx/fig.i.doses5-1.png"/>
                    <pic:cNvPicPr>
                      <a:picLocks noChangeAspect="1" noChangeArrowheads="1"/>
                    </pic:cNvPicPr>
                  </pic:nvPicPr>
                  <pic:blipFill>
                    <a:blip r:embed="rId38"/>
                    <a:stretch>
                      <a:fillRect/>
                    </a:stretch>
                  </pic:blipFill>
                  <pic:spPr bwMode="auto">
                    <a:xfrm>
                      <a:off x="0" y="0"/>
                      <a:ext cx="5334000" cy="3137647"/>
                    </a:xfrm>
                    <a:prstGeom prst="rect">
                      <a:avLst/>
                    </a:prstGeom>
                    <a:noFill/>
                    <a:ln w="9525">
                      <a:noFill/>
                      <a:headEnd/>
                      <a:tailEnd/>
                    </a:ln>
                  </pic:spPr>
                </pic:pic>
              </a:graphicData>
            </a:graphic>
          </wp:inline>
        </w:drawing>
      </w:r>
    </w:p>
    <w:p w14:paraId="1EE4097D" w14:textId="77777777" w:rsidR="0095436D" w:rsidRDefault="00000000">
      <w:pPr>
        <w:pStyle w:val="ImageCaption"/>
      </w:pPr>
      <w:r>
        <w:t>Figure S32: Unadjusted vaccine effectiveness (VE) against symptomatic infection, bias compared to adjusted VE estimates, and percentage of simulations with unadjusted VE less than zero (negative VE) for 5 vaccination doses.</w:t>
      </w:r>
    </w:p>
    <w:p w14:paraId="1EE4097E" w14:textId="77777777" w:rsidR="0095436D" w:rsidRDefault="00000000">
      <w:r>
        <w:br w:type="page"/>
      </w:r>
    </w:p>
    <w:p w14:paraId="1EE4097F" w14:textId="77777777" w:rsidR="0095436D" w:rsidRDefault="00000000">
      <w:pPr>
        <w:pStyle w:val="Heading3"/>
      </w:pPr>
      <w:bookmarkStart w:id="44" w:name="ve-against-severe-disease"/>
      <w:bookmarkStart w:id="45" w:name="_Toc172030384"/>
      <w:bookmarkEnd w:id="42"/>
      <w:r>
        <w:lastRenderedPageBreak/>
        <w:t>VE against severe disease</w:t>
      </w:r>
      <w:bookmarkEnd w:id="45"/>
    </w:p>
    <w:p w14:paraId="1EE40980" w14:textId="77777777" w:rsidR="0095436D" w:rsidRDefault="00000000">
      <w:pPr>
        <w:pStyle w:val="CaptionedFigure"/>
      </w:pPr>
      <w:r>
        <w:rPr>
          <w:noProof/>
        </w:rPr>
        <w:drawing>
          <wp:inline distT="0" distB="0" distL="0" distR="0" wp14:anchorId="1EE409F3" wp14:editId="1EE409F4">
            <wp:extent cx="5334000" cy="3692769"/>
            <wp:effectExtent l="0" t="0" r="0" b="0"/>
            <wp:docPr id="137" name="Picture" descr="Figure S33: Unadjusted vaccine effectiveness (VE) against severe disease and bias compared to adjusted VE estimates for vaccination at any time during the analytic period."/>
            <wp:cNvGraphicFramePr/>
            <a:graphic xmlns:a="http://schemas.openxmlformats.org/drawingml/2006/main">
              <a:graphicData uri="http://schemas.openxmlformats.org/drawingml/2006/picture">
                <pic:pic xmlns:pic="http://schemas.openxmlformats.org/drawingml/2006/picture">
                  <pic:nvPicPr>
                    <pic:cNvPr id="138" name="Picture" descr="tnd_prior_infection_supplement_unedited_2024-07-16_files/figure-docx/fig.s.ap.vax-1.png"/>
                    <pic:cNvPicPr>
                      <a:picLocks noChangeAspect="1" noChangeArrowheads="1"/>
                    </pic:cNvPicPr>
                  </pic:nvPicPr>
                  <pic:blipFill>
                    <a:blip r:embed="rId39"/>
                    <a:stretch>
                      <a:fillRect/>
                    </a:stretch>
                  </pic:blipFill>
                  <pic:spPr bwMode="auto">
                    <a:xfrm>
                      <a:off x="0" y="0"/>
                      <a:ext cx="5334000" cy="3692769"/>
                    </a:xfrm>
                    <a:prstGeom prst="rect">
                      <a:avLst/>
                    </a:prstGeom>
                    <a:noFill/>
                    <a:ln w="9525">
                      <a:noFill/>
                      <a:headEnd/>
                      <a:tailEnd/>
                    </a:ln>
                  </pic:spPr>
                </pic:pic>
              </a:graphicData>
            </a:graphic>
          </wp:inline>
        </w:drawing>
      </w:r>
    </w:p>
    <w:p w14:paraId="1EE40981" w14:textId="77777777" w:rsidR="0095436D" w:rsidRDefault="00000000">
      <w:pPr>
        <w:pStyle w:val="ImageCaption"/>
      </w:pPr>
      <w:r>
        <w:t>Figure S33: Unadjusted vaccine effectiveness (VE) against severe disease and bias compared to adjusted VE estimates for vaccination at any time during the analytic period.</w:t>
      </w:r>
    </w:p>
    <w:p w14:paraId="1EE40982" w14:textId="77777777" w:rsidR="0095436D" w:rsidRDefault="00000000">
      <w:r>
        <w:br w:type="page"/>
      </w:r>
    </w:p>
    <w:p w14:paraId="1EE40983" w14:textId="77777777" w:rsidR="0095436D" w:rsidRDefault="00000000">
      <w:pPr>
        <w:pStyle w:val="CaptionedFigure"/>
      </w:pPr>
      <w:r>
        <w:rPr>
          <w:noProof/>
        </w:rPr>
        <w:lastRenderedPageBreak/>
        <w:drawing>
          <wp:inline distT="0" distB="0" distL="0" distR="0" wp14:anchorId="1EE409F5" wp14:editId="1EE409F6">
            <wp:extent cx="5334000" cy="3692769"/>
            <wp:effectExtent l="0" t="0" r="0" b="0"/>
            <wp:docPr id="140" name="Picture" descr="Figure S34: Unadjusted vaccine effectiveness (VE) against severe disease and bias compared to adjusted VE estimates for vaccination in the previous 2 months."/>
            <wp:cNvGraphicFramePr/>
            <a:graphic xmlns:a="http://schemas.openxmlformats.org/drawingml/2006/main">
              <a:graphicData uri="http://schemas.openxmlformats.org/drawingml/2006/picture">
                <pic:pic xmlns:pic="http://schemas.openxmlformats.org/drawingml/2006/picture">
                  <pic:nvPicPr>
                    <pic:cNvPr id="141" name="Picture" descr="tnd_prior_infection_supplement_unedited_2024-07-16_files/figure-docx/fig.s.vax2m-1.png"/>
                    <pic:cNvPicPr>
                      <a:picLocks noChangeAspect="1" noChangeArrowheads="1"/>
                    </pic:cNvPicPr>
                  </pic:nvPicPr>
                  <pic:blipFill>
                    <a:blip r:embed="rId40"/>
                    <a:stretch>
                      <a:fillRect/>
                    </a:stretch>
                  </pic:blipFill>
                  <pic:spPr bwMode="auto">
                    <a:xfrm>
                      <a:off x="0" y="0"/>
                      <a:ext cx="5334000" cy="3692769"/>
                    </a:xfrm>
                    <a:prstGeom prst="rect">
                      <a:avLst/>
                    </a:prstGeom>
                    <a:noFill/>
                    <a:ln w="9525">
                      <a:noFill/>
                      <a:headEnd/>
                      <a:tailEnd/>
                    </a:ln>
                  </pic:spPr>
                </pic:pic>
              </a:graphicData>
            </a:graphic>
          </wp:inline>
        </w:drawing>
      </w:r>
    </w:p>
    <w:p w14:paraId="1EE40984" w14:textId="77777777" w:rsidR="0095436D" w:rsidRDefault="00000000">
      <w:pPr>
        <w:pStyle w:val="ImageCaption"/>
      </w:pPr>
      <w:r>
        <w:t>Figure S34: Unadjusted vaccine effectiveness (VE) against severe disease and bias compared to adjusted VE estimates for vaccination in the previous 2 months.</w:t>
      </w:r>
    </w:p>
    <w:p w14:paraId="1EE40985" w14:textId="77777777" w:rsidR="0095436D" w:rsidRDefault="00000000">
      <w:r>
        <w:br w:type="page"/>
      </w:r>
    </w:p>
    <w:p w14:paraId="1EE40986" w14:textId="77777777" w:rsidR="0095436D" w:rsidRDefault="00000000">
      <w:pPr>
        <w:pStyle w:val="CaptionedFigure"/>
      </w:pPr>
      <w:r>
        <w:rPr>
          <w:noProof/>
        </w:rPr>
        <w:lastRenderedPageBreak/>
        <w:drawing>
          <wp:inline distT="0" distB="0" distL="0" distR="0" wp14:anchorId="1EE409F7" wp14:editId="1EE409F8">
            <wp:extent cx="5334000" cy="3692769"/>
            <wp:effectExtent l="0" t="0" r="0" b="0"/>
            <wp:docPr id="143" name="Picture" descr="Figure S35: Unadjusted vaccine effectiveness (VE) against severe disease and bias compared to adjusted VE estimates for vaccination in the previous 4 months."/>
            <wp:cNvGraphicFramePr/>
            <a:graphic xmlns:a="http://schemas.openxmlformats.org/drawingml/2006/main">
              <a:graphicData uri="http://schemas.openxmlformats.org/drawingml/2006/picture">
                <pic:pic xmlns:pic="http://schemas.openxmlformats.org/drawingml/2006/picture">
                  <pic:nvPicPr>
                    <pic:cNvPr id="144" name="Picture" descr="tnd_prior_infection_supplement_unedited_2024-07-16_files/figure-docx/fig.s.vax4m-1.png"/>
                    <pic:cNvPicPr>
                      <a:picLocks noChangeAspect="1" noChangeArrowheads="1"/>
                    </pic:cNvPicPr>
                  </pic:nvPicPr>
                  <pic:blipFill>
                    <a:blip r:embed="rId41"/>
                    <a:stretch>
                      <a:fillRect/>
                    </a:stretch>
                  </pic:blipFill>
                  <pic:spPr bwMode="auto">
                    <a:xfrm>
                      <a:off x="0" y="0"/>
                      <a:ext cx="5334000" cy="3692769"/>
                    </a:xfrm>
                    <a:prstGeom prst="rect">
                      <a:avLst/>
                    </a:prstGeom>
                    <a:noFill/>
                    <a:ln w="9525">
                      <a:noFill/>
                      <a:headEnd/>
                      <a:tailEnd/>
                    </a:ln>
                  </pic:spPr>
                </pic:pic>
              </a:graphicData>
            </a:graphic>
          </wp:inline>
        </w:drawing>
      </w:r>
    </w:p>
    <w:p w14:paraId="1EE40987" w14:textId="77777777" w:rsidR="0095436D" w:rsidRDefault="00000000">
      <w:pPr>
        <w:pStyle w:val="ImageCaption"/>
      </w:pPr>
      <w:r>
        <w:t>Figure S35: Unadjusted vaccine effectiveness (VE) against severe disease and bias compared to adjusted VE estimates for vaccination in the previous 4 months.</w:t>
      </w:r>
    </w:p>
    <w:p w14:paraId="1EE40988" w14:textId="77777777" w:rsidR="0095436D" w:rsidRDefault="00000000">
      <w:r>
        <w:br w:type="page"/>
      </w:r>
    </w:p>
    <w:p w14:paraId="1EE40989" w14:textId="77777777" w:rsidR="0095436D" w:rsidRDefault="00000000">
      <w:pPr>
        <w:pStyle w:val="CaptionedFigure"/>
      </w:pPr>
      <w:r>
        <w:rPr>
          <w:noProof/>
        </w:rPr>
        <w:lastRenderedPageBreak/>
        <w:drawing>
          <wp:inline distT="0" distB="0" distL="0" distR="0" wp14:anchorId="1EE409F9" wp14:editId="1EE409FA">
            <wp:extent cx="5334000" cy="3692769"/>
            <wp:effectExtent l="0" t="0" r="0" b="0"/>
            <wp:docPr id="146" name="Picture" descr="Figure S36: Unadjusted vaccine effectiveness (VE) against severe disease and bias compared to adjusted VE estimates for vaccination in the previous 5 months."/>
            <wp:cNvGraphicFramePr/>
            <a:graphic xmlns:a="http://schemas.openxmlformats.org/drawingml/2006/main">
              <a:graphicData uri="http://schemas.openxmlformats.org/drawingml/2006/picture">
                <pic:pic xmlns:pic="http://schemas.openxmlformats.org/drawingml/2006/picture">
                  <pic:nvPicPr>
                    <pic:cNvPr id="147" name="Picture" descr="tnd_prior_infection_supplement_unedited_2024-07-16_files/figure-docx/fig.s.vax5m-1.png"/>
                    <pic:cNvPicPr>
                      <a:picLocks noChangeAspect="1" noChangeArrowheads="1"/>
                    </pic:cNvPicPr>
                  </pic:nvPicPr>
                  <pic:blipFill>
                    <a:blip r:embed="rId42"/>
                    <a:stretch>
                      <a:fillRect/>
                    </a:stretch>
                  </pic:blipFill>
                  <pic:spPr bwMode="auto">
                    <a:xfrm>
                      <a:off x="0" y="0"/>
                      <a:ext cx="5334000" cy="3692769"/>
                    </a:xfrm>
                    <a:prstGeom prst="rect">
                      <a:avLst/>
                    </a:prstGeom>
                    <a:noFill/>
                    <a:ln w="9525">
                      <a:noFill/>
                      <a:headEnd/>
                      <a:tailEnd/>
                    </a:ln>
                  </pic:spPr>
                </pic:pic>
              </a:graphicData>
            </a:graphic>
          </wp:inline>
        </w:drawing>
      </w:r>
    </w:p>
    <w:p w14:paraId="1EE4098A" w14:textId="77777777" w:rsidR="0095436D" w:rsidRDefault="00000000">
      <w:pPr>
        <w:pStyle w:val="ImageCaption"/>
      </w:pPr>
      <w:r>
        <w:t>Figure S36: Unadjusted vaccine effectiveness (VE) against severe disease and bias compared to adjusted VE estimates for vaccination in the previous 5 months.</w:t>
      </w:r>
    </w:p>
    <w:p w14:paraId="1EE4098B" w14:textId="77777777" w:rsidR="0095436D" w:rsidRDefault="00000000">
      <w:r>
        <w:br w:type="page"/>
      </w:r>
    </w:p>
    <w:p w14:paraId="1EE4098C" w14:textId="77777777" w:rsidR="0095436D" w:rsidRDefault="00000000">
      <w:pPr>
        <w:pStyle w:val="CaptionedFigure"/>
      </w:pPr>
      <w:r>
        <w:rPr>
          <w:noProof/>
        </w:rPr>
        <w:lastRenderedPageBreak/>
        <w:drawing>
          <wp:inline distT="0" distB="0" distL="0" distR="0" wp14:anchorId="1EE409FB" wp14:editId="1EE409FC">
            <wp:extent cx="5334000" cy="3692769"/>
            <wp:effectExtent l="0" t="0" r="0" b="0"/>
            <wp:docPr id="149" name="Picture" descr="Figure S37: Unadjusted vaccine effectiveness (VE) against severe disease and bias compared to adjusted VE estimates for vaccination in the previous 6 months."/>
            <wp:cNvGraphicFramePr/>
            <a:graphic xmlns:a="http://schemas.openxmlformats.org/drawingml/2006/main">
              <a:graphicData uri="http://schemas.openxmlformats.org/drawingml/2006/picture">
                <pic:pic xmlns:pic="http://schemas.openxmlformats.org/drawingml/2006/picture">
                  <pic:nvPicPr>
                    <pic:cNvPr id="150" name="Picture" descr="tnd_prior_infection_supplement_unedited_2024-07-16_files/figure-docx/fig.s.vax6m-1.png"/>
                    <pic:cNvPicPr>
                      <a:picLocks noChangeAspect="1" noChangeArrowheads="1"/>
                    </pic:cNvPicPr>
                  </pic:nvPicPr>
                  <pic:blipFill>
                    <a:blip r:embed="rId43"/>
                    <a:stretch>
                      <a:fillRect/>
                    </a:stretch>
                  </pic:blipFill>
                  <pic:spPr bwMode="auto">
                    <a:xfrm>
                      <a:off x="0" y="0"/>
                      <a:ext cx="5334000" cy="3692769"/>
                    </a:xfrm>
                    <a:prstGeom prst="rect">
                      <a:avLst/>
                    </a:prstGeom>
                    <a:noFill/>
                    <a:ln w="9525">
                      <a:noFill/>
                      <a:headEnd/>
                      <a:tailEnd/>
                    </a:ln>
                  </pic:spPr>
                </pic:pic>
              </a:graphicData>
            </a:graphic>
          </wp:inline>
        </w:drawing>
      </w:r>
    </w:p>
    <w:p w14:paraId="1EE4098D" w14:textId="77777777" w:rsidR="0095436D" w:rsidRDefault="00000000">
      <w:pPr>
        <w:pStyle w:val="ImageCaption"/>
      </w:pPr>
      <w:r>
        <w:t>Figure S37: Unadjusted vaccine effectiveness (VE) against severe disease and bias compared to adjusted VE estimates for vaccination in the previous 6 months.</w:t>
      </w:r>
    </w:p>
    <w:p w14:paraId="1EE4098E" w14:textId="77777777" w:rsidR="0095436D" w:rsidRDefault="00000000">
      <w:r>
        <w:br w:type="page"/>
      </w:r>
    </w:p>
    <w:p w14:paraId="1EE4098F" w14:textId="77777777" w:rsidR="0095436D" w:rsidRDefault="00000000">
      <w:pPr>
        <w:pStyle w:val="CaptionedFigure"/>
      </w:pPr>
      <w:r>
        <w:rPr>
          <w:noProof/>
        </w:rPr>
        <w:lastRenderedPageBreak/>
        <w:drawing>
          <wp:inline distT="0" distB="0" distL="0" distR="0" wp14:anchorId="1EE409FD" wp14:editId="1EE409FE">
            <wp:extent cx="5334000" cy="3692769"/>
            <wp:effectExtent l="0" t="0" r="0" b="0"/>
            <wp:docPr id="152" name="Picture" descr="Figure S38: Unadjusted vaccine effectiveness (VE) against severe disease and bias compared to adjusted VE estimates for 1-2 months since the last vaccination."/>
            <wp:cNvGraphicFramePr/>
            <a:graphic xmlns:a="http://schemas.openxmlformats.org/drawingml/2006/main">
              <a:graphicData uri="http://schemas.openxmlformats.org/drawingml/2006/picture">
                <pic:pic xmlns:pic="http://schemas.openxmlformats.org/drawingml/2006/picture">
                  <pic:nvPicPr>
                    <pic:cNvPr id="153" name="Picture" descr="tnd_prior_infection_supplement_unedited_2024-07-16_files/figure-docx/fig.s.msv1-1.png"/>
                    <pic:cNvPicPr>
                      <a:picLocks noChangeAspect="1" noChangeArrowheads="1"/>
                    </pic:cNvPicPr>
                  </pic:nvPicPr>
                  <pic:blipFill>
                    <a:blip r:embed="rId44"/>
                    <a:stretch>
                      <a:fillRect/>
                    </a:stretch>
                  </pic:blipFill>
                  <pic:spPr bwMode="auto">
                    <a:xfrm>
                      <a:off x="0" y="0"/>
                      <a:ext cx="5334000" cy="3692769"/>
                    </a:xfrm>
                    <a:prstGeom prst="rect">
                      <a:avLst/>
                    </a:prstGeom>
                    <a:noFill/>
                    <a:ln w="9525">
                      <a:noFill/>
                      <a:headEnd/>
                      <a:tailEnd/>
                    </a:ln>
                  </pic:spPr>
                </pic:pic>
              </a:graphicData>
            </a:graphic>
          </wp:inline>
        </w:drawing>
      </w:r>
    </w:p>
    <w:p w14:paraId="1EE40990" w14:textId="77777777" w:rsidR="0095436D" w:rsidRDefault="00000000">
      <w:pPr>
        <w:pStyle w:val="ImageCaption"/>
      </w:pPr>
      <w:r>
        <w:t>Figure S38: Unadjusted vaccine effectiveness (VE) against severe disease and bias compared to adjusted VE estimates for 1-2 months since the last vaccination.</w:t>
      </w:r>
    </w:p>
    <w:p w14:paraId="1EE40991" w14:textId="77777777" w:rsidR="0095436D" w:rsidRDefault="00000000">
      <w:r>
        <w:br w:type="page"/>
      </w:r>
    </w:p>
    <w:p w14:paraId="1EE40992" w14:textId="77777777" w:rsidR="0095436D" w:rsidRDefault="00000000">
      <w:pPr>
        <w:pStyle w:val="CaptionedFigure"/>
      </w:pPr>
      <w:r>
        <w:rPr>
          <w:noProof/>
        </w:rPr>
        <w:lastRenderedPageBreak/>
        <w:drawing>
          <wp:inline distT="0" distB="0" distL="0" distR="0" wp14:anchorId="1EE409FF" wp14:editId="1EE40A00">
            <wp:extent cx="5334000" cy="3692769"/>
            <wp:effectExtent l="0" t="0" r="0" b="0"/>
            <wp:docPr id="155" name="Picture" descr="Figure S39: Unadjusted vaccine effectiveness (VE) against severe disease and bias compared to adjusted VE estimates for 3-4 months since the last vaccination."/>
            <wp:cNvGraphicFramePr/>
            <a:graphic xmlns:a="http://schemas.openxmlformats.org/drawingml/2006/main">
              <a:graphicData uri="http://schemas.openxmlformats.org/drawingml/2006/picture">
                <pic:pic xmlns:pic="http://schemas.openxmlformats.org/drawingml/2006/picture">
                  <pic:nvPicPr>
                    <pic:cNvPr id="156" name="Picture" descr="tnd_prior_infection_supplement_unedited_2024-07-16_files/figure-docx/fig.s.msv3-1.png"/>
                    <pic:cNvPicPr>
                      <a:picLocks noChangeAspect="1" noChangeArrowheads="1"/>
                    </pic:cNvPicPr>
                  </pic:nvPicPr>
                  <pic:blipFill>
                    <a:blip r:embed="rId45"/>
                    <a:stretch>
                      <a:fillRect/>
                    </a:stretch>
                  </pic:blipFill>
                  <pic:spPr bwMode="auto">
                    <a:xfrm>
                      <a:off x="0" y="0"/>
                      <a:ext cx="5334000" cy="3692769"/>
                    </a:xfrm>
                    <a:prstGeom prst="rect">
                      <a:avLst/>
                    </a:prstGeom>
                    <a:noFill/>
                    <a:ln w="9525">
                      <a:noFill/>
                      <a:headEnd/>
                      <a:tailEnd/>
                    </a:ln>
                  </pic:spPr>
                </pic:pic>
              </a:graphicData>
            </a:graphic>
          </wp:inline>
        </w:drawing>
      </w:r>
    </w:p>
    <w:p w14:paraId="1EE40993" w14:textId="77777777" w:rsidR="0095436D" w:rsidRDefault="00000000">
      <w:pPr>
        <w:pStyle w:val="ImageCaption"/>
      </w:pPr>
      <w:r>
        <w:t>Figure S39: Unadjusted vaccine effectiveness (VE) against severe disease and bias compared to adjusted VE estimates for 3-4 months since the last vaccination.</w:t>
      </w:r>
    </w:p>
    <w:p w14:paraId="1EE40994" w14:textId="77777777" w:rsidR="0095436D" w:rsidRDefault="00000000">
      <w:r>
        <w:br w:type="page"/>
      </w:r>
    </w:p>
    <w:p w14:paraId="1EE40995" w14:textId="77777777" w:rsidR="0095436D" w:rsidRDefault="00000000">
      <w:pPr>
        <w:pStyle w:val="CaptionedFigure"/>
      </w:pPr>
      <w:r>
        <w:rPr>
          <w:noProof/>
        </w:rPr>
        <w:lastRenderedPageBreak/>
        <w:drawing>
          <wp:inline distT="0" distB="0" distL="0" distR="0" wp14:anchorId="1EE40A01" wp14:editId="1EE40A02">
            <wp:extent cx="5334000" cy="3692769"/>
            <wp:effectExtent l="0" t="0" r="0" b="0"/>
            <wp:docPr id="158" name="Picture" descr="Figure S40: Unadjusted vaccine effectiveness (VE) against severe disease and bias compared to adjusted VE estimates for 5-11 months since the last vaccination."/>
            <wp:cNvGraphicFramePr/>
            <a:graphic xmlns:a="http://schemas.openxmlformats.org/drawingml/2006/main">
              <a:graphicData uri="http://schemas.openxmlformats.org/drawingml/2006/picture">
                <pic:pic xmlns:pic="http://schemas.openxmlformats.org/drawingml/2006/picture">
                  <pic:nvPicPr>
                    <pic:cNvPr id="159" name="Picture" descr="tnd_prior_infection_supplement_unedited_2024-07-16_files/figure-docx/fig.s.msv5-1.png"/>
                    <pic:cNvPicPr>
                      <a:picLocks noChangeAspect="1" noChangeArrowheads="1"/>
                    </pic:cNvPicPr>
                  </pic:nvPicPr>
                  <pic:blipFill>
                    <a:blip r:embed="rId46"/>
                    <a:stretch>
                      <a:fillRect/>
                    </a:stretch>
                  </pic:blipFill>
                  <pic:spPr bwMode="auto">
                    <a:xfrm>
                      <a:off x="0" y="0"/>
                      <a:ext cx="5334000" cy="3692769"/>
                    </a:xfrm>
                    <a:prstGeom prst="rect">
                      <a:avLst/>
                    </a:prstGeom>
                    <a:noFill/>
                    <a:ln w="9525">
                      <a:noFill/>
                      <a:headEnd/>
                      <a:tailEnd/>
                    </a:ln>
                  </pic:spPr>
                </pic:pic>
              </a:graphicData>
            </a:graphic>
          </wp:inline>
        </w:drawing>
      </w:r>
    </w:p>
    <w:p w14:paraId="1EE40996" w14:textId="77777777" w:rsidR="0095436D" w:rsidRDefault="00000000">
      <w:pPr>
        <w:pStyle w:val="ImageCaption"/>
      </w:pPr>
      <w:r>
        <w:t>Figure S40: Unadjusted vaccine effectiveness (VE) against severe disease and bias compared to adjusted VE estimates for 5-11 months since the last vaccination.</w:t>
      </w:r>
    </w:p>
    <w:p w14:paraId="1EE40997" w14:textId="77777777" w:rsidR="0095436D" w:rsidRDefault="00000000">
      <w:r>
        <w:br w:type="page"/>
      </w:r>
    </w:p>
    <w:p w14:paraId="1EE40998" w14:textId="77777777" w:rsidR="0095436D" w:rsidRDefault="00000000">
      <w:pPr>
        <w:pStyle w:val="CaptionedFigure"/>
      </w:pPr>
      <w:r>
        <w:rPr>
          <w:noProof/>
        </w:rPr>
        <w:lastRenderedPageBreak/>
        <w:drawing>
          <wp:inline distT="0" distB="0" distL="0" distR="0" wp14:anchorId="1EE40A03" wp14:editId="1EE40A04">
            <wp:extent cx="5334000" cy="3692769"/>
            <wp:effectExtent l="0" t="0" r="0" b="0"/>
            <wp:docPr id="161" name="Picture" descr="Figure S41: Unadjusted vaccine effectiveness (VE) against severe disease and bias compared to adjusted VE estimates for 12 or more months since the last vaccination."/>
            <wp:cNvGraphicFramePr/>
            <a:graphic xmlns:a="http://schemas.openxmlformats.org/drawingml/2006/main">
              <a:graphicData uri="http://schemas.openxmlformats.org/drawingml/2006/picture">
                <pic:pic xmlns:pic="http://schemas.openxmlformats.org/drawingml/2006/picture">
                  <pic:nvPicPr>
                    <pic:cNvPr id="162" name="Picture" descr="tnd_prior_infection_supplement_unedited_2024-07-16_files/figure-docx/fig.s.msv12-1.png"/>
                    <pic:cNvPicPr>
                      <a:picLocks noChangeAspect="1" noChangeArrowheads="1"/>
                    </pic:cNvPicPr>
                  </pic:nvPicPr>
                  <pic:blipFill>
                    <a:blip r:embed="rId47"/>
                    <a:stretch>
                      <a:fillRect/>
                    </a:stretch>
                  </pic:blipFill>
                  <pic:spPr bwMode="auto">
                    <a:xfrm>
                      <a:off x="0" y="0"/>
                      <a:ext cx="5334000" cy="3692769"/>
                    </a:xfrm>
                    <a:prstGeom prst="rect">
                      <a:avLst/>
                    </a:prstGeom>
                    <a:noFill/>
                    <a:ln w="9525">
                      <a:noFill/>
                      <a:headEnd/>
                      <a:tailEnd/>
                    </a:ln>
                  </pic:spPr>
                </pic:pic>
              </a:graphicData>
            </a:graphic>
          </wp:inline>
        </w:drawing>
      </w:r>
    </w:p>
    <w:p w14:paraId="1EE40999" w14:textId="77777777" w:rsidR="0095436D" w:rsidRDefault="00000000">
      <w:pPr>
        <w:pStyle w:val="ImageCaption"/>
      </w:pPr>
      <w:r>
        <w:t>Figure S41: Unadjusted vaccine effectiveness (VE) against severe disease and bias compared to adjusted VE estimates for 12 or more months since the last vaccination.</w:t>
      </w:r>
    </w:p>
    <w:p w14:paraId="1EE4099A" w14:textId="77777777" w:rsidR="0095436D" w:rsidRDefault="00000000">
      <w:r>
        <w:br w:type="page"/>
      </w:r>
    </w:p>
    <w:p w14:paraId="1EE4099B" w14:textId="77777777" w:rsidR="0095436D" w:rsidRDefault="00000000">
      <w:pPr>
        <w:pStyle w:val="CaptionedFigure"/>
      </w:pPr>
      <w:r>
        <w:rPr>
          <w:noProof/>
        </w:rPr>
        <w:lastRenderedPageBreak/>
        <w:drawing>
          <wp:inline distT="0" distB="0" distL="0" distR="0" wp14:anchorId="1EE40A05" wp14:editId="1EE40A06">
            <wp:extent cx="5334000" cy="3692769"/>
            <wp:effectExtent l="0" t="0" r="0" b="0"/>
            <wp:docPr id="164" name="Picture" descr="Figure S42: Unadjusted vaccine effectiveness (VE) against severe disease and bias compared to adjusted VE estimates for 2 vaccination doses."/>
            <wp:cNvGraphicFramePr/>
            <a:graphic xmlns:a="http://schemas.openxmlformats.org/drawingml/2006/main">
              <a:graphicData uri="http://schemas.openxmlformats.org/drawingml/2006/picture">
                <pic:pic xmlns:pic="http://schemas.openxmlformats.org/drawingml/2006/picture">
                  <pic:nvPicPr>
                    <pic:cNvPr id="165" name="Picture" descr="tnd_prior_infection_supplement_unedited_2024-07-16_files/figure-docx/fig.s.doses2-1.png"/>
                    <pic:cNvPicPr>
                      <a:picLocks noChangeAspect="1" noChangeArrowheads="1"/>
                    </pic:cNvPicPr>
                  </pic:nvPicPr>
                  <pic:blipFill>
                    <a:blip r:embed="rId48"/>
                    <a:stretch>
                      <a:fillRect/>
                    </a:stretch>
                  </pic:blipFill>
                  <pic:spPr bwMode="auto">
                    <a:xfrm>
                      <a:off x="0" y="0"/>
                      <a:ext cx="5334000" cy="3692769"/>
                    </a:xfrm>
                    <a:prstGeom prst="rect">
                      <a:avLst/>
                    </a:prstGeom>
                    <a:noFill/>
                    <a:ln w="9525">
                      <a:noFill/>
                      <a:headEnd/>
                      <a:tailEnd/>
                    </a:ln>
                  </pic:spPr>
                </pic:pic>
              </a:graphicData>
            </a:graphic>
          </wp:inline>
        </w:drawing>
      </w:r>
    </w:p>
    <w:p w14:paraId="1EE4099C" w14:textId="77777777" w:rsidR="0095436D" w:rsidRDefault="00000000">
      <w:pPr>
        <w:pStyle w:val="ImageCaption"/>
      </w:pPr>
      <w:r>
        <w:t>Figure S42: Unadjusted vaccine effectiveness (VE) against severe disease and bias compared to adjusted VE estimates for 2 vaccination doses.</w:t>
      </w:r>
    </w:p>
    <w:p w14:paraId="1EE4099D" w14:textId="77777777" w:rsidR="0095436D" w:rsidRDefault="00000000">
      <w:r>
        <w:br w:type="page"/>
      </w:r>
    </w:p>
    <w:p w14:paraId="1EE4099E" w14:textId="77777777" w:rsidR="0095436D" w:rsidRDefault="00000000">
      <w:pPr>
        <w:pStyle w:val="CaptionedFigure"/>
      </w:pPr>
      <w:r>
        <w:rPr>
          <w:noProof/>
        </w:rPr>
        <w:lastRenderedPageBreak/>
        <w:drawing>
          <wp:inline distT="0" distB="0" distL="0" distR="0" wp14:anchorId="1EE40A07" wp14:editId="1EE40A08">
            <wp:extent cx="5334000" cy="3692769"/>
            <wp:effectExtent l="0" t="0" r="0" b="0"/>
            <wp:docPr id="167" name="Picture" descr="Figure S43: Unadjusted vaccine effectiveness (VE) against severe disease and bias compared to adjusted VE estimates for 3 vaccination doses."/>
            <wp:cNvGraphicFramePr/>
            <a:graphic xmlns:a="http://schemas.openxmlformats.org/drawingml/2006/main">
              <a:graphicData uri="http://schemas.openxmlformats.org/drawingml/2006/picture">
                <pic:pic xmlns:pic="http://schemas.openxmlformats.org/drawingml/2006/picture">
                  <pic:nvPicPr>
                    <pic:cNvPr id="168" name="Picture" descr="tnd_prior_infection_supplement_unedited_2024-07-16_files/figure-docx/fig.s.doses3-1.png"/>
                    <pic:cNvPicPr>
                      <a:picLocks noChangeAspect="1" noChangeArrowheads="1"/>
                    </pic:cNvPicPr>
                  </pic:nvPicPr>
                  <pic:blipFill>
                    <a:blip r:embed="rId49"/>
                    <a:stretch>
                      <a:fillRect/>
                    </a:stretch>
                  </pic:blipFill>
                  <pic:spPr bwMode="auto">
                    <a:xfrm>
                      <a:off x="0" y="0"/>
                      <a:ext cx="5334000" cy="3692769"/>
                    </a:xfrm>
                    <a:prstGeom prst="rect">
                      <a:avLst/>
                    </a:prstGeom>
                    <a:noFill/>
                    <a:ln w="9525">
                      <a:noFill/>
                      <a:headEnd/>
                      <a:tailEnd/>
                    </a:ln>
                  </pic:spPr>
                </pic:pic>
              </a:graphicData>
            </a:graphic>
          </wp:inline>
        </w:drawing>
      </w:r>
    </w:p>
    <w:p w14:paraId="1EE4099F" w14:textId="77777777" w:rsidR="0095436D" w:rsidRDefault="00000000">
      <w:pPr>
        <w:pStyle w:val="ImageCaption"/>
      </w:pPr>
      <w:r>
        <w:t>Figure S43: Unadjusted vaccine effectiveness (VE) against severe disease and bias compared to adjusted VE estimates for 3 vaccination doses.</w:t>
      </w:r>
    </w:p>
    <w:p w14:paraId="1EE409A0" w14:textId="77777777" w:rsidR="0095436D" w:rsidRDefault="00000000">
      <w:r>
        <w:br w:type="page"/>
      </w:r>
    </w:p>
    <w:p w14:paraId="1EE409A1" w14:textId="77777777" w:rsidR="0095436D" w:rsidRDefault="00000000">
      <w:pPr>
        <w:pStyle w:val="CaptionedFigure"/>
      </w:pPr>
      <w:r>
        <w:rPr>
          <w:noProof/>
        </w:rPr>
        <w:lastRenderedPageBreak/>
        <w:drawing>
          <wp:inline distT="0" distB="0" distL="0" distR="0" wp14:anchorId="1EE40A09" wp14:editId="1EE40A0A">
            <wp:extent cx="5334000" cy="3692769"/>
            <wp:effectExtent l="0" t="0" r="0" b="0"/>
            <wp:docPr id="170" name="Picture" descr="Figure S44: Unadjusted vaccine effectiveness (VE) against severe disease and bias compared to adjusted VE estimates for 4 vaccination doses."/>
            <wp:cNvGraphicFramePr/>
            <a:graphic xmlns:a="http://schemas.openxmlformats.org/drawingml/2006/main">
              <a:graphicData uri="http://schemas.openxmlformats.org/drawingml/2006/picture">
                <pic:pic xmlns:pic="http://schemas.openxmlformats.org/drawingml/2006/picture">
                  <pic:nvPicPr>
                    <pic:cNvPr id="171" name="Picture" descr="tnd_prior_infection_supplement_unedited_2024-07-16_files/figure-docx/fig.s.doses4-1.png"/>
                    <pic:cNvPicPr>
                      <a:picLocks noChangeAspect="1" noChangeArrowheads="1"/>
                    </pic:cNvPicPr>
                  </pic:nvPicPr>
                  <pic:blipFill>
                    <a:blip r:embed="rId50"/>
                    <a:stretch>
                      <a:fillRect/>
                    </a:stretch>
                  </pic:blipFill>
                  <pic:spPr bwMode="auto">
                    <a:xfrm>
                      <a:off x="0" y="0"/>
                      <a:ext cx="5334000" cy="3692769"/>
                    </a:xfrm>
                    <a:prstGeom prst="rect">
                      <a:avLst/>
                    </a:prstGeom>
                    <a:noFill/>
                    <a:ln w="9525">
                      <a:noFill/>
                      <a:headEnd/>
                      <a:tailEnd/>
                    </a:ln>
                  </pic:spPr>
                </pic:pic>
              </a:graphicData>
            </a:graphic>
          </wp:inline>
        </w:drawing>
      </w:r>
    </w:p>
    <w:p w14:paraId="1EE409A2" w14:textId="77777777" w:rsidR="0095436D" w:rsidRDefault="00000000">
      <w:pPr>
        <w:pStyle w:val="ImageCaption"/>
      </w:pPr>
      <w:r>
        <w:t>Figure S44: Unadjusted vaccine effectiveness (VE) against severe disease and bias compared to adjusted VE estimates for 4 vaccination doses.</w:t>
      </w:r>
    </w:p>
    <w:p w14:paraId="1EE409A3" w14:textId="77777777" w:rsidR="0095436D" w:rsidRDefault="00000000">
      <w:r>
        <w:br w:type="page"/>
      </w:r>
    </w:p>
    <w:p w14:paraId="1EE409A4" w14:textId="77777777" w:rsidR="0095436D" w:rsidRDefault="00000000">
      <w:pPr>
        <w:pStyle w:val="CaptionedFigure"/>
      </w:pPr>
      <w:r>
        <w:rPr>
          <w:noProof/>
        </w:rPr>
        <w:lastRenderedPageBreak/>
        <w:drawing>
          <wp:inline distT="0" distB="0" distL="0" distR="0" wp14:anchorId="1EE40A0B" wp14:editId="1EE40A0C">
            <wp:extent cx="5334000" cy="3692769"/>
            <wp:effectExtent l="0" t="0" r="0" b="0"/>
            <wp:docPr id="173" name="Picture" descr="Figure S45: Unadjusted vaccine effectiveness (VE) against severe disease and bias compared to adjusted VE estimates for 5 vaccination doses."/>
            <wp:cNvGraphicFramePr/>
            <a:graphic xmlns:a="http://schemas.openxmlformats.org/drawingml/2006/main">
              <a:graphicData uri="http://schemas.openxmlformats.org/drawingml/2006/picture">
                <pic:pic xmlns:pic="http://schemas.openxmlformats.org/drawingml/2006/picture">
                  <pic:nvPicPr>
                    <pic:cNvPr id="174" name="Picture" descr="tnd_prior_infection_supplement_unedited_2024-07-16_files/figure-docx/fig.s.doses5-1.png"/>
                    <pic:cNvPicPr>
                      <a:picLocks noChangeAspect="1" noChangeArrowheads="1"/>
                    </pic:cNvPicPr>
                  </pic:nvPicPr>
                  <pic:blipFill>
                    <a:blip r:embed="rId51"/>
                    <a:stretch>
                      <a:fillRect/>
                    </a:stretch>
                  </pic:blipFill>
                  <pic:spPr bwMode="auto">
                    <a:xfrm>
                      <a:off x="0" y="0"/>
                      <a:ext cx="5334000" cy="3692769"/>
                    </a:xfrm>
                    <a:prstGeom prst="rect">
                      <a:avLst/>
                    </a:prstGeom>
                    <a:noFill/>
                    <a:ln w="9525">
                      <a:noFill/>
                      <a:headEnd/>
                      <a:tailEnd/>
                    </a:ln>
                  </pic:spPr>
                </pic:pic>
              </a:graphicData>
            </a:graphic>
          </wp:inline>
        </w:drawing>
      </w:r>
    </w:p>
    <w:p w14:paraId="1EE409A5" w14:textId="77777777" w:rsidR="0095436D" w:rsidRDefault="00000000">
      <w:pPr>
        <w:pStyle w:val="ImageCaption"/>
      </w:pPr>
      <w:r>
        <w:t>Figure S45: Unadjusted vaccine effectiveness (VE) against severe disease and bias compared to adjusted VE estimates for 5 vaccination doses.</w:t>
      </w:r>
    </w:p>
    <w:p w14:paraId="1EE409A6" w14:textId="77777777" w:rsidR="0095436D" w:rsidRDefault="00000000">
      <w:r>
        <w:br w:type="page"/>
      </w:r>
    </w:p>
    <w:p w14:paraId="1EE409A7" w14:textId="77777777" w:rsidR="0095436D" w:rsidRDefault="00000000">
      <w:pPr>
        <w:pStyle w:val="Heading1"/>
      </w:pPr>
      <w:bookmarkStart w:id="46" w:name="bibliography"/>
      <w:bookmarkStart w:id="47" w:name="_Toc172030385"/>
      <w:bookmarkEnd w:id="36"/>
      <w:bookmarkEnd w:id="40"/>
      <w:bookmarkEnd w:id="44"/>
      <w:r>
        <w:lastRenderedPageBreak/>
        <w:t>Bibliography</w:t>
      </w:r>
      <w:bookmarkEnd w:id="47"/>
    </w:p>
    <w:p w14:paraId="1EE409A8" w14:textId="7B3B5D80" w:rsidR="0095436D" w:rsidRDefault="00000000">
      <w:pPr>
        <w:pStyle w:val="Bibliography"/>
      </w:pPr>
      <w:bookmarkStart w:id="48" w:name="ref-CDCcases"/>
      <w:bookmarkStart w:id="49" w:name="refs"/>
      <w:r>
        <w:t xml:space="preserve">1. </w:t>
      </w:r>
      <w:r>
        <w:tab/>
        <w:t xml:space="preserve">Centers for Disease Control and Prevention COVID-19 Response. Weekly united states COVID-19 cases and deaths by state. 2023; Available at: </w:t>
      </w:r>
      <w:hyperlink r:id="rId52">
        <w:r>
          <w:rPr>
            <w:rStyle w:val="Hyperlink"/>
          </w:rPr>
          <w:t>\url{https://data.cdc.gov/Case-Surveillance/Weekly-United-States-COVID-19-Cases-and-Deaths-by-/pwn4-m3yp}</w:t>
        </w:r>
      </w:hyperlink>
      <w:r>
        <w:t>.</w:t>
      </w:r>
    </w:p>
    <w:p w14:paraId="1EE409A9" w14:textId="77777777" w:rsidR="0095436D" w:rsidRDefault="00000000">
      <w:pPr>
        <w:pStyle w:val="Bibliography"/>
      </w:pPr>
      <w:bookmarkStart w:id="50" w:name="ref-wiegand"/>
      <w:bookmarkEnd w:id="48"/>
      <w:r>
        <w:t xml:space="preserve">2. </w:t>
      </w:r>
      <w:r>
        <w:tab/>
        <w:t xml:space="preserve">Wiegand RE, Deng Y, Deng X, et al. Estimated SARS-CoV-2 antibody seroprevalence trends and relationship to reported case prevalence from a repeated, cross-sectional study in the 50 states and the District of Columbia, United States—October 25, 2020–February 26, 2022. The Lancet Regional Health–Americas </w:t>
      </w:r>
      <w:r>
        <w:rPr>
          <w:b/>
          <w:bCs/>
        </w:rPr>
        <w:t>2023</w:t>
      </w:r>
      <w:r>
        <w:t xml:space="preserve">; 18. </w:t>
      </w:r>
    </w:p>
    <w:p w14:paraId="1EE409AA" w14:textId="4BCF4140" w:rsidR="0095436D" w:rsidRDefault="00000000">
      <w:pPr>
        <w:pStyle w:val="Bibliography"/>
      </w:pPr>
      <w:bookmarkStart w:id="51" w:name="ref-massd"/>
      <w:bookmarkEnd w:id="50"/>
      <w:r>
        <w:t xml:space="preserve">3. </w:t>
      </w:r>
      <w:r>
        <w:tab/>
        <w:t xml:space="preserve">Centers for Disease Control and Prevention. 2022 nationwide COVID-19 infection- and vaccination-induced antibody seroprevalence (blood donations). 2023; Available at: </w:t>
      </w:r>
      <w:hyperlink r:id="rId53" w:anchor="nationwide-blood-donor-seroprevalence-2022}">
        <w:r>
          <w:rPr>
            <w:rStyle w:val="Hyperlink"/>
          </w:rPr>
          <w:t>\url{https://covid.cdc.gov/covid-data-tracker/#nationwide-blood-donor-seroprevalence-2022}</w:t>
        </w:r>
      </w:hyperlink>
      <w:r>
        <w:t>.</w:t>
      </w:r>
    </w:p>
    <w:p w14:paraId="1EE409AB" w14:textId="44100CBE" w:rsidR="0095436D" w:rsidRDefault="00000000">
      <w:pPr>
        <w:pStyle w:val="Bibliography"/>
      </w:pPr>
      <w:bookmarkStart w:id="52" w:name="ref-CDCvax"/>
      <w:bookmarkEnd w:id="51"/>
      <w:r>
        <w:t xml:space="preserve">4. </w:t>
      </w:r>
      <w:r>
        <w:tab/>
        <w:t xml:space="preserve">Centers for Disease Control and Prevention COVID-19 Response. COVID-19 vaccination age and sex trends in the united states, national and jurisdictional. 2023; Available at: </w:t>
      </w:r>
      <w:hyperlink r:id="rId54">
        <w:r>
          <w:rPr>
            <w:rStyle w:val="Hyperlink"/>
          </w:rPr>
          <w:t>\url{https://data.cdc.gov/Vaccinations/COVID-19-Vaccination-Age-and-Sex-Trends-in-the-Uni/5i5k-6cmh}</w:t>
        </w:r>
      </w:hyperlink>
      <w:r>
        <w:t>.</w:t>
      </w:r>
    </w:p>
    <w:p w14:paraId="1EE409AC" w14:textId="77777777" w:rsidR="0095436D" w:rsidRDefault="00000000">
      <w:pPr>
        <w:pStyle w:val="Bibliography"/>
      </w:pPr>
      <w:bookmarkStart w:id="53" w:name="ref-nguyenEID"/>
      <w:bookmarkEnd w:id="52"/>
      <w:r>
        <w:t xml:space="preserve">5. </w:t>
      </w:r>
      <w:r>
        <w:tab/>
        <w:t xml:space="preserve">Nguyen KH, Huang J, Mansfield K, Corlin L, Allen JD. COVID-19 vaccination coverage, behaviors, and intentions among adults with previous diagnosis, united states. Emerging Infectious Diseases </w:t>
      </w:r>
      <w:r>
        <w:rPr>
          <w:b/>
          <w:bCs/>
        </w:rPr>
        <w:t>2022</w:t>
      </w:r>
      <w:r>
        <w:t xml:space="preserve">; 28:631. </w:t>
      </w:r>
    </w:p>
    <w:p w14:paraId="1EE409AD" w14:textId="77777777" w:rsidR="0095436D" w:rsidRDefault="00000000">
      <w:pPr>
        <w:pStyle w:val="Bibliography"/>
      </w:pPr>
      <w:bookmarkStart w:id="54" w:name="ref-lutrick"/>
      <w:bookmarkEnd w:id="53"/>
      <w:r>
        <w:t xml:space="preserve">6. </w:t>
      </w:r>
      <w:r>
        <w:tab/>
        <w:t xml:space="preserve">Lutrick K, Groom H, Fowlkes AL, et al. COVID-19 vaccine perceptions and uptake in a national prospective cohort of essential workers. Vaccine </w:t>
      </w:r>
      <w:r>
        <w:rPr>
          <w:b/>
          <w:bCs/>
        </w:rPr>
        <w:t>2022</w:t>
      </w:r>
      <w:r>
        <w:t xml:space="preserve">; 40:494–502. Available at: </w:t>
      </w:r>
      <w:hyperlink r:id="rId55">
        <w:r>
          <w:rPr>
            <w:rStyle w:val="Hyperlink"/>
          </w:rPr>
          <w:t>https://www.sciencedirect.com/science/article/pii/S0264410X21015930</w:t>
        </w:r>
      </w:hyperlink>
      <w:r>
        <w:t>.</w:t>
      </w:r>
    </w:p>
    <w:p w14:paraId="1EE409AE" w14:textId="77777777" w:rsidR="0095436D" w:rsidRDefault="00000000">
      <w:pPr>
        <w:pStyle w:val="Bibliography"/>
      </w:pPr>
      <w:bookmarkStart w:id="55" w:name="ref-pacella"/>
      <w:bookmarkEnd w:id="54"/>
      <w:r>
        <w:t xml:space="preserve">7. </w:t>
      </w:r>
      <w:r>
        <w:tab/>
        <w:t xml:space="preserve">Pacella-LaBarbara ML, Park YL, Patterson PD, et al. COVID-19 vaccine uptake and intent among emergency healthcare workers: A cross-sectional survey. Journal of Occupational and Environmental Medicine </w:t>
      </w:r>
      <w:r>
        <w:rPr>
          <w:b/>
          <w:bCs/>
        </w:rPr>
        <w:t>2021</w:t>
      </w:r>
      <w:r>
        <w:t xml:space="preserve">; 63:852–856. </w:t>
      </w:r>
    </w:p>
    <w:p w14:paraId="1EE409AF" w14:textId="77777777" w:rsidR="0095436D" w:rsidRDefault="00000000">
      <w:pPr>
        <w:pStyle w:val="Bibliography"/>
      </w:pPr>
      <w:bookmarkStart w:id="56" w:name="ref-moniz"/>
      <w:bookmarkEnd w:id="55"/>
      <w:r>
        <w:t xml:space="preserve">8. </w:t>
      </w:r>
      <w:r>
        <w:tab/>
        <w:t xml:space="preserve">Moniz MH, Townsel C, Wagner AL, et al. COVID-19 vaccine acceptance among healthcare workers in a united states medical center. medRxiv </w:t>
      </w:r>
      <w:r>
        <w:rPr>
          <w:b/>
          <w:bCs/>
        </w:rPr>
        <w:t>2021</w:t>
      </w:r>
      <w:r>
        <w:t xml:space="preserve">; Available at: </w:t>
      </w:r>
      <w:hyperlink r:id="rId56">
        <w:r>
          <w:rPr>
            <w:rStyle w:val="Hyperlink"/>
          </w:rPr>
          <w:t>https://www.medrxiv.org/content/early/2021/04/30/2021.04.29.21256186</w:t>
        </w:r>
      </w:hyperlink>
      <w:r>
        <w:t>.</w:t>
      </w:r>
    </w:p>
    <w:p w14:paraId="1EE409B0" w14:textId="77777777" w:rsidR="0095436D" w:rsidRDefault="00000000">
      <w:pPr>
        <w:pStyle w:val="Bibliography"/>
      </w:pPr>
      <w:bookmarkStart w:id="57" w:name="ref-do"/>
      <w:bookmarkEnd w:id="56"/>
      <w:r>
        <w:t xml:space="preserve">9. </w:t>
      </w:r>
      <w:r>
        <w:tab/>
        <w:t xml:space="preserve">Do DP, Frank R. Prior COVID-19 infection: an underappreciated factor in vaccine hesitancy in the USA. Journal of Public Health </w:t>
      </w:r>
      <w:r>
        <w:rPr>
          <w:b/>
          <w:bCs/>
        </w:rPr>
        <w:t>2022</w:t>
      </w:r>
      <w:r>
        <w:t xml:space="preserve">; 44:471–474. Available at: </w:t>
      </w:r>
      <w:hyperlink r:id="rId57">
        <w:r>
          <w:rPr>
            <w:rStyle w:val="Hyperlink"/>
          </w:rPr>
          <w:t>https://doi.org/10.1093/pubmed/fdab404</w:t>
        </w:r>
      </w:hyperlink>
      <w:r>
        <w:t>.</w:t>
      </w:r>
    </w:p>
    <w:p w14:paraId="1EE409B1" w14:textId="77777777" w:rsidR="0095436D" w:rsidRDefault="00000000">
      <w:pPr>
        <w:pStyle w:val="Bibliography"/>
      </w:pPr>
      <w:bookmarkStart w:id="58" w:name="ref-nguyenJECH"/>
      <w:bookmarkEnd w:id="57"/>
      <w:r>
        <w:t xml:space="preserve">10. </w:t>
      </w:r>
      <w:r>
        <w:tab/>
        <w:t xml:space="preserve">Nguyen V-TT, Huang Y, Huang M, Tsai J. Factors related to COVID-19 vaccine hesitancy among middle-income and low-income adults in the USA. Journal of Epidemiology &amp; Community Health </w:t>
      </w:r>
      <w:r>
        <w:rPr>
          <w:b/>
          <w:bCs/>
        </w:rPr>
        <w:t>2023</w:t>
      </w:r>
      <w:r>
        <w:t xml:space="preserve">; 77:328–335. Available at: </w:t>
      </w:r>
      <w:hyperlink r:id="rId58">
        <w:r>
          <w:rPr>
            <w:rStyle w:val="Hyperlink"/>
          </w:rPr>
          <w:t>https://jech.bmj.com/content/77/5/328</w:t>
        </w:r>
      </w:hyperlink>
      <w:r>
        <w:t>.</w:t>
      </w:r>
    </w:p>
    <w:p w14:paraId="1EE409B2" w14:textId="77777777" w:rsidR="0095436D" w:rsidRDefault="00000000">
      <w:pPr>
        <w:pStyle w:val="Bibliography"/>
      </w:pPr>
      <w:bookmarkStart w:id="59" w:name="ref-millerFASEB"/>
      <w:bookmarkEnd w:id="58"/>
      <w:r>
        <w:t xml:space="preserve">11. </w:t>
      </w:r>
      <w:r>
        <w:tab/>
        <w:t xml:space="preserve">Miller TE, Garcia Beltran WF, Bard AZ, et al. Clinical sensitivity and interpretation of PCR and serological COVID-19 diagnostics for patients presenting to the hospital. The </w:t>
      </w:r>
      <w:r>
        <w:lastRenderedPageBreak/>
        <w:t xml:space="preserve">FASEB Journal </w:t>
      </w:r>
      <w:r>
        <w:rPr>
          <w:b/>
          <w:bCs/>
        </w:rPr>
        <w:t>2020</w:t>
      </w:r>
      <w:r>
        <w:t xml:space="preserve">; 34:13877–13884. Available at: </w:t>
      </w:r>
      <w:hyperlink r:id="rId59">
        <w:r>
          <w:rPr>
            <w:rStyle w:val="Hyperlink"/>
          </w:rPr>
          <w:t>https://faseb.onlinelibrary.wiley.com/doi/abs/10.1096/fj.202001700RR</w:t>
        </w:r>
      </w:hyperlink>
      <w:r>
        <w:t>.</w:t>
      </w:r>
      <w:bookmarkEnd w:id="46"/>
      <w:bookmarkEnd w:id="49"/>
      <w:bookmarkEnd w:id="59"/>
    </w:p>
    <w:sectPr w:rsidR="0095436D" w:rsidSect="007655B4">
      <w:headerReference w:type="default" r:id="rId60"/>
      <w:footerReference w:type="default" r:id="rId61"/>
      <w:footerReference w:type="first" r:id="rId62"/>
      <w:pgSz w:w="12240" w:h="15840"/>
      <w:pgMar w:top="1440" w:right="1440" w:bottom="1440" w:left="144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4C80D0" w14:textId="77777777" w:rsidR="00F82792" w:rsidRDefault="00F82792">
      <w:pPr>
        <w:spacing w:after="0"/>
      </w:pPr>
      <w:r>
        <w:separator/>
      </w:r>
    </w:p>
  </w:endnote>
  <w:endnote w:type="continuationSeparator" w:id="0">
    <w:p w14:paraId="52A415E6" w14:textId="77777777" w:rsidR="00F82792" w:rsidRDefault="00F8279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9330290"/>
      <w:docPartObj>
        <w:docPartGallery w:val="Page Numbers (Bottom of Page)"/>
        <w:docPartUnique/>
      </w:docPartObj>
    </w:sdtPr>
    <w:sdtEndPr>
      <w:rPr>
        <w:noProof/>
      </w:rPr>
    </w:sdtEndPr>
    <w:sdtContent>
      <w:p w14:paraId="092A98B8" w14:textId="78B82FCF" w:rsidR="007655B4" w:rsidRDefault="007655B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145D864" w14:textId="77777777" w:rsidR="007655B4" w:rsidRDefault="007655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7238267"/>
      <w:docPartObj>
        <w:docPartGallery w:val="Page Numbers (Bottom of Page)"/>
        <w:docPartUnique/>
      </w:docPartObj>
    </w:sdtPr>
    <w:sdtEndPr>
      <w:rPr>
        <w:noProof/>
      </w:rPr>
    </w:sdtEndPr>
    <w:sdtContent>
      <w:p w14:paraId="6DDAF555" w14:textId="3B5357DB" w:rsidR="007655B4" w:rsidRDefault="007655B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6DF4159" w14:textId="77777777" w:rsidR="007655B4" w:rsidRDefault="007655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C0CC8" w14:textId="77777777" w:rsidR="00F82792" w:rsidRDefault="00F82792">
      <w:r>
        <w:separator/>
      </w:r>
    </w:p>
  </w:footnote>
  <w:footnote w:type="continuationSeparator" w:id="0">
    <w:p w14:paraId="5025C5AA" w14:textId="77777777" w:rsidR="00F82792" w:rsidRDefault="00F827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60C2F8" w14:textId="7DBD3400" w:rsidR="007655B4" w:rsidRDefault="007655B4">
    <w:pPr>
      <w:pStyle w:val="Header"/>
    </w:pPr>
    <w:r>
      <w:t>Supplement: BIAS OF VE UNADJUSTED FOR PRIOR INFECTION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A990"/>
    <w:multiLevelType w:val="multilevel"/>
    <w:tmpl w:val="5A12FE22"/>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0000A991"/>
    <w:multiLevelType w:val="multilevel"/>
    <w:tmpl w:val="4E381C3C"/>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2" w15:restartNumberingAfterBreak="0">
    <w:nsid w:val="00A99411"/>
    <w:multiLevelType w:val="multilevel"/>
    <w:tmpl w:val="9EBAC238"/>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 w16cid:durableId="1905798345">
    <w:abstractNumId w:val="0"/>
  </w:num>
  <w:num w:numId="2" w16cid:durableId="20260554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119064545">
    <w:abstractNumId w:val="1"/>
  </w:num>
  <w:num w:numId="4" w16cid:durableId="96720554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70984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2428693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1464228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5436D"/>
    <w:rsid w:val="007655B4"/>
    <w:rsid w:val="00801B10"/>
    <w:rsid w:val="0095436D"/>
    <w:rsid w:val="00D52F3E"/>
    <w:rsid w:val="00F27E89"/>
    <w:rsid w:val="00F82792"/>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407C1"/>
  <w15:docId w15:val="{5E914BA5-E8DE-41DA-BBEC-8121B200E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toc 1" w:uiPriority="39"/>
    <w:lsdException w:name="toc 2" w:uiPriority="39"/>
    <w:lsdException w:name="toc 3" w:uiPriority="39"/>
    <w:lsdException w:name="footer" w:uiPriority="99"/>
    <w:lsdException w:name="Hyperlink"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color w:val="345A8A"/>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uiPriority w:val="99"/>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8F5902"/>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b/>
      <w:color w:val="CE5C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b/>
      <w:color w:val="204A87"/>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204A87"/>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 w:type="paragraph" w:styleId="TOC1">
    <w:name w:val="toc 1"/>
    <w:basedOn w:val="Normal"/>
    <w:next w:val="Normal"/>
    <w:autoRedefine/>
    <w:uiPriority w:val="39"/>
    <w:rsid w:val="00D52F3E"/>
    <w:pPr>
      <w:spacing w:after="100"/>
    </w:pPr>
  </w:style>
  <w:style w:type="paragraph" w:styleId="TOC2">
    <w:name w:val="toc 2"/>
    <w:basedOn w:val="Normal"/>
    <w:next w:val="Normal"/>
    <w:autoRedefine/>
    <w:uiPriority w:val="39"/>
    <w:rsid w:val="00D52F3E"/>
    <w:pPr>
      <w:spacing w:after="100"/>
      <w:ind w:left="240"/>
    </w:pPr>
  </w:style>
  <w:style w:type="paragraph" w:styleId="TOC3">
    <w:name w:val="toc 3"/>
    <w:basedOn w:val="Normal"/>
    <w:next w:val="Normal"/>
    <w:autoRedefine/>
    <w:uiPriority w:val="39"/>
    <w:rsid w:val="00D52F3E"/>
    <w:pPr>
      <w:spacing w:after="100"/>
      <w:ind w:left="480"/>
    </w:pPr>
  </w:style>
  <w:style w:type="paragraph" w:styleId="Header">
    <w:name w:val="header"/>
    <w:basedOn w:val="Normal"/>
    <w:link w:val="HeaderChar"/>
    <w:rsid w:val="007655B4"/>
    <w:pPr>
      <w:tabs>
        <w:tab w:val="center" w:pos="4680"/>
        <w:tab w:val="right" w:pos="9360"/>
      </w:tabs>
      <w:spacing w:after="0"/>
    </w:pPr>
  </w:style>
  <w:style w:type="character" w:customStyle="1" w:styleId="HeaderChar">
    <w:name w:val="Header Char"/>
    <w:basedOn w:val="DefaultParagraphFont"/>
    <w:link w:val="Header"/>
    <w:rsid w:val="007655B4"/>
  </w:style>
  <w:style w:type="paragraph" w:styleId="Footer">
    <w:name w:val="footer"/>
    <w:basedOn w:val="Normal"/>
    <w:link w:val="FooterChar"/>
    <w:uiPriority w:val="99"/>
    <w:rsid w:val="007655B4"/>
    <w:pPr>
      <w:tabs>
        <w:tab w:val="center" w:pos="4680"/>
        <w:tab w:val="right" w:pos="9360"/>
      </w:tabs>
      <w:spacing w:after="0"/>
    </w:pPr>
  </w:style>
  <w:style w:type="character" w:customStyle="1" w:styleId="FooterChar">
    <w:name w:val="Footer Char"/>
    <w:basedOn w:val="DefaultParagraphFont"/>
    <w:link w:val="Footer"/>
    <w:uiPriority w:val="99"/>
    <w:rsid w:val="007655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hyperlink" Target="https://www.sciencedirect.com/science/article/pii/S0264410X21015930"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hyperlink" Target="https://cdc-my.sharepoint.com/url%7bhttps:/covid.cdc.gov/covid-data-tracker/" TargetMode="External"/><Relationship Id="rId58" Type="http://schemas.openxmlformats.org/officeDocument/2006/relationships/hyperlink" Target="https://jech.bmj.com/content/77/5/328" TargetMode="External"/><Relationship Id="rId5" Type="http://schemas.openxmlformats.org/officeDocument/2006/relationships/webSettings" Target="webSettings.xml"/><Relationship Id="rId61" Type="http://schemas.openxmlformats.org/officeDocument/2006/relationships/footer" Target="footer1.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hyperlink" Target="https://www.medrxiv.org/content/early/2021/04/30/2021.04.29.21256186" TargetMode="External"/><Relationship Id="rId64"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hyperlink" Target="https://faseb.onlinelibrary.wiley.com/doi/abs/10.1096/fj.202001700RR" TargetMode="Externa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hyperlink" Target="https://cdc-my.sharepoint.com/url%7bhttps:/data.cdc.gov/Vaccinations/COVID-19-Vaccination-Age-and-Sex-Trends-in-the-Uni/5i5k-6cmh%7d" TargetMode="External"/><Relationship Id="rId62"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hyperlink" Target="https://doi.org/10.1093/pubmed/fdab404" TargetMode="External"/><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hyperlink" Target="https://cdc-my.sharepoint.com/url%7bhttps:/data.cdc.gov/Case-Surveillance/Weekly-United-States-COVID-19-Cases-and-Deaths-by-/pwn4-m3yp%7d" TargetMode="External"/><Relationship Id="rId6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FD5449-9AE1-4B1E-B728-1BD38F6A49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55</Pages>
  <Words>5305</Words>
  <Characters>30239</Characters>
  <Application>Microsoft Office Word</Application>
  <DocSecurity>0</DocSecurity>
  <Lines>251</Lines>
  <Paragraphs>70</Paragraphs>
  <ScaleCrop>false</ScaleCrop>
  <Company>Centers for Disease Control and Prevention</Company>
  <LinksUpToDate>false</LinksUpToDate>
  <CharactersWithSpaces>35474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materials for ‘Bias and negative values of vaccine effectiveness estimates from a test-negative design without controlling for prior infection’</dc:title>
  <dc:creator>Ryan E. Wiegand, Bruce Fireman, Morgan Najdowski, Mark W. Tenforde, Ruth Link-Gelles, Jill M. Ferdinands</dc:creator>
  <cp:keywords/>
  <cp:lastModifiedBy>Wiegand, Ryan E. (CDC/NCIRD/CORVD)</cp:lastModifiedBy>
  <cp:revision>4</cp:revision>
  <dcterms:created xsi:type="dcterms:W3CDTF">2024-07-16T17:51:00Z</dcterms:created>
  <dcterms:modified xsi:type="dcterms:W3CDTF">2024-07-16T17:54:00Z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ibliography">
    <vt:lpwstr>prior_infection.bib</vt:lpwstr>
  </property>
  <property fmtid="{D5CDD505-2E9C-101B-9397-08002B2CF9AE}" pid="3" name="csl">
    <vt:lpwstr>clinical-infectious-diseases.csl</vt:lpwstr>
  </property>
  <property fmtid="{D5CDD505-2E9C-101B-9397-08002B2CF9AE}" pid="4" name="date">
    <vt:lpwstr/>
  </property>
  <property fmtid="{D5CDD505-2E9C-101B-9397-08002B2CF9AE}" pid="5" name="output">
    <vt:lpwstr/>
  </property>
  <property fmtid="{D5CDD505-2E9C-101B-9397-08002B2CF9AE}" pid="6" name="MSIP_Label_7b94a7b8-f06c-4dfe-bdcc-9b548fd58c31_Enabled">
    <vt:lpwstr>true</vt:lpwstr>
  </property>
  <property fmtid="{D5CDD505-2E9C-101B-9397-08002B2CF9AE}" pid="7" name="MSIP_Label_7b94a7b8-f06c-4dfe-bdcc-9b548fd58c31_SetDate">
    <vt:lpwstr>2024-07-16T17:50:47Z</vt:lpwstr>
  </property>
  <property fmtid="{D5CDD505-2E9C-101B-9397-08002B2CF9AE}" pid="8" name="MSIP_Label_7b94a7b8-f06c-4dfe-bdcc-9b548fd58c31_Method">
    <vt:lpwstr>Privileged</vt:lpwstr>
  </property>
  <property fmtid="{D5CDD505-2E9C-101B-9397-08002B2CF9AE}" pid="9" name="MSIP_Label_7b94a7b8-f06c-4dfe-bdcc-9b548fd58c31_Name">
    <vt:lpwstr>7b94a7b8-f06c-4dfe-bdcc-9b548fd58c31</vt:lpwstr>
  </property>
  <property fmtid="{D5CDD505-2E9C-101B-9397-08002B2CF9AE}" pid="10" name="MSIP_Label_7b94a7b8-f06c-4dfe-bdcc-9b548fd58c31_SiteId">
    <vt:lpwstr>9ce70869-60db-44fd-abe8-d2767077fc8f</vt:lpwstr>
  </property>
  <property fmtid="{D5CDD505-2E9C-101B-9397-08002B2CF9AE}" pid="11" name="MSIP_Label_7b94a7b8-f06c-4dfe-bdcc-9b548fd58c31_ActionId">
    <vt:lpwstr>1c9ce2cd-e076-4446-a320-63920bc7d57a</vt:lpwstr>
  </property>
  <property fmtid="{D5CDD505-2E9C-101B-9397-08002B2CF9AE}" pid="12" name="MSIP_Label_7b94a7b8-f06c-4dfe-bdcc-9b548fd58c31_ContentBits">
    <vt:lpwstr>0</vt:lpwstr>
  </property>
</Properties>
</file>