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34AF1C">
      <w:pPr>
        <w:pStyle w:val="2"/>
        <w:rPr>
          <w:rFonts w:hint="default"/>
          <w:highlight w:val="none"/>
          <w:lang w:val="es-ES"/>
        </w:rPr>
      </w:pPr>
      <w:bookmarkStart w:id="0" w:name="_GoBack"/>
      <w:bookmarkEnd w:id="0"/>
      <w:r>
        <w:rPr>
          <w:lang w:val="en-US"/>
        </w:rPr>
        <w:t xml:space="preserve">Supplementary Materials for the Submission of “Association Between Early Sitting and Functional Mobility Recovery After Hip-Fracture Surgery in Old Patients: A Prospective Cohort Study” by </w:t>
      </w:r>
      <w:r>
        <w:rPr>
          <w:rFonts w:hint="default"/>
          <w:highlight w:val="none"/>
          <w:lang w:val="es-ES"/>
        </w:rPr>
        <w:t>C. Catalano-Nadakhovskaia et al.</w:t>
      </w:r>
    </w:p>
    <w:p w14:paraId="5D2E73A0">
      <w:pPr>
        <w:rPr>
          <w:lang w:val="en-US"/>
        </w:rPr>
      </w:pPr>
    </w:p>
    <w:p w14:paraId="5A16B2A4">
      <w:pPr>
        <w:pStyle w:val="2"/>
        <w:rPr>
          <w:lang w:val="en-US"/>
        </w:rPr>
      </w:pPr>
      <w:r>
        <w:rPr>
          <w:lang w:val="en-US"/>
        </w:rPr>
        <w:t>Supplementary Tables</w:t>
      </w:r>
    </w:p>
    <w:tbl>
      <w:tblPr>
        <w:tblStyle w:val="5"/>
        <w:tblW w:w="1034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6"/>
        <w:gridCol w:w="2835"/>
        <w:gridCol w:w="1984"/>
        <w:gridCol w:w="1843"/>
      </w:tblGrid>
      <w:tr w14:paraId="53E81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0348" w:type="dxa"/>
            <w:gridSpan w:val="4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3D02A00">
            <w:pPr>
              <w:spacing w:after="0" w:line="360" w:lineRule="auto"/>
              <w:jc w:val="left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val="en-US" w:bidi="ar-SA"/>
              </w:rPr>
              <w:t>Table S1.</w:t>
            </w:r>
            <w:r>
              <w:rPr>
                <w:rFonts w:eastAsia="Times New Roman" w:cs="Times New Roman"/>
                <w:color w:val="000000"/>
                <w:szCs w:val="24"/>
                <w:lang w:val="en-US" w:bidi="ar-SA"/>
              </w:rPr>
              <w:t xml:space="preserve"> Housing, clinical characteristics, and treatments of the study population at discharge.</w:t>
            </w:r>
          </w:p>
        </w:tc>
      </w:tr>
      <w:tr w14:paraId="5EFF07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68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98C83C6">
            <w:pPr>
              <w:spacing w:after="0" w:line="360" w:lineRule="auto"/>
              <w:jc w:val="left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bidi="ar-SA"/>
              </w:rPr>
              <w:t> 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EA7FAF9">
            <w:pPr>
              <w:spacing w:after="0" w:line="360" w:lineRule="auto"/>
              <w:jc w:val="left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bidi="ar-SA"/>
              </w:rPr>
              <w:t> 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D541D91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val="en-US" w:bidi="ar-SA"/>
              </w:rPr>
              <w:t>Early Sitting After Surgery</w:t>
            </w:r>
          </w:p>
        </w:tc>
      </w:tr>
      <w:tr w14:paraId="382A5D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047DE">
            <w:pPr>
              <w:spacing w:after="0" w:line="36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val="en-US" w:bidi="ar-S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20D01">
            <w:pPr>
              <w:spacing w:after="0" w:line="360" w:lineRule="auto"/>
              <w:jc w:val="left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9B4DB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val="en-US" w:bidi="ar-SA"/>
              </w:rPr>
              <w:t xml:space="preserve">No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C1911">
            <w:pPr>
              <w:spacing w:after="0" w:line="36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val="en-US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val="en-US" w:bidi="ar-SA"/>
              </w:rPr>
              <w:t xml:space="preserve">Yes </w:t>
            </w:r>
          </w:p>
        </w:tc>
      </w:tr>
      <w:tr w14:paraId="0FF63D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C404DDB">
            <w:pPr>
              <w:spacing w:after="0" w:line="360" w:lineRule="auto"/>
              <w:jc w:val="left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bidi="ar-SA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9F7A2BF">
            <w:pPr>
              <w:spacing w:after="0" w:line="360" w:lineRule="auto"/>
              <w:jc w:val="left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C2B7193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val="en-US" w:bidi="ar-SA"/>
              </w:rPr>
              <w:t>n=198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9B0D55D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val="en-US" w:bidi="ar-SA"/>
              </w:rPr>
              <w:t>n=123</w:t>
            </w:r>
          </w:p>
        </w:tc>
      </w:tr>
      <w:tr w14:paraId="48CAD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40E00">
            <w:pPr>
              <w:spacing w:after="0" w:line="36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val="en-US" w:bidi="ar-SA"/>
              </w:rPr>
              <w:t>Hospital stay</w:t>
            </w:r>
            <w:r>
              <w:rPr>
                <w:rFonts w:eastAsia="Times New Roman" w:cs="Times New Roman"/>
                <w:color w:val="000000"/>
                <w:szCs w:val="24"/>
                <w:lang w:val="en-US" w:bidi="ar-SA"/>
              </w:rPr>
              <w:t xml:space="preserve"> (days), </w:t>
            </w:r>
            <w:r>
              <w:rPr>
                <w:rFonts w:eastAsia="Times New Roman" w:cs="Times New Roman"/>
                <w:i/>
                <w:iCs/>
                <w:color w:val="000000"/>
                <w:szCs w:val="24"/>
                <w:lang w:val="en-US" w:bidi="ar-SA"/>
              </w:rPr>
              <w:t>median (IQR)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A0F3B">
            <w:pPr>
              <w:spacing w:after="0" w:line="360" w:lineRule="auto"/>
              <w:jc w:val="left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746B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GB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GB" w:bidi="ar-SA"/>
              </w:rPr>
              <w:t>7.58 (5.93, 9.52)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1A7B0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GB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GB" w:bidi="ar-SA"/>
              </w:rPr>
              <w:t>6.94 (5.69, 8.81)</w:t>
            </w:r>
          </w:p>
        </w:tc>
      </w:tr>
      <w:tr w14:paraId="6D875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02822">
            <w:pPr>
              <w:spacing w:after="0" w:line="360" w:lineRule="auto"/>
              <w:jc w:val="left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val="en-US" w:bidi="ar-SA"/>
              </w:rPr>
              <w:t>Housing</w:t>
            </w:r>
            <w:r>
              <w:rPr>
                <w:rFonts w:eastAsia="Times New Roman" w:cs="Times New Roman"/>
                <w:color w:val="000000"/>
                <w:szCs w:val="24"/>
                <w:lang w:val="en-US" w:bidi="ar-SA"/>
              </w:rPr>
              <w:t xml:space="preserve">, </w:t>
            </w:r>
            <w:r>
              <w:rPr>
                <w:rFonts w:eastAsia="Times New Roman" w:cs="Times New Roman"/>
                <w:i/>
                <w:iCs/>
                <w:color w:val="000000"/>
                <w:szCs w:val="24"/>
                <w:lang w:val="en-US" w:bidi="ar-SA"/>
              </w:rPr>
              <w:t>n (%)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063CB">
            <w:pPr>
              <w:spacing w:after="0" w:line="360" w:lineRule="auto"/>
              <w:jc w:val="left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bidi="ar-SA"/>
              </w:rPr>
              <w:t xml:space="preserve">Home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10225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GB" w:bidi="ar-SA"/>
              </w:rPr>
              <w:t>14 (7.07)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BFD0B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GB" w:bidi="ar-SA"/>
              </w:rPr>
              <w:t>15 (12.20)</w:t>
            </w:r>
          </w:p>
        </w:tc>
      </w:tr>
      <w:tr w14:paraId="7C6FB0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858B1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F7690">
            <w:pPr>
              <w:spacing w:after="0" w:line="360" w:lineRule="auto"/>
              <w:jc w:val="left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bidi="ar-SA"/>
              </w:rPr>
              <w:t>Nursing/residential care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43A51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GB" w:bidi="ar-SA"/>
              </w:rPr>
              <w:t>57 (28.80)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E24A0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GB" w:bidi="ar-SA"/>
              </w:rPr>
              <w:t>22 (17.90)</w:t>
            </w:r>
          </w:p>
        </w:tc>
      </w:tr>
      <w:tr w14:paraId="547FF1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3A01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1FD41">
            <w:pPr>
              <w:spacing w:after="0" w:line="360" w:lineRule="auto"/>
              <w:jc w:val="left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bidi="ar-SA"/>
              </w:rPr>
              <w:t>Intensive Care admission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D9175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GB" w:bidi="ar-SA"/>
              </w:rPr>
              <w:t>4 (2.02)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23675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GB" w:bidi="ar-SA"/>
              </w:rPr>
              <w:t>4 (3.25)</w:t>
            </w:r>
          </w:p>
        </w:tc>
      </w:tr>
      <w:tr w14:paraId="0B3C1B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555BC4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AE3C0E">
            <w:pPr>
              <w:spacing w:after="0" w:line="360" w:lineRule="auto"/>
              <w:jc w:val="left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bidi="ar-SA"/>
              </w:rPr>
              <w:t xml:space="preserve">Hospital long-term 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42B45C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GB" w:bidi="ar-SA"/>
              </w:rPr>
              <w:t>4 (2.02)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0E0E01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GB" w:bidi="ar-SA"/>
              </w:rPr>
              <w:t>2 (1.63)</w:t>
            </w:r>
          </w:p>
        </w:tc>
      </w:tr>
      <w:tr w14:paraId="3332BB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F2F1A4">
            <w:pPr>
              <w:spacing w:after="0" w:line="360" w:lineRule="auto"/>
              <w:jc w:val="left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bidi="ar-SA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2CEA28">
            <w:pPr>
              <w:spacing w:after="0" w:line="360" w:lineRule="auto"/>
              <w:jc w:val="left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bidi="ar-SA"/>
              </w:rPr>
              <w:t>Functional recovery unit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1FE89C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GB" w:bidi="ar-SA"/>
              </w:rPr>
              <w:t>119 (60.10)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2B67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GB" w:bidi="ar-SA"/>
              </w:rPr>
              <w:t>80 (65.00)</w:t>
            </w:r>
          </w:p>
        </w:tc>
      </w:tr>
      <w:tr w14:paraId="6199CD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73DFC">
            <w:pPr>
              <w:spacing w:after="0" w:line="360" w:lineRule="auto"/>
              <w:jc w:val="left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val="en-US" w:bidi="ar-SA"/>
              </w:rPr>
              <w:t>Osteoprotectors</w:t>
            </w:r>
            <w:r>
              <w:rPr>
                <w:rFonts w:eastAsia="Times New Roman" w:cs="Times New Roman"/>
                <w:color w:val="000000"/>
                <w:szCs w:val="24"/>
                <w:lang w:val="en-US" w:bidi="ar-SA"/>
              </w:rPr>
              <w:t xml:space="preserve">, </w:t>
            </w:r>
            <w:r>
              <w:rPr>
                <w:rFonts w:eastAsia="Times New Roman" w:cs="Times New Roman"/>
                <w:i/>
                <w:iCs/>
                <w:color w:val="000000"/>
                <w:szCs w:val="24"/>
                <w:lang w:val="en-US" w:bidi="ar-SA"/>
              </w:rPr>
              <w:t>n (%)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1BE5E">
            <w:pPr>
              <w:spacing w:after="0" w:line="360" w:lineRule="auto"/>
              <w:jc w:val="left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bidi="ar-SA"/>
              </w:rPr>
              <w:t>No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10379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GB" w:bidi="ar-SA"/>
              </w:rPr>
              <w:t>194 (98.00)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F2560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GB" w:bidi="ar-SA"/>
              </w:rPr>
              <w:t>121 (98.40)</w:t>
            </w:r>
          </w:p>
        </w:tc>
      </w:tr>
      <w:tr w14:paraId="6D6973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58014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F6B9E">
            <w:pPr>
              <w:spacing w:after="0" w:line="360" w:lineRule="auto"/>
              <w:jc w:val="left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bidi="ar-SA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03289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GB" w:bidi="ar-SA"/>
              </w:rPr>
              <w:t>4 (2.02)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F9D10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GB" w:bidi="ar-SA"/>
              </w:rPr>
              <w:t>2 (1.63)</w:t>
            </w:r>
          </w:p>
        </w:tc>
      </w:tr>
      <w:tr w14:paraId="703BB2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5B6F6">
            <w:pPr>
              <w:spacing w:after="0" w:line="360" w:lineRule="auto"/>
              <w:jc w:val="left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val="en-US" w:bidi="ar-SA"/>
              </w:rPr>
              <w:t>Antiresorptives</w:t>
            </w:r>
            <w:r>
              <w:rPr>
                <w:rFonts w:eastAsia="Times New Roman" w:cs="Times New Roman"/>
                <w:color w:val="000000"/>
                <w:szCs w:val="24"/>
                <w:lang w:val="en-US" w:bidi="ar-SA"/>
              </w:rPr>
              <w:t xml:space="preserve">, </w:t>
            </w:r>
            <w:r>
              <w:rPr>
                <w:rFonts w:eastAsia="Times New Roman" w:cs="Times New Roman"/>
                <w:i/>
                <w:iCs/>
                <w:color w:val="000000"/>
                <w:szCs w:val="24"/>
                <w:lang w:val="en-US" w:bidi="ar-SA"/>
              </w:rPr>
              <w:t>n (%)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8B4D7">
            <w:pPr>
              <w:spacing w:after="0" w:line="360" w:lineRule="auto"/>
              <w:jc w:val="left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bidi="ar-SA"/>
              </w:rPr>
              <w:t>No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E5BCC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GB" w:bidi="ar-SA"/>
              </w:rPr>
              <w:t>194 (98.00)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46F3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GB" w:bidi="ar-SA"/>
              </w:rPr>
              <w:t>121 (98.40)</w:t>
            </w:r>
          </w:p>
        </w:tc>
      </w:tr>
      <w:tr w14:paraId="790039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FC0C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372B9">
            <w:pPr>
              <w:spacing w:after="0" w:line="360" w:lineRule="auto"/>
              <w:jc w:val="left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bidi="ar-SA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51AA4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GB" w:bidi="ar-SA"/>
              </w:rPr>
              <w:t>4 (2.02)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BF418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GB" w:bidi="ar-SA"/>
              </w:rPr>
              <w:t>2 (1.63)</w:t>
            </w:r>
          </w:p>
        </w:tc>
      </w:tr>
      <w:tr w14:paraId="5BECB3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820DC">
            <w:pPr>
              <w:spacing w:after="0" w:line="360" w:lineRule="auto"/>
              <w:jc w:val="left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val="en-US" w:bidi="ar-SA"/>
              </w:rPr>
              <w:t>Osteoformers</w:t>
            </w:r>
            <w:r>
              <w:rPr>
                <w:rFonts w:eastAsia="Times New Roman" w:cs="Times New Roman"/>
                <w:color w:val="000000"/>
                <w:szCs w:val="24"/>
                <w:lang w:val="en-US" w:bidi="ar-SA"/>
              </w:rPr>
              <w:t xml:space="preserve">, </w:t>
            </w:r>
            <w:r>
              <w:rPr>
                <w:rFonts w:eastAsia="Times New Roman" w:cs="Times New Roman"/>
                <w:i/>
                <w:iCs/>
                <w:color w:val="000000"/>
                <w:szCs w:val="24"/>
                <w:lang w:val="en-US" w:bidi="ar-SA"/>
              </w:rPr>
              <w:t>n (%)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16878">
            <w:pPr>
              <w:spacing w:after="0" w:line="360" w:lineRule="auto"/>
              <w:jc w:val="left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bidi="ar-SA"/>
              </w:rPr>
              <w:t>No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1A78B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GB" w:bidi="ar-SA"/>
              </w:rPr>
              <w:t>198 (100)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58BB1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GB" w:bidi="ar-SA"/>
              </w:rPr>
              <w:t>123 (100)</w:t>
            </w:r>
          </w:p>
        </w:tc>
      </w:tr>
      <w:tr w14:paraId="6F1B4C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F05CC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E1C6E">
            <w:pPr>
              <w:spacing w:after="0" w:line="360" w:lineRule="auto"/>
              <w:jc w:val="left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bidi="ar-SA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58014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bidi="ar-SA"/>
              </w:rPr>
              <w:t>0 (0.0)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F4A1F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bidi="ar-SA"/>
              </w:rPr>
              <w:t>0 (0.0)</w:t>
            </w:r>
          </w:p>
        </w:tc>
      </w:tr>
      <w:tr w14:paraId="1B55DD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CB7F2">
            <w:pPr>
              <w:spacing w:after="0" w:line="360" w:lineRule="auto"/>
              <w:jc w:val="left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val="en-US" w:bidi="ar-SA"/>
              </w:rPr>
              <w:t>Calcium</w:t>
            </w:r>
            <w:r>
              <w:rPr>
                <w:rFonts w:eastAsia="Times New Roman" w:cs="Times New Roman"/>
                <w:color w:val="000000"/>
                <w:szCs w:val="24"/>
                <w:lang w:val="en-US" w:bidi="ar-SA"/>
              </w:rPr>
              <w:t xml:space="preserve">, </w:t>
            </w:r>
            <w:r>
              <w:rPr>
                <w:rFonts w:eastAsia="Times New Roman" w:cs="Times New Roman"/>
                <w:i/>
                <w:iCs/>
                <w:color w:val="000000"/>
                <w:szCs w:val="24"/>
                <w:lang w:val="en-US" w:bidi="ar-SA"/>
              </w:rPr>
              <w:t>n (%)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968A6">
            <w:pPr>
              <w:spacing w:after="0" w:line="360" w:lineRule="auto"/>
              <w:jc w:val="left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bidi="ar-SA"/>
              </w:rPr>
              <w:t>No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088D1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GB" w:bidi="ar-SA"/>
              </w:rPr>
              <w:t>181 (91.40)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D6B9B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GB" w:bidi="ar-SA"/>
              </w:rPr>
              <w:t>119 (96.70)</w:t>
            </w:r>
          </w:p>
        </w:tc>
      </w:tr>
      <w:tr w14:paraId="57476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3905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651BF">
            <w:pPr>
              <w:spacing w:after="0" w:line="360" w:lineRule="auto"/>
              <w:jc w:val="left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bidi="ar-SA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ADFE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GB" w:bidi="ar-SA"/>
              </w:rPr>
              <w:t>17 (8.59)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D9B9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GB" w:bidi="ar-SA"/>
              </w:rPr>
              <w:t>4 (3.25)</w:t>
            </w:r>
          </w:p>
        </w:tc>
      </w:tr>
      <w:tr w14:paraId="6AE995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A7984">
            <w:pPr>
              <w:spacing w:after="0" w:line="360" w:lineRule="auto"/>
              <w:jc w:val="left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val="en-US" w:bidi="ar-SA"/>
              </w:rPr>
              <w:t>Vitamin D</w:t>
            </w:r>
            <w:r>
              <w:rPr>
                <w:rFonts w:eastAsia="Times New Roman" w:cs="Times New Roman"/>
                <w:color w:val="000000"/>
                <w:szCs w:val="24"/>
                <w:lang w:val="en-US" w:bidi="ar-SA"/>
              </w:rPr>
              <w:t xml:space="preserve">, </w:t>
            </w:r>
            <w:r>
              <w:rPr>
                <w:rFonts w:eastAsia="Times New Roman" w:cs="Times New Roman"/>
                <w:i/>
                <w:iCs/>
                <w:color w:val="000000"/>
                <w:szCs w:val="24"/>
                <w:lang w:val="en-US" w:bidi="ar-SA"/>
              </w:rPr>
              <w:t>n (%)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4A2B5">
            <w:pPr>
              <w:spacing w:after="0" w:line="360" w:lineRule="auto"/>
              <w:jc w:val="left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bidi="ar-SA"/>
              </w:rPr>
              <w:t>No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2C6DB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GB" w:bidi="ar-SA"/>
              </w:rPr>
              <w:t>179 (90.40)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395E0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GB" w:bidi="ar-SA"/>
              </w:rPr>
              <w:t>116 (94.30)</w:t>
            </w:r>
          </w:p>
        </w:tc>
      </w:tr>
      <w:tr w14:paraId="58A73C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4DB1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63137">
            <w:pPr>
              <w:spacing w:after="0" w:line="360" w:lineRule="auto"/>
              <w:jc w:val="left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bidi="ar-SA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ACA5F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GB" w:bidi="ar-SA"/>
              </w:rPr>
              <w:t>19 (9.60)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26B9D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GB" w:bidi="ar-SA"/>
              </w:rPr>
              <w:t>7 (5.69)</w:t>
            </w:r>
          </w:p>
        </w:tc>
      </w:tr>
      <w:tr w14:paraId="42944E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32C21">
            <w:pPr>
              <w:spacing w:after="0" w:line="360" w:lineRule="auto"/>
              <w:jc w:val="left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val="en-US" w:bidi="ar-SA"/>
              </w:rPr>
              <w:t>Other treatments</w:t>
            </w:r>
            <w:r>
              <w:rPr>
                <w:rFonts w:eastAsia="Times New Roman" w:cs="Times New Roman"/>
                <w:color w:val="000000"/>
                <w:szCs w:val="24"/>
                <w:lang w:val="en-US" w:bidi="ar-SA"/>
              </w:rPr>
              <w:t xml:space="preserve">, </w:t>
            </w:r>
            <w:r>
              <w:rPr>
                <w:rFonts w:eastAsia="Times New Roman" w:cs="Times New Roman"/>
                <w:i/>
                <w:iCs/>
                <w:color w:val="000000"/>
                <w:szCs w:val="24"/>
                <w:lang w:val="en-US" w:bidi="ar-SA"/>
              </w:rPr>
              <w:t>n (%)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0A2E4">
            <w:pPr>
              <w:spacing w:after="0" w:line="360" w:lineRule="auto"/>
              <w:jc w:val="left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bidi="ar-SA"/>
              </w:rPr>
              <w:t>No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5C172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GB" w:bidi="ar-SA"/>
              </w:rPr>
              <w:t>198 (100)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B0A3C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GB" w:bidi="ar-SA"/>
              </w:rPr>
              <w:t>123 (100)</w:t>
            </w:r>
          </w:p>
        </w:tc>
      </w:tr>
      <w:tr w14:paraId="2DB1CB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E9EFDDD">
            <w:pPr>
              <w:spacing w:after="0" w:line="360" w:lineRule="auto"/>
              <w:jc w:val="left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bidi="ar-SA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47DD908">
            <w:pPr>
              <w:spacing w:after="0" w:line="360" w:lineRule="auto"/>
              <w:jc w:val="left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bidi="ar-SA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AFBE844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bidi="ar-SA"/>
              </w:rPr>
              <w:t>0 (0.0)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D0A42CF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bidi="ar-SA"/>
              </w:rPr>
              <w:t>0 (0.0)</w:t>
            </w:r>
          </w:p>
        </w:tc>
      </w:tr>
      <w:tr w14:paraId="4FD4A5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21DF9">
            <w:pPr>
              <w:spacing w:after="0" w:line="360" w:lineRule="auto"/>
              <w:jc w:val="left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szCs w:val="24"/>
                <w:vertAlign w:val="superscript"/>
                <w:lang w:val="en-US" w:bidi="ar-SA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val="en-US" w:bidi="ar-SA"/>
              </w:rPr>
              <w:t>IQR, interquartile range.</w:t>
            </w:r>
          </w:p>
        </w:tc>
      </w:tr>
    </w:tbl>
    <w:p w14:paraId="0A9DC77F">
      <w:pPr>
        <w:spacing w:line="259" w:lineRule="auto"/>
        <w:jc w:val="left"/>
        <w:rPr>
          <w:lang w:val="en-US"/>
        </w:rPr>
        <w:sectPr>
          <w:pgSz w:w="16838" w:h="11906" w:orient="landscape"/>
          <w:pgMar w:top="1701" w:right="1417" w:bottom="1701" w:left="1417" w:header="708" w:footer="708" w:gutter="0"/>
          <w:cols w:space="708" w:num="1"/>
          <w:docGrid w:linePitch="360" w:charSpace="0"/>
        </w:sectPr>
      </w:pPr>
    </w:p>
    <w:p w14:paraId="561F9156">
      <w:pPr>
        <w:pStyle w:val="2"/>
        <w:rPr>
          <w:lang w:val="en-US"/>
        </w:rPr>
      </w:pPr>
      <w:r>
        <w:rPr>
          <w:lang w:val="en-US"/>
        </w:rPr>
        <w:t>Supplementary Figures</w:t>
      </w:r>
    </w:p>
    <w:p w14:paraId="14176763">
      <w:pPr>
        <w:rPr>
          <w:lang w:val="en-US"/>
        </w:rPr>
      </w:pPr>
      <w:r>
        <w:rPr>
          <w:b/>
          <w:bCs/>
          <w:lang w:val="en-US"/>
        </w:rPr>
        <w:t>Figure S1</w:t>
      </w:r>
      <w:r>
        <w:rPr>
          <w:lang w:val="en-US"/>
        </w:rPr>
        <w:t>. Patients’ inclusion and exclusion flowchart.</w:t>
      </w:r>
    </w:p>
    <w:p w14:paraId="6759F2BC">
      <w:pPr>
        <w:rPr>
          <w:lang w:val="en-US"/>
        </w:rPr>
      </w:pPr>
      <w:r>
        <w:drawing>
          <wp:inline distT="0" distB="0" distL="0" distR="0">
            <wp:extent cx="3700145" cy="3645535"/>
            <wp:effectExtent l="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00593" cy="3645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5FDF4">
      <w:pPr>
        <w:pStyle w:val="2"/>
        <w:jc w:val="center"/>
      </w:pPr>
    </w:p>
    <w:sectPr>
      <w:pgSz w:w="11906" w:h="16838"/>
      <w:pgMar w:top="1418" w:right="1701" w:bottom="1418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480" w:lineRule="auto"/>
      </w:pPr>
      <w:r>
        <w:separator/>
      </w:r>
    </w:p>
  </w:footnote>
  <w:footnote w:type="continuationSeparator" w:id="1">
    <w:p>
      <w:pPr>
        <w:spacing w:before="0" w:after="0" w:line="48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QzsTQxNgICMwszIyUdpeDU4uLM/DyQAotaAOcgkGwsAAAA"/>
  </w:docVars>
  <w:rsids>
    <w:rsidRoot w:val="006B7BEE"/>
    <w:rsid w:val="00033E2A"/>
    <w:rsid w:val="000938F3"/>
    <w:rsid w:val="000C0442"/>
    <w:rsid w:val="00136C55"/>
    <w:rsid w:val="00150BE0"/>
    <w:rsid w:val="001A715F"/>
    <w:rsid w:val="00291D97"/>
    <w:rsid w:val="002D2F54"/>
    <w:rsid w:val="002D6B59"/>
    <w:rsid w:val="00305A5F"/>
    <w:rsid w:val="0032297F"/>
    <w:rsid w:val="00361FE8"/>
    <w:rsid w:val="003E0E36"/>
    <w:rsid w:val="003F035C"/>
    <w:rsid w:val="00483175"/>
    <w:rsid w:val="00486AE6"/>
    <w:rsid w:val="00530ED3"/>
    <w:rsid w:val="00574615"/>
    <w:rsid w:val="005900F0"/>
    <w:rsid w:val="00626A8F"/>
    <w:rsid w:val="006625DC"/>
    <w:rsid w:val="006B6CCC"/>
    <w:rsid w:val="006B7BEE"/>
    <w:rsid w:val="00714FD1"/>
    <w:rsid w:val="007B3BBF"/>
    <w:rsid w:val="007B5324"/>
    <w:rsid w:val="007C5874"/>
    <w:rsid w:val="0080366B"/>
    <w:rsid w:val="00890920"/>
    <w:rsid w:val="008F1AA8"/>
    <w:rsid w:val="0090230E"/>
    <w:rsid w:val="009405AE"/>
    <w:rsid w:val="00942510"/>
    <w:rsid w:val="009C34E3"/>
    <w:rsid w:val="00AA5FAC"/>
    <w:rsid w:val="00AF2F8A"/>
    <w:rsid w:val="00C438FB"/>
    <w:rsid w:val="00C663C3"/>
    <w:rsid w:val="00CA1CD5"/>
    <w:rsid w:val="00CC22B2"/>
    <w:rsid w:val="00CD3239"/>
    <w:rsid w:val="00D23BDC"/>
    <w:rsid w:val="00D51C80"/>
    <w:rsid w:val="00D54E87"/>
    <w:rsid w:val="00D838F8"/>
    <w:rsid w:val="00DC509E"/>
    <w:rsid w:val="00DC5B19"/>
    <w:rsid w:val="00DD4CAF"/>
    <w:rsid w:val="00E74341"/>
    <w:rsid w:val="00EB0016"/>
    <w:rsid w:val="00EB1FEF"/>
    <w:rsid w:val="00F12833"/>
    <w:rsid w:val="361050E9"/>
    <w:rsid w:val="7F97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480" w:lineRule="auto"/>
      <w:jc w:val="both"/>
    </w:pPr>
    <w:rPr>
      <w:rFonts w:ascii="Times New Roman" w:hAnsi="Times New Roman" w:eastAsiaTheme="minorHAnsi" w:cstheme="minorBidi"/>
      <w:sz w:val="24"/>
      <w:szCs w:val="22"/>
      <w:lang w:val="es-ES" w:eastAsia="en-US" w:bidi="he-IL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3">
    <w:name w:val="heading 2"/>
    <w:basedOn w:val="1"/>
    <w:next w:val="1"/>
    <w:link w:val="13"/>
    <w:unhideWhenUsed/>
    <w:qFormat/>
    <w:uiPriority w:val="9"/>
    <w:pPr>
      <w:keepNext/>
      <w:keepLines/>
      <w:spacing w:before="40" w:after="0"/>
      <w:outlineLvl w:val="1"/>
    </w:pPr>
    <w:rPr>
      <w:rFonts w:eastAsiaTheme="majorEastAsia" w:cstheme="majorBidi"/>
      <w:i/>
      <w:szCs w:val="26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annotation reference"/>
    <w:semiHidden/>
    <w:unhideWhenUsed/>
    <w:uiPriority w:val="99"/>
    <w:rPr>
      <w:sz w:val="16"/>
      <w:szCs w:val="16"/>
    </w:rPr>
  </w:style>
  <w:style w:type="character" w:styleId="7">
    <w:name w:val="Hyperlink"/>
    <w:qFormat/>
    <w:uiPriority w:val="99"/>
    <w:rPr>
      <w:color w:val="0000FF"/>
      <w:u w:val="single"/>
    </w:rPr>
  </w:style>
  <w:style w:type="paragraph" w:styleId="8">
    <w:name w:val="annotation subject"/>
    <w:basedOn w:val="9"/>
    <w:next w:val="9"/>
    <w:link w:val="14"/>
    <w:semiHidden/>
    <w:unhideWhenUsed/>
    <w:qFormat/>
    <w:uiPriority w:val="99"/>
    <w:pPr>
      <w:spacing w:after="160"/>
    </w:pPr>
    <w:rPr>
      <w:rFonts w:ascii="Times New Roman" w:hAnsi="Times New Roman" w:eastAsiaTheme="minorHAnsi" w:cstheme="minorBidi"/>
      <w:b/>
      <w:bCs/>
      <w:lang w:bidi="he-IL"/>
    </w:rPr>
  </w:style>
  <w:style w:type="paragraph" w:styleId="9">
    <w:name w:val="annotation text"/>
    <w:basedOn w:val="1"/>
    <w:link w:val="12"/>
    <w:unhideWhenUsed/>
    <w:uiPriority w:val="99"/>
    <w:pPr>
      <w:spacing w:after="200" w:line="240" w:lineRule="auto"/>
    </w:pPr>
    <w:rPr>
      <w:rFonts w:ascii="Calibri" w:hAnsi="Calibri" w:eastAsia="Calibri" w:cs="Arial"/>
      <w:sz w:val="20"/>
      <w:szCs w:val="20"/>
      <w:lang w:bidi="ar-SA"/>
    </w:rPr>
  </w:style>
  <w:style w:type="paragraph" w:styleId="10">
    <w:name w:val="Balloon Text"/>
    <w:basedOn w:val="1"/>
    <w:link w:val="15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1">
    <w:name w:val="Heading 1 Char"/>
    <w:basedOn w:val="4"/>
    <w:link w:val="2"/>
    <w:uiPriority w:val="9"/>
    <w:rPr>
      <w:rFonts w:ascii="Times New Roman" w:hAnsi="Times New Roman" w:eastAsiaTheme="majorEastAsia" w:cstheme="majorBidi"/>
      <w:b/>
      <w:sz w:val="32"/>
      <w:szCs w:val="32"/>
    </w:rPr>
  </w:style>
  <w:style w:type="character" w:customStyle="1" w:styleId="12">
    <w:name w:val="Comment Text Char"/>
    <w:basedOn w:val="4"/>
    <w:link w:val="9"/>
    <w:qFormat/>
    <w:uiPriority w:val="99"/>
    <w:rPr>
      <w:rFonts w:ascii="Calibri" w:hAnsi="Calibri" w:eastAsia="Calibri" w:cs="Arial"/>
      <w:sz w:val="20"/>
      <w:szCs w:val="20"/>
      <w:lang w:bidi="ar-SA"/>
    </w:rPr>
  </w:style>
  <w:style w:type="character" w:customStyle="1" w:styleId="13">
    <w:name w:val="Heading 2 Char"/>
    <w:basedOn w:val="4"/>
    <w:link w:val="3"/>
    <w:uiPriority w:val="9"/>
    <w:rPr>
      <w:rFonts w:ascii="Times New Roman" w:hAnsi="Times New Roman" w:eastAsiaTheme="majorEastAsia" w:cstheme="majorBidi"/>
      <w:i/>
      <w:sz w:val="24"/>
      <w:szCs w:val="26"/>
    </w:rPr>
  </w:style>
  <w:style w:type="character" w:customStyle="1" w:styleId="14">
    <w:name w:val="Comment Subject Char"/>
    <w:basedOn w:val="12"/>
    <w:link w:val="8"/>
    <w:semiHidden/>
    <w:uiPriority w:val="99"/>
    <w:rPr>
      <w:rFonts w:ascii="Times New Roman" w:hAnsi="Times New Roman" w:eastAsia="Calibri" w:cs="Arial"/>
      <w:b/>
      <w:bCs/>
      <w:sz w:val="20"/>
      <w:szCs w:val="20"/>
      <w:lang w:bidi="ar-SA"/>
    </w:rPr>
  </w:style>
  <w:style w:type="character" w:customStyle="1" w:styleId="15">
    <w:name w:val="Balloon Text Char"/>
    <w:basedOn w:val="4"/>
    <w:link w:val="10"/>
    <w:semiHidden/>
    <w:uiPriority w:val="99"/>
    <w:rPr>
      <w:rFonts w:ascii="Segoe UI" w:hAnsi="Segoe UI" w:cs="Segoe UI"/>
      <w:sz w:val="18"/>
      <w:szCs w:val="18"/>
    </w:rPr>
  </w:style>
  <w:style w:type="paragraph" w:customStyle="1" w:styleId="16">
    <w:name w:val="Revision"/>
    <w:hidden/>
    <w:semiHidden/>
    <w:uiPriority w:val="99"/>
    <w:pPr>
      <w:spacing w:after="0" w:line="240" w:lineRule="auto"/>
    </w:pPr>
    <w:rPr>
      <w:rFonts w:ascii="Times New Roman" w:hAnsi="Times New Roman" w:eastAsiaTheme="minorHAnsi" w:cstheme="minorBidi"/>
      <w:sz w:val="24"/>
      <w:szCs w:val="22"/>
      <w:lang w:val="es-ES" w:eastAsia="en-US" w:bidi="he-IL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05585-5616-4AA1-AEB5-51BC9EA74F3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INTEGRAL</Company>
  <Pages>3</Pages>
  <Words>197</Words>
  <Characters>1032</Characters>
  <Lines>103</Lines>
  <Paragraphs>87</Paragraphs>
  <TotalTime>8</TotalTime>
  <ScaleCrop>false</ScaleCrop>
  <LinksUpToDate>false</LinksUpToDate>
  <CharactersWithSpaces>1142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2024-05-21T14:30:00Z</dcterms:created>
  <dc:creator>Hernan Pinto i2e3</dc:creator>
  <cp:lastModifiedBy>Clarissa Catalano</cp:lastModifiedBy>
  <dcterms:modified xsi:type="dcterms:W3CDTF">2024-07-25T12:43:27Z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252e06355a7fa2693e2815fce6f9579e436cec0dee64ac87cb477516e640ecf6</vt:lpwstr>
  </property>
  <property fmtid="{D5CDD505-2E9C-101B-9397-08002B2CF9AE}" pid="3" name="KSOProductBuildVer">
    <vt:lpwstr>3082-12.2.0.17119</vt:lpwstr>
  </property>
  <property fmtid="{D5CDD505-2E9C-101B-9397-08002B2CF9AE}" pid="4" name="ICV">
    <vt:lpwstr>D5AC29378B0447379F99950629F9171F_13</vt:lpwstr>
  </property>
</Properties>
</file>