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F35BE" w14:textId="77777777" w:rsidR="00E84EAC" w:rsidRDefault="00075B5B">
      <w:pPr>
        <w:pStyle w:val="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Supplementary </w:t>
      </w:r>
      <w:r>
        <w:rPr>
          <w:rFonts w:ascii="Times New Roman" w:hAnsi="Times New Roman" w:cs="Times New Roman" w:hint="eastAsia"/>
          <w:sz w:val="22"/>
          <w:szCs w:val="22"/>
        </w:rPr>
        <w:t>Information</w:t>
      </w:r>
    </w:p>
    <w:p w14:paraId="64AD8447" w14:textId="77777777" w:rsidR="00E84EAC" w:rsidRDefault="00075B5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Supplementary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Figure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>s and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 legends</w:t>
      </w:r>
    </w:p>
    <w:p w14:paraId="6FB871DB" w14:textId="48DF8C7E" w:rsidR="00E84EAC" w:rsidRDefault="00FA7AA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</w:pPr>
      <w:r>
        <w:rPr>
          <w:noProof/>
        </w:rPr>
        <w:drawing>
          <wp:inline distT="0" distB="0" distL="0" distR="0" wp14:anchorId="431D98E3" wp14:editId="3E4B8E26">
            <wp:extent cx="5400040" cy="62801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28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4C523" w14:textId="241277B3" w:rsidR="00E84EAC" w:rsidRDefault="00075B5B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Supplementary Fig</w:t>
      </w:r>
      <w:r w:rsidR="003354D3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>.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1 Determined the optimal genes from the hub gene by regression analysis.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ENP analysis identifies 3 optimal genes (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 xml:space="preserve">ANXA10, CCNB1 and ILF2) at minimum Mean-Squared Error with lambda of 4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(</w:t>
      </w:r>
      <w:r w:rsidR="00766CD6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, </w:t>
      </w:r>
      <w:r w:rsidR="00766CD6" w:rsidRP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b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)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>. 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  <w:lang w:val="it-IT"/>
        </w:rPr>
        <w:t>c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 xml:space="preserve">) ANXA10 and CCNB1 were identified as the optimal genes at minimum of CV_error on BSR analysis. Correspondent formulas were list blow the figures, repectively. </w:t>
      </w:r>
    </w:p>
    <w:p w14:paraId="763B9CD0" w14:textId="5B3079BE" w:rsidR="00E84EAC" w:rsidRDefault="00FA7AAB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DBB5F16" wp14:editId="3908B183">
            <wp:extent cx="5400040" cy="338709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BD43E" w14:textId="27D8E91B" w:rsidR="00E84EAC" w:rsidRDefault="00075B5B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Supplementary Fig</w:t>
      </w:r>
      <w:r w:rsidR="003354D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2 Analyzed clinical </w:t>
      </w:r>
      <w:r>
        <w:rPr>
          <w:rFonts w:ascii="Times New Roman" w:eastAsiaTheme="minorEastAsia" w:hAnsi="Times New Roman" w:cs="Times New Roman"/>
          <w:b/>
          <w:bCs/>
          <w:color w:val="021B34"/>
          <w:kern w:val="24"/>
          <w:sz w:val="21"/>
          <w:szCs w:val="21"/>
        </w:rPr>
        <w:t>characteristics by Kaplan–Meier curves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 OS curves shown that two subgroups come across with each other at the initial segment of plots in characteristics of </w:t>
      </w:r>
      <w:proofErr w:type="spellStart"/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N_stage</w:t>
      </w:r>
      <w:proofErr w:type="spellEnd"/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 (</w:t>
      </w:r>
      <w:r w:rsidR="00766CD6"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c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), </w:t>
      </w:r>
      <w:proofErr w:type="spellStart"/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M_stage</w:t>
      </w:r>
      <w:proofErr w:type="spellEnd"/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(</w:t>
      </w:r>
      <w:r w:rsidR="00766CD6"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d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) </w:t>
      </w:r>
      <w:r w:rsidR="00766CD6"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and </w:t>
      </w:r>
      <w:proofErr w:type="spellStart"/>
      <w:r w:rsidR="00766CD6"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tumor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_status</w:t>
      </w:r>
      <w:proofErr w:type="spellEnd"/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(</w:t>
      </w:r>
      <w:r w:rsidR="00766CD6"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e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>. BMI_cut 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  <w:lang w:val="it-IT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>), T_stage 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  <w:lang w:val="it-IT"/>
        </w:rPr>
        <w:t>b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>) and Stage 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  <w:lang w:val="it-IT"/>
        </w:rPr>
        <w:t>f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lang w:val="it-IT"/>
        </w:rPr>
        <w:t>) are suitable characters for multivariate Cox regression (P&lt;0.01).</w:t>
      </w:r>
    </w:p>
    <w:p w14:paraId="430A31F4" w14:textId="7B4F9F30" w:rsidR="00E84EAC" w:rsidRDefault="00FA7AAB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389AE761" wp14:editId="6727BCAE">
            <wp:extent cx="5400040" cy="76142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1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B38E6" w14:textId="1ADF977F" w:rsidR="00E84EAC" w:rsidRDefault="00075B5B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Supplementary Fig</w:t>
      </w:r>
      <w:r w:rsidR="003354D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3 Evaluate the validity of the Multivariate Cox model assumptions.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) The proportional hazards assumption to be supported by Schoenfeld residuals check for the covariates of ANXA10, CCNB1, </w:t>
      </w: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BMI_cut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 and Stage (P&gt;0.05). The solid line is a smoothing spline fit to the plot, with the dashed lines representing a +/- 2-standard-error band around the fit. 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b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) Index plots of </w:t>
      </w: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dfbeta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 for the Cox regression of time to death on ANXA10, CCNB1, </w:t>
      </w: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BMI_cut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 and Stage. The points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lastRenderedPageBreak/>
        <w:t>contribute to a symmetric distribution across the red dashed line, and it almost overlaps with the blue dashed line, which suggests none of the observations is terribly influential individually. (</w:t>
      </w:r>
      <w:r w:rsidR="00766CD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c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) Plotting the Martingale residuals against continuous covariates of ANXA10 and CCNB1. The plots shown that the covariates have a nonlinearity form.</w:t>
      </w:r>
    </w:p>
    <w:p w14:paraId="5F1FEC7B" w14:textId="2D68C0FE" w:rsidR="00766CD6" w:rsidRDefault="00766CD6">
      <w:pPr>
        <w:widowControl/>
        <w:jc w:val="left"/>
        <w:rPr>
          <w:rFonts w:ascii="Times New Roman" w:hAnsi="Times New Roman" w:cs="Times New Roman"/>
          <w:color w:val="000000" w:themeColor="text1"/>
          <w:kern w:val="24"/>
          <w:szCs w:val="21"/>
        </w:rPr>
      </w:pPr>
      <w:r>
        <w:rPr>
          <w:rFonts w:ascii="Times New Roman" w:hAnsi="Times New Roman" w:cs="Times New Roman"/>
          <w:color w:val="000000" w:themeColor="text1"/>
          <w:kern w:val="24"/>
          <w:szCs w:val="21"/>
        </w:rPr>
        <w:br w:type="page"/>
      </w:r>
    </w:p>
    <w:p w14:paraId="26C0AD69" w14:textId="77777777" w:rsidR="00766CD6" w:rsidRDefault="00766CD6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</w:p>
    <w:p w14:paraId="0A32D8E7" w14:textId="3AF01FCD" w:rsidR="00E84EAC" w:rsidRDefault="00766CD6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2900DD8E" wp14:editId="1AF22F9A">
            <wp:extent cx="5400040" cy="31953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9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7C772" w14:textId="75162BCF" w:rsidR="00E84EAC" w:rsidRDefault="00075B5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Supplementary Fig</w:t>
      </w:r>
      <w:r w:rsidR="003354D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 xml:space="preserve">4 Determined </w:t>
      </w:r>
      <w:r>
        <w:rPr>
          <w:rFonts w:ascii="Times New Roman" w:eastAsiaTheme="minorEastAsia" w:hAnsi="Times New Roman" w:cs="Times New Roman"/>
          <w:b/>
          <w:bCs/>
          <w:color w:val="021B34"/>
          <w:kern w:val="24"/>
          <w:sz w:val="21"/>
          <w:szCs w:val="21"/>
        </w:rPr>
        <w:t xml:space="preserve">the nomogram optimally to predict prognostic of patients with HCC. 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Kaplan–Meier curves show significant difference between subgroups in overall survival by ENP (</w:t>
      </w:r>
      <w:r>
        <w:rPr>
          <w:rFonts w:ascii="Times New Roman" w:eastAsiaTheme="minorEastAsia" w:hAnsi="Times New Roman" w:cs="Times New Roman"/>
          <w:i/>
          <w:iCs/>
          <w:color w:val="231F20"/>
          <w:kern w:val="24"/>
          <w:sz w:val="21"/>
          <w:szCs w:val="21"/>
        </w:rPr>
        <w:t>P&lt;0.0001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(</w:t>
      </w:r>
      <w:r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a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), BSR (</w:t>
      </w:r>
      <w:r>
        <w:rPr>
          <w:rFonts w:ascii="Times New Roman" w:eastAsiaTheme="minorEastAsia" w:hAnsi="Times New Roman" w:cs="Times New Roman"/>
          <w:i/>
          <w:iCs/>
          <w:color w:val="231F20"/>
          <w:kern w:val="24"/>
          <w:sz w:val="21"/>
          <w:szCs w:val="21"/>
        </w:rPr>
        <w:t>P&lt;0.0001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(</w:t>
      </w:r>
      <w:r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b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and Cox regression analysis (</w:t>
      </w:r>
      <w:r>
        <w:rPr>
          <w:rFonts w:ascii="Times New Roman" w:eastAsiaTheme="minorEastAsia" w:hAnsi="Times New Roman" w:cs="Times New Roman"/>
          <w:i/>
          <w:iCs/>
          <w:color w:val="231F20"/>
          <w:kern w:val="24"/>
          <w:sz w:val="21"/>
          <w:szCs w:val="21"/>
        </w:rPr>
        <w:t>P&lt;0.0001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(</w:t>
      </w:r>
      <w:r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c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). ROC curves shown the predictive efficiency of ENP (</w:t>
      </w:r>
      <w:r>
        <w:rPr>
          <w:rFonts w:ascii="Times New Roman" w:eastAsiaTheme="minorEastAsia" w:hAnsi="Times New Roman" w:cs="Times New Roman"/>
          <w:i/>
          <w:iCs/>
          <w:color w:val="231F20"/>
          <w:kern w:val="24"/>
          <w:sz w:val="21"/>
          <w:szCs w:val="21"/>
        </w:rPr>
        <w:t>AUC=0.65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(</w:t>
      </w:r>
      <w:r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d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), BSR (</w:t>
      </w:r>
      <w:r>
        <w:rPr>
          <w:rFonts w:ascii="Times New Roman" w:eastAsiaTheme="minorEastAsia" w:hAnsi="Times New Roman" w:cs="Times New Roman"/>
          <w:i/>
          <w:iCs/>
          <w:color w:val="231F20"/>
          <w:kern w:val="24"/>
          <w:sz w:val="21"/>
          <w:szCs w:val="21"/>
        </w:rPr>
        <w:t>AUC=0.65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(</w:t>
      </w:r>
      <w:r>
        <w:rPr>
          <w:rFonts w:ascii="Times New Roman" w:eastAsiaTheme="minorEastAsia" w:hAnsi="Times New Roman" w:cs="Times New Roman"/>
          <w:b/>
          <w:bCs/>
          <w:color w:val="231F20"/>
          <w:kern w:val="24"/>
          <w:sz w:val="21"/>
          <w:szCs w:val="21"/>
        </w:rPr>
        <w:t>e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>) and Cox Regression (</w:t>
      </w:r>
      <w:r>
        <w:rPr>
          <w:rFonts w:ascii="Times New Roman" w:eastAsiaTheme="minorEastAsia" w:hAnsi="Times New Roman" w:cs="Times New Roman"/>
          <w:i/>
          <w:iCs/>
          <w:color w:val="231F20"/>
          <w:kern w:val="24"/>
          <w:sz w:val="21"/>
          <w:szCs w:val="21"/>
        </w:rPr>
        <w:t>AUC=0.71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)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f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)</w:t>
      </w:r>
      <w:r>
        <w:rPr>
          <w:rFonts w:ascii="Times New Roman" w:eastAsiaTheme="minorEastAsia" w:hAnsi="Times New Roman" w:cs="Times New Roman"/>
          <w:color w:val="231F20"/>
          <w:kern w:val="24"/>
          <w:sz w:val="21"/>
          <w:szCs w:val="21"/>
        </w:rPr>
        <w:t xml:space="preserve"> analysis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in TCGA Training set (n=147).</w:t>
      </w:r>
    </w:p>
    <w:p w14:paraId="346B3CBA" w14:textId="77777777" w:rsidR="00E84EAC" w:rsidRDefault="00E84EAC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sectPr w:rsidR="00E84EAC">
          <w:pgSz w:w="11906" w:h="16838"/>
          <w:pgMar w:top="1418" w:right="1701" w:bottom="1418" w:left="1701" w:header="851" w:footer="992" w:gutter="0"/>
          <w:cols w:space="425"/>
          <w:docGrid w:type="lines" w:linePitch="312"/>
        </w:sectPr>
      </w:pPr>
    </w:p>
    <w:p w14:paraId="11057D05" w14:textId="1F47BEE8" w:rsidR="00E84EAC" w:rsidRDefault="00766CD6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E737BF6" wp14:editId="1E62D73A">
            <wp:extent cx="5400040" cy="144653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4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9ED4E" w14:textId="48A5CD3D" w:rsidR="00E84EAC" w:rsidRDefault="00075B5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</w:rPr>
        <w:sectPr w:rsidR="00E84EAC">
          <w:pgSz w:w="11906" w:h="16838"/>
          <w:pgMar w:top="1418" w:right="1701" w:bottom="1418" w:left="1701" w:header="851" w:footer="992" w:gutter="0"/>
          <w:cols w:space="425"/>
          <w:docGrid w:type="lines" w:linePitch="312"/>
        </w:sect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Supplementary Fig</w:t>
      </w:r>
      <w:r w:rsidR="003354D3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.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1"/>
          <w:szCs w:val="21"/>
        </w:rPr>
        <w:t>5 Correlation analysis of TME scores, Risk score and outcome with fractions of TME</w:t>
      </w:r>
      <w:r>
        <w:rPr>
          <w:rFonts w:ascii="Times New Roman" w:eastAsiaTheme="minorEastAsia" w:hAnsi="Times New Roman" w:cs="Times New Roman"/>
          <w:b/>
          <w:bCs/>
          <w:color w:val="021B34"/>
          <w:kern w:val="24"/>
          <w:sz w:val="21"/>
          <w:szCs w:val="21"/>
        </w:rPr>
        <w:t xml:space="preserve">. </w:t>
      </w:r>
      <w:r>
        <w:rPr>
          <w:rFonts w:ascii="Times New Roman" w:eastAsiaTheme="minorEastAsia" w:hAnsi="Times New Roman" w:cs="Times New Roman"/>
          <w:color w:val="021B34"/>
          <w:kern w:val="24"/>
          <w:sz w:val="21"/>
          <w:szCs w:val="21"/>
        </w:rPr>
        <w:t>Fractions of CLP, CMP, EC, HSC, M2, Th2 and Tregs were correlated with Risk scores and outcome (</w:t>
      </w:r>
      <w:proofErr w:type="spellStart"/>
      <w:proofErr w:type="gramStart"/>
      <w:r>
        <w:rPr>
          <w:rFonts w:ascii="Times New Roman" w:eastAsiaTheme="minorEastAsia" w:hAnsi="Times New Roman" w:cs="Times New Roman"/>
          <w:color w:val="021B34"/>
          <w:kern w:val="24"/>
          <w:sz w:val="21"/>
          <w:szCs w:val="21"/>
        </w:rPr>
        <w:t>OS.time</w:t>
      </w:r>
      <w:proofErr w:type="spellEnd"/>
      <w:proofErr w:type="gramEnd"/>
      <w:r>
        <w:rPr>
          <w:rFonts w:ascii="Times New Roman" w:eastAsiaTheme="minorEastAsia" w:hAnsi="Times New Roman" w:cs="Times New Roman"/>
          <w:color w:val="021B34"/>
          <w:kern w:val="24"/>
          <w:sz w:val="21"/>
          <w:szCs w:val="21"/>
        </w:rPr>
        <w:t xml:space="preserve">) at the same time.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CLP: Common lymphoid progenitor, CMP: Common lymphoid progenitor, EC: Endothelial cell, HSC: Hematopoietic stem cell, M2: Macrophage M2, Th2: CD4T cell Th2, Tregs: T cell regulatory. </w:t>
      </w:r>
    </w:p>
    <w:p w14:paraId="1E317D90" w14:textId="77777777" w:rsidR="00E84EAC" w:rsidRDefault="00075B5B">
      <w:pPr>
        <w:pStyle w:val="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Supplementary Table</w:t>
      </w:r>
      <w:r>
        <w:rPr>
          <w:rFonts w:ascii="Times New Roman" w:hAnsi="Times New Roman" w:cs="Times New Roman" w:hint="eastAsia"/>
          <w:sz w:val="22"/>
          <w:szCs w:val="22"/>
        </w:rPr>
        <w:t xml:space="preserve"> legend</w:t>
      </w:r>
      <w:r>
        <w:rPr>
          <w:rFonts w:ascii="Times New Roman" w:hAnsi="Times New Roman" w:cs="Times New Roman"/>
          <w:sz w:val="22"/>
          <w:szCs w:val="22"/>
        </w:rPr>
        <w:t>s</w:t>
      </w:r>
    </w:p>
    <w:p w14:paraId="6BAAC7F0" w14:textId="77777777" w:rsidR="00E84EAC" w:rsidRDefault="00075B5B">
      <w:pPr>
        <w:pStyle w:val="a3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Supplementary Table1. The overlapped candidates of 5 datasets were defined as prognostic hub genes. </w:t>
      </w:r>
    </w:p>
    <w:p w14:paraId="11C53F19" w14:textId="77777777" w:rsidR="00E84EAC" w:rsidRDefault="00075B5B">
      <w:pPr>
        <w:pStyle w:val="a3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1. GEO_DEGs</w:t>
      </w:r>
      <w:r>
        <w:rPr>
          <w:rFonts w:ascii="Times New Roman" w:hAnsi="Times New Roman" w:cs="Times New Roman"/>
          <w:sz w:val="21"/>
          <w:szCs w:val="21"/>
        </w:rPr>
        <w:t xml:space="preserve">. 1733 DEGs were calculated by </w:t>
      </w:r>
      <w:proofErr w:type="spellStart"/>
      <w:r>
        <w:rPr>
          <w:rFonts w:ascii="Times New Roman" w:hAnsi="Times New Roman" w:cs="Times New Roman"/>
          <w:sz w:val="21"/>
          <w:szCs w:val="21"/>
        </w:rPr>
        <w:t>limma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R package from GEO datasets.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2. </w:t>
      </w:r>
      <w:proofErr w:type="spellStart"/>
      <w:r>
        <w:rPr>
          <w:rFonts w:ascii="Times New Roman" w:hAnsi="Times New Roman" w:cs="Times New Roman"/>
          <w:b/>
          <w:bCs/>
          <w:sz w:val="21"/>
          <w:szCs w:val="21"/>
        </w:rPr>
        <w:t>TCGA_Trainingset_DEGs</w:t>
      </w:r>
      <w:proofErr w:type="spellEnd"/>
      <w:r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1857 DEGs were calculated by Wilcox test from </w:t>
      </w:r>
      <w:proofErr w:type="spellStart"/>
      <w:r>
        <w:rPr>
          <w:rFonts w:ascii="Times New Roman" w:hAnsi="Times New Roman" w:cs="Times New Roman"/>
          <w:sz w:val="21"/>
          <w:szCs w:val="21"/>
        </w:rPr>
        <w:t>TCGA_trainingset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3. </w:t>
      </w:r>
      <w:proofErr w:type="spellStart"/>
      <w:r>
        <w:rPr>
          <w:rFonts w:ascii="Times New Roman" w:hAnsi="Times New Roman" w:cs="Times New Roman"/>
          <w:b/>
          <w:bCs/>
          <w:sz w:val="21"/>
          <w:szCs w:val="21"/>
        </w:rPr>
        <w:t>Mongolian_DEGs</w:t>
      </w:r>
      <w:proofErr w:type="spellEnd"/>
      <w:r>
        <w:rPr>
          <w:rFonts w:ascii="Times New Roman" w:hAnsi="Times New Roman" w:cs="Times New Roman"/>
          <w:b/>
          <w:bCs/>
          <w:sz w:val="21"/>
          <w:szCs w:val="21"/>
        </w:rPr>
        <w:t xml:space="preserve">. </w:t>
      </w:r>
      <w:r>
        <w:rPr>
          <w:rFonts w:ascii="Times New Roman" w:hAnsi="Times New Roman" w:cs="Times New Roman"/>
          <w:sz w:val="21"/>
          <w:szCs w:val="21"/>
        </w:rPr>
        <w:t xml:space="preserve">1228 DEGs were calculated by DESeq2 R package from Mongolian dataset.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4. </w:t>
      </w:r>
      <w:proofErr w:type="spellStart"/>
      <w:r>
        <w:rPr>
          <w:rFonts w:ascii="Times New Roman" w:hAnsi="Times New Roman" w:cs="Times New Roman"/>
          <w:b/>
          <w:bCs/>
          <w:sz w:val="21"/>
          <w:szCs w:val="21"/>
        </w:rPr>
        <w:t>OS_Quartile</w:t>
      </w:r>
      <w:proofErr w:type="spellEnd"/>
      <w:r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Top500 OS related gene sets (</w:t>
      </w:r>
      <w:proofErr w:type="spellStart"/>
      <w:r>
        <w:rPr>
          <w:rFonts w:ascii="Times New Roman" w:hAnsi="Times New Roman" w:cs="Times New Roman"/>
          <w:sz w:val="21"/>
          <w:szCs w:val="21"/>
        </w:rPr>
        <w:t>OS_Quartile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) were download from GEPIA2.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5. </w:t>
      </w:r>
      <w:proofErr w:type="spellStart"/>
      <w:r>
        <w:rPr>
          <w:rFonts w:ascii="Times New Roman" w:hAnsi="Times New Roman" w:cs="Times New Roman"/>
          <w:b/>
          <w:bCs/>
          <w:sz w:val="21"/>
          <w:szCs w:val="21"/>
        </w:rPr>
        <w:t>OS_Median</w:t>
      </w:r>
      <w:proofErr w:type="spellEnd"/>
      <w:r>
        <w:rPr>
          <w:rFonts w:ascii="Times New Roman" w:hAnsi="Times New Roman" w:cs="Times New Roman"/>
          <w:b/>
          <w:bCs/>
          <w:sz w:val="21"/>
          <w:szCs w:val="21"/>
        </w:rPr>
        <w:t xml:space="preserve">. </w:t>
      </w:r>
      <w:r>
        <w:rPr>
          <w:rFonts w:ascii="Times New Roman" w:hAnsi="Times New Roman" w:cs="Times New Roman"/>
          <w:sz w:val="21"/>
          <w:szCs w:val="21"/>
        </w:rPr>
        <w:t>Top500 OS related gene sets (</w:t>
      </w:r>
      <w:proofErr w:type="spellStart"/>
      <w:r>
        <w:rPr>
          <w:rFonts w:ascii="Times New Roman" w:hAnsi="Times New Roman" w:cs="Times New Roman"/>
          <w:sz w:val="21"/>
          <w:szCs w:val="21"/>
        </w:rPr>
        <w:t>OS_Median</w:t>
      </w:r>
      <w:proofErr w:type="spellEnd"/>
      <w:r>
        <w:rPr>
          <w:rFonts w:ascii="Times New Roman" w:hAnsi="Times New Roman" w:cs="Times New Roman"/>
          <w:sz w:val="21"/>
          <w:szCs w:val="21"/>
        </w:rPr>
        <w:t>) were download from GEPIA2.</w:t>
      </w:r>
    </w:p>
    <w:p w14:paraId="57124DC4" w14:textId="77777777" w:rsidR="00E84EAC" w:rsidRDefault="00E84EAC">
      <w:pPr>
        <w:pStyle w:val="a3"/>
        <w:rPr>
          <w:rFonts w:ascii="Times New Roman" w:hAnsi="Times New Roman" w:cs="Times New Roman"/>
          <w:sz w:val="21"/>
          <w:szCs w:val="21"/>
        </w:rPr>
      </w:pPr>
    </w:p>
    <w:p w14:paraId="743E2E11" w14:textId="77777777" w:rsidR="00E84EAC" w:rsidRDefault="00075B5B">
      <w:pPr>
        <w:pStyle w:val="a3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Supplementary Table2. Univariate Cox regression of the clinical characters of HCC patients.</w:t>
      </w:r>
    </w:p>
    <w:p w14:paraId="107A4887" w14:textId="77777777" w:rsidR="00E84EAC" w:rsidRDefault="00E84EAC">
      <w:pPr>
        <w:pStyle w:val="a3"/>
        <w:rPr>
          <w:rFonts w:ascii="Times New Roman" w:hAnsi="Times New Roman" w:cs="Times New Roman"/>
          <w:sz w:val="21"/>
          <w:szCs w:val="21"/>
        </w:rPr>
      </w:pPr>
    </w:p>
    <w:p w14:paraId="3E3D0A61" w14:textId="77777777" w:rsidR="00E84EAC" w:rsidRDefault="00075B5B">
      <w:pPr>
        <w:pStyle w:val="a3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Supplementary Table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3. Hypoxia marker 15-gene signatures.</w:t>
      </w:r>
      <w:r>
        <w:rPr>
          <w:rFonts w:ascii="Times New Roman" w:hAnsi="Times New Roman" w:cs="Times New Roman"/>
          <w:b/>
          <w:bCs/>
          <w:sz w:val="21"/>
          <w:szCs w:val="21"/>
        </w:rPr>
        <w:tab/>
      </w:r>
      <w:r>
        <w:rPr>
          <w:rFonts w:ascii="Times New Roman" w:hAnsi="Times New Roman" w:cs="Times New Roman"/>
          <w:b/>
          <w:bCs/>
          <w:sz w:val="21"/>
          <w:szCs w:val="21"/>
        </w:rPr>
        <w:tab/>
      </w:r>
      <w:r>
        <w:rPr>
          <w:rFonts w:ascii="Times New Roman" w:hAnsi="Times New Roman" w:cs="Times New Roman"/>
          <w:b/>
          <w:bCs/>
          <w:sz w:val="21"/>
          <w:szCs w:val="21"/>
        </w:rPr>
        <w:tab/>
      </w:r>
    </w:p>
    <w:p w14:paraId="46C412F0" w14:textId="77777777" w:rsidR="00E84EAC" w:rsidRDefault="00E84EAC">
      <w:pPr>
        <w:pStyle w:val="a3"/>
        <w:rPr>
          <w:rFonts w:ascii="Times New Roman" w:hAnsi="Times New Roman" w:cs="Times New Roman"/>
          <w:b/>
          <w:bCs/>
          <w:sz w:val="21"/>
          <w:szCs w:val="21"/>
        </w:rPr>
      </w:pPr>
    </w:p>
    <w:p w14:paraId="6B176A03" w14:textId="77777777" w:rsidR="00E84EAC" w:rsidRDefault="00075B5B">
      <w:pPr>
        <w:pStyle w:val="a3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Supplementary Table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4. The relative expression of genes in related signaling pathways. </w:t>
      </w:r>
    </w:p>
    <w:p w14:paraId="7C4AD359" w14:textId="77777777" w:rsidR="00E84EAC" w:rsidRDefault="00075B5B">
      <w:pPr>
        <w:pStyle w:val="a3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1. VEGF pathway. </w:t>
      </w:r>
      <w:r>
        <w:rPr>
          <w:rFonts w:ascii="Times New Roman" w:hAnsi="Times New Roman" w:cs="Times New Roman"/>
          <w:sz w:val="21"/>
          <w:szCs w:val="21"/>
        </w:rPr>
        <w:t xml:space="preserve">Relative expression of 62 genes in VEGF pathway. </w:t>
      </w:r>
      <w:r>
        <w:rPr>
          <w:rFonts w:ascii="Times New Roman" w:hAnsi="Times New Roman" w:cs="Times New Roman"/>
          <w:b/>
          <w:bCs/>
          <w:sz w:val="21"/>
          <w:szCs w:val="21"/>
        </w:rPr>
        <w:t>2. HIF1A pathway.</w:t>
      </w:r>
      <w:r>
        <w:rPr>
          <w:rFonts w:ascii="Times New Roman" w:hAnsi="Times New Roman" w:cs="Times New Roman"/>
          <w:sz w:val="21"/>
          <w:szCs w:val="21"/>
        </w:rPr>
        <w:t xml:space="preserve"> Relative expression of 19 genes in VEGF pathway.</w:t>
      </w:r>
    </w:p>
    <w:p w14:paraId="5D9AEAA7" w14:textId="65746257" w:rsidR="00E84EAC" w:rsidRDefault="00E84EAC"/>
    <w:p w14:paraId="3CEDA11C" w14:textId="034A9288" w:rsidR="008C5447" w:rsidRDefault="008C5447"/>
    <w:p w14:paraId="5EE41956" w14:textId="66F9EAC2" w:rsidR="008C5447" w:rsidRDefault="00613544">
      <w:pPr>
        <w:rPr>
          <w:rFonts w:hint="eastAsia"/>
        </w:rPr>
      </w:pPr>
      <w:r w:rsidRPr="00831CC2">
        <w:rPr>
          <w:rFonts w:ascii="Times New Roman" w:hAnsi="Times New Roman" w:cs="Times New Roman"/>
          <w:sz w:val="24"/>
          <w:szCs w:val="24"/>
        </w:rPr>
        <w:t>HCC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C5447" w:rsidRPr="00810A80">
        <w:rPr>
          <w:rFonts w:ascii="Times New Roman" w:hAnsi="Times New Roman" w:cs="Times New Roman"/>
          <w:sz w:val="24"/>
          <w:szCs w:val="24"/>
        </w:rPr>
        <w:t>Hepatocellular Carcinoma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31CC2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C5447" w:rsidRPr="00831CC2">
        <w:rPr>
          <w:rFonts w:ascii="Times New Roman" w:hAnsi="Times New Roman" w:cs="Times New Roman"/>
          <w:sz w:val="24"/>
          <w:szCs w:val="24"/>
        </w:rPr>
        <w:t>overall survival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 w:rsidRPr="0079438E">
        <w:rPr>
          <w:rFonts w:ascii="Times New Roman" w:hAnsi="Times New Roman" w:cs="Times New Roman"/>
          <w:sz w:val="24"/>
          <w:szCs w:val="24"/>
        </w:rPr>
        <w:t>AFP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A39FB" w:rsidRPr="0079438E">
        <w:rPr>
          <w:rFonts w:ascii="Times New Roman" w:hAnsi="Times New Roman" w:cs="Times New Roman"/>
          <w:sz w:val="24"/>
          <w:szCs w:val="24"/>
        </w:rPr>
        <w:t>alpha-fetoprotein</w:t>
      </w:r>
      <w:r>
        <w:rPr>
          <w:rFonts w:ascii="Times New Roman" w:hAnsi="Times New Roman" w:cs="Times New Roman"/>
          <w:sz w:val="24"/>
          <w:szCs w:val="24"/>
        </w:rPr>
        <w:t xml:space="preserve">; TME: 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 w:rsidR="008A39FB" w:rsidRPr="0079438E">
        <w:rPr>
          <w:rFonts w:ascii="Times New Roman" w:hAnsi="Times New Roman" w:cs="Times New Roman"/>
          <w:sz w:val="24"/>
          <w:szCs w:val="24"/>
        </w:rPr>
        <w:t>tumor microenvironment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GEO: </w:t>
      </w:r>
      <w:r w:rsidR="008A39FB" w:rsidRPr="0079438E">
        <w:rPr>
          <w:rFonts w:ascii="Times New Roman" w:hAnsi="Times New Roman" w:cs="Times New Roman"/>
          <w:sz w:val="24"/>
          <w:szCs w:val="24"/>
        </w:rPr>
        <w:t>Gene Expression Omnibus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DEGs: </w:t>
      </w:r>
      <w:r w:rsidR="008A39FB" w:rsidRPr="0079438E">
        <w:rPr>
          <w:rFonts w:ascii="Times New Roman" w:hAnsi="Times New Roman" w:cs="Times New Roman"/>
          <w:sz w:val="24"/>
          <w:szCs w:val="24"/>
        </w:rPr>
        <w:t>different expression genes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TCGA: </w:t>
      </w:r>
      <w:r w:rsidR="008A39FB" w:rsidRPr="0079438E">
        <w:rPr>
          <w:rFonts w:ascii="Times New Roman" w:hAnsi="Times New Roman" w:cs="Times New Roman"/>
          <w:sz w:val="24"/>
          <w:szCs w:val="24"/>
        </w:rPr>
        <w:t>The Cancer Genome Atlas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ENP: </w:t>
      </w:r>
      <w:r w:rsidR="008A39FB" w:rsidRPr="0079438E">
        <w:rPr>
          <w:rFonts w:ascii="Times New Roman" w:hAnsi="Times New Roman" w:cs="Times New Roman"/>
          <w:sz w:val="24"/>
          <w:szCs w:val="24"/>
        </w:rPr>
        <w:t>elastic net penalty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BSR: </w:t>
      </w:r>
      <w:r w:rsidR="008A39FB" w:rsidRPr="0079438E">
        <w:rPr>
          <w:rFonts w:ascii="Times New Roman" w:hAnsi="Times New Roman" w:cs="Times New Roman"/>
          <w:sz w:val="24"/>
          <w:szCs w:val="24"/>
        </w:rPr>
        <w:t>Best subsets regression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E">
        <w:rPr>
          <w:rFonts w:ascii="Times New Roman" w:hAnsi="Times New Roman" w:cs="Times New Roman"/>
          <w:sz w:val="24"/>
          <w:szCs w:val="24"/>
        </w:rPr>
        <w:t>ssGSEA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 w:rsidRPr="0079438E">
        <w:rPr>
          <w:rFonts w:ascii="Times New Roman" w:hAnsi="Times New Roman" w:cs="Times New Roman"/>
          <w:sz w:val="24"/>
          <w:szCs w:val="24"/>
        </w:rPr>
        <w:t xml:space="preserve"> </w:t>
      </w:r>
      <w:r w:rsidR="008A39FB" w:rsidRPr="0079438E">
        <w:rPr>
          <w:rFonts w:ascii="Times New Roman" w:hAnsi="Times New Roman" w:cs="Times New Roman"/>
          <w:sz w:val="24"/>
          <w:szCs w:val="24"/>
        </w:rPr>
        <w:t>single sample gene set enrichment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ROC: </w:t>
      </w:r>
      <w:r w:rsidR="008A39FB" w:rsidRPr="0079438E">
        <w:rPr>
          <w:rFonts w:ascii="Times New Roman" w:hAnsi="Times New Roman" w:cs="Times New Roman"/>
          <w:sz w:val="24"/>
          <w:szCs w:val="24"/>
        </w:rPr>
        <w:t>receiver operating characteristic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 w:rsidRPr="008A39FB">
        <w:rPr>
          <w:rFonts w:ascii="Times New Roman" w:hAnsi="Times New Roman" w:cs="Times New Roman"/>
          <w:sz w:val="24"/>
          <w:szCs w:val="24"/>
        </w:rPr>
        <w:t xml:space="preserve"> </w:t>
      </w:r>
      <w:r w:rsidR="008A39FB" w:rsidRPr="0079438E">
        <w:rPr>
          <w:rFonts w:ascii="Times New Roman" w:hAnsi="Times New Roman" w:cs="Times New Roman"/>
          <w:sz w:val="24"/>
          <w:szCs w:val="24"/>
        </w:rPr>
        <w:t>CCNB1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A39FB" w:rsidRPr="0079438E">
        <w:rPr>
          <w:rFonts w:ascii="Times New Roman" w:hAnsi="Times New Roman" w:cs="Times New Roman"/>
          <w:sz w:val="24"/>
          <w:szCs w:val="24"/>
        </w:rPr>
        <w:t>Cyclin B1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 w:rsidRPr="0079438E">
        <w:rPr>
          <w:rFonts w:ascii="Times New Roman" w:hAnsi="Times New Roman" w:cs="Times New Roman"/>
          <w:sz w:val="24"/>
          <w:szCs w:val="24"/>
        </w:rPr>
        <w:t xml:space="preserve"> ANXA10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A39FB" w:rsidRPr="0079438E">
        <w:rPr>
          <w:rFonts w:ascii="Times New Roman" w:hAnsi="Times New Roman" w:cs="Times New Roman"/>
          <w:sz w:val="24"/>
          <w:szCs w:val="24"/>
        </w:rPr>
        <w:t>Annexin A10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CV: </w:t>
      </w:r>
      <w:r w:rsidR="008A39FB" w:rsidRPr="0079438E">
        <w:rPr>
          <w:rFonts w:ascii="Times New Roman" w:hAnsi="Times New Roman" w:cs="Times New Roman"/>
          <w:sz w:val="24"/>
          <w:szCs w:val="24"/>
        </w:rPr>
        <w:t>coefficient variable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 w:rsidR="008A39FB" w:rsidRPr="0079438E">
        <w:rPr>
          <w:rFonts w:ascii="Times New Roman" w:hAnsi="Times New Roman" w:cs="Times New Roman"/>
          <w:sz w:val="24"/>
          <w:szCs w:val="24"/>
        </w:rPr>
        <w:t>BMI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A39FB" w:rsidRPr="0079438E">
        <w:rPr>
          <w:rFonts w:ascii="Times New Roman" w:hAnsi="Times New Roman" w:cs="Times New Roman"/>
          <w:sz w:val="24"/>
          <w:szCs w:val="24"/>
        </w:rPr>
        <w:t>body mass index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CLP: common </w:t>
      </w:r>
      <w:r w:rsidR="008A39FB" w:rsidRPr="0079438E">
        <w:rPr>
          <w:rFonts w:ascii="Times New Roman" w:hAnsi="Times New Roman" w:cs="Times New Roman"/>
          <w:sz w:val="24"/>
          <w:szCs w:val="24"/>
        </w:rPr>
        <w:t>lymphoid progenitor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CMP: </w:t>
      </w:r>
      <w:r w:rsidR="008A39FB" w:rsidRPr="0079438E">
        <w:rPr>
          <w:rFonts w:ascii="Times New Roman" w:hAnsi="Times New Roman" w:cs="Times New Roman"/>
          <w:sz w:val="24"/>
          <w:szCs w:val="24"/>
        </w:rPr>
        <w:t>common lymphoid progenitor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 w:rsidRPr="007943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EC: </w:t>
      </w:r>
      <w:r w:rsidR="008A39FB" w:rsidRPr="0079438E">
        <w:rPr>
          <w:rFonts w:ascii="Times New Roman" w:hAnsi="Times New Roman" w:cs="Times New Roman"/>
          <w:sz w:val="24"/>
          <w:szCs w:val="24"/>
        </w:rPr>
        <w:t>endothelial cell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 w:rsidRPr="007943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HSC: </w:t>
      </w:r>
      <w:r w:rsidR="008A39FB" w:rsidRPr="0079438E">
        <w:rPr>
          <w:rFonts w:ascii="Times New Roman" w:hAnsi="Times New Roman" w:cs="Times New Roman"/>
          <w:sz w:val="24"/>
          <w:szCs w:val="24"/>
        </w:rPr>
        <w:t>hematopoietic stem cell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 w:rsidRPr="007943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M2: </w:t>
      </w:r>
      <w:r w:rsidR="008A39FB" w:rsidRPr="0079438E">
        <w:rPr>
          <w:rFonts w:ascii="Times New Roman" w:hAnsi="Times New Roman" w:cs="Times New Roman"/>
          <w:sz w:val="24"/>
          <w:szCs w:val="24"/>
        </w:rPr>
        <w:t>M2 macrophage</w:t>
      </w:r>
      <w:r>
        <w:rPr>
          <w:rFonts w:ascii="Times New Roman" w:hAnsi="Times New Roman" w:cs="Times New Roman"/>
          <w:sz w:val="24"/>
          <w:szCs w:val="24"/>
        </w:rPr>
        <w:t>;</w:t>
      </w:r>
      <w:r w:rsidR="008A39FB" w:rsidRPr="007943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Th2: </w:t>
      </w:r>
      <w:r w:rsidR="008A39FB" w:rsidRPr="0079438E">
        <w:rPr>
          <w:rFonts w:ascii="Times New Roman" w:hAnsi="Times New Roman" w:cs="Times New Roman" w:hint="eastAsia"/>
          <w:sz w:val="24"/>
          <w:szCs w:val="24"/>
        </w:rPr>
        <w:t>T helper 2 cells</w:t>
      </w:r>
      <w:r>
        <w:rPr>
          <w:rFonts w:ascii="Times New Roman" w:hAnsi="Times New Roman" w:cs="Times New Roman"/>
          <w:sz w:val="24"/>
          <w:szCs w:val="24"/>
        </w:rPr>
        <w:t xml:space="preserve">; Tregs: </w:t>
      </w:r>
      <w:r w:rsidR="008A39FB" w:rsidRPr="0079438E">
        <w:rPr>
          <w:rFonts w:ascii="Times New Roman" w:hAnsi="Times New Roman" w:cs="Times New Roman"/>
          <w:sz w:val="24"/>
          <w:szCs w:val="24"/>
        </w:rPr>
        <w:t>regulatory T cells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8C5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135742F"/>
    <w:rsid w:val="00075B5B"/>
    <w:rsid w:val="003354D3"/>
    <w:rsid w:val="00613544"/>
    <w:rsid w:val="00766CD6"/>
    <w:rsid w:val="008A39FB"/>
    <w:rsid w:val="008C5447"/>
    <w:rsid w:val="00CA79AC"/>
    <w:rsid w:val="00E84EAC"/>
    <w:rsid w:val="00FA7AAB"/>
    <w:rsid w:val="0135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5BA0AE"/>
  <w15:docId w15:val="{E017BC06-7EE5-47C5-9AD2-3B47EED1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7</Pages>
  <Words>598</Words>
  <Characters>3412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Yongsheng</dc:creator>
  <cp:lastModifiedBy>Yang S</cp:lastModifiedBy>
  <cp:revision>7</cp:revision>
  <dcterms:created xsi:type="dcterms:W3CDTF">2021-02-28T14:33:00Z</dcterms:created>
  <dcterms:modified xsi:type="dcterms:W3CDTF">2021-04-29T08:25:00Z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ICV">
    <vt:lpwstr>1A9BFF859D6B4A3AA74DF9231513723F</vt:lpwstr>
  </property>
</Properties>
</file>