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6EE77" w14:textId="1838632C" w:rsidR="00CD5068" w:rsidRPr="0057742E" w:rsidRDefault="00CD5068" w:rsidP="00CD5068">
      <w:pPr>
        <w:pStyle w:val="Heading2"/>
        <w:rPr>
          <w:rFonts w:ascii="Times New Roman" w:hAnsi="Times New Roman" w:cs="Times New Roman"/>
          <w:color w:val="auto"/>
          <w:sz w:val="24"/>
          <w:szCs w:val="24"/>
        </w:rPr>
      </w:pPr>
      <w:r w:rsidRPr="0057742E">
        <w:rPr>
          <w:rFonts w:ascii="Times New Roman" w:hAnsi="Times New Roman" w:cs="Times New Roman"/>
          <w:b/>
          <w:bCs/>
          <w:color w:val="auto"/>
          <w:sz w:val="24"/>
          <w:szCs w:val="24"/>
        </w:rPr>
        <w:t xml:space="preserve">Table </w:t>
      </w:r>
      <w:r w:rsidR="003B30A2" w:rsidRPr="0057742E">
        <w:rPr>
          <w:rFonts w:ascii="Times New Roman" w:hAnsi="Times New Roman" w:cs="Times New Roman"/>
          <w:b/>
          <w:bCs/>
          <w:color w:val="auto"/>
          <w:sz w:val="24"/>
          <w:szCs w:val="24"/>
        </w:rPr>
        <w:t>1</w:t>
      </w:r>
      <w:r w:rsidR="003B30A2">
        <w:rPr>
          <w:rFonts w:ascii="Times New Roman" w:hAnsi="Times New Roman" w:cs="Times New Roman"/>
          <w:b/>
          <w:bCs/>
          <w:color w:val="auto"/>
          <w:sz w:val="24"/>
          <w:szCs w:val="24"/>
        </w:rPr>
        <w:t>.</w:t>
      </w:r>
      <w:r w:rsidR="003B30A2" w:rsidRPr="0057742E">
        <w:rPr>
          <w:rFonts w:ascii="Times New Roman" w:hAnsi="Times New Roman" w:cs="Times New Roman"/>
          <w:color w:val="auto"/>
          <w:sz w:val="24"/>
          <w:szCs w:val="24"/>
        </w:rPr>
        <w:t xml:space="preserve"> Keywords</w:t>
      </w:r>
      <w:r w:rsidRPr="0057742E">
        <w:rPr>
          <w:rFonts w:ascii="Times New Roman" w:hAnsi="Times New Roman" w:cs="Times New Roman"/>
          <w:color w:val="auto"/>
          <w:sz w:val="24"/>
          <w:szCs w:val="24"/>
        </w:rPr>
        <w:t xml:space="preserve"> and search terms</w:t>
      </w:r>
    </w:p>
    <w:tbl>
      <w:tblPr>
        <w:tblStyle w:val="TableGrid"/>
        <w:tblW w:w="5000" w:type="pct"/>
        <w:tblLook w:val="06A0" w:firstRow="1" w:lastRow="0" w:firstColumn="1" w:lastColumn="0" w:noHBand="1" w:noVBand="1"/>
      </w:tblPr>
      <w:tblGrid>
        <w:gridCol w:w="456"/>
        <w:gridCol w:w="3608"/>
        <w:gridCol w:w="4952"/>
      </w:tblGrid>
      <w:tr w:rsidR="00CD5068" w:rsidRPr="00A40F90" w14:paraId="52E6B669" w14:textId="77777777" w:rsidTr="00AD39C2">
        <w:trPr>
          <w:trHeight w:val="1361"/>
        </w:trPr>
        <w:tc>
          <w:tcPr>
            <w:tcW w:w="253" w:type="pct"/>
            <w:noWrap/>
            <w:hideMark/>
          </w:tcPr>
          <w:p w14:paraId="4E070214"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#1</w:t>
            </w:r>
          </w:p>
        </w:tc>
        <w:tc>
          <w:tcPr>
            <w:tcW w:w="2001" w:type="pct"/>
            <w:hideMark/>
          </w:tcPr>
          <w:p w14:paraId="7DE7919A" w14:textId="77777777" w:rsidR="00CD5068" w:rsidRPr="00A40F90" w:rsidRDefault="00CD5068" w:rsidP="00AD39C2">
            <w:pPr>
              <w:jc w:val="both"/>
              <w:rPr>
                <w:rFonts w:ascii="Times New Roman" w:hAnsi="Times New Roman" w:cs="Times New Roman"/>
                <w:i/>
                <w:iCs/>
                <w:sz w:val="22"/>
                <w:szCs w:val="22"/>
              </w:rPr>
            </w:pPr>
            <w:r w:rsidRPr="00A40F90">
              <w:rPr>
                <w:rFonts w:ascii="Times New Roman" w:hAnsi="Times New Roman" w:cs="Times New Roman"/>
                <w:i/>
                <w:iCs/>
                <w:sz w:val="22"/>
                <w:szCs w:val="22"/>
              </w:rPr>
              <w:t>Access</w:t>
            </w:r>
          </w:p>
        </w:tc>
        <w:tc>
          <w:tcPr>
            <w:tcW w:w="2746" w:type="pct"/>
            <w:hideMark/>
          </w:tcPr>
          <w:p w14:paraId="37C9C711" w14:textId="77777777" w:rsidR="00CD5068" w:rsidRPr="00A40F90" w:rsidRDefault="00CD5068" w:rsidP="00AD39C2">
            <w:pPr>
              <w:jc w:val="both"/>
              <w:rPr>
                <w:rFonts w:ascii="Times New Roman" w:hAnsi="Times New Roman" w:cs="Times New Roman"/>
                <w:b/>
                <w:bCs/>
                <w:sz w:val="22"/>
                <w:szCs w:val="22"/>
              </w:rPr>
            </w:pPr>
            <w:r w:rsidRPr="00A40F90">
              <w:rPr>
                <w:rFonts w:ascii="Times New Roman" w:hAnsi="Times New Roman" w:cs="Times New Roman"/>
                <w:sz w:val="22"/>
                <w:szCs w:val="22"/>
              </w:rPr>
              <w:t>(Access* OR “Acceptability” OR “availability” OR “accommodation” OR affordability OR appropriateness OR approachability)</w:t>
            </w:r>
          </w:p>
        </w:tc>
      </w:tr>
      <w:tr w:rsidR="00CD5068" w:rsidRPr="00A40F90" w14:paraId="7FA2E166" w14:textId="77777777" w:rsidTr="00AD39C2">
        <w:trPr>
          <w:trHeight w:val="958"/>
        </w:trPr>
        <w:tc>
          <w:tcPr>
            <w:tcW w:w="253" w:type="pct"/>
            <w:noWrap/>
            <w:hideMark/>
          </w:tcPr>
          <w:p w14:paraId="77F0AECF"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#2</w:t>
            </w:r>
          </w:p>
        </w:tc>
        <w:tc>
          <w:tcPr>
            <w:tcW w:w="2001" w:type="pct"/>
            <w:noWrap/>
            <w:hideMark/>
          </w:tcPr>
          <w:p w14:paraId="676F4524" w14:textId="77777777" w:rsidR="00CD5068" w:rsidRPr="00A40F90" w:rsidRDefault="00CD5068" w:rsidP="00AD39C2">
            <w:pPr>
              <w:jc w:val="both"/>
              <w:rPr>
                <w:rFonts w:ascii="Times New Roman" w:hAnsi="Times New Roman" w:cs="Times New Roman"/>
                <w:b/>
                <w:bCs/>
                <w:i/>
                <w:iCs/>
                <w:sz w:val="22"/>
                <w:szCs w:val="22"/>
              </w:rPr>
            </w:pPr>
            <w:r w:rsidRPr="00A40F90">
              <w:rPr>
                <w:rFonts w:ascii="Times New Roman" w:hAnsi="Times New Roman" w:cs="Times New Roman"/>
                <w:b/>
                <w:bCs/>
                <w:i/>
                <w:iCs/>
                <w:sz w:val="22"/>
                <w:szCs w:val="22"/>
              </w:rPr>
              <w:t>Mental health</w:t>
            </w:r>
          </w:p>
        </w:tc>
        <w:tc>
          <w:tcPr>
            <w:tcW w:w="2746" w:type="pct"/>
            <w:hideMark/>
          </w:tcPr>
          <w:p w14:paraId="32BC5F5A"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(“mental health disorder*” OR “mental illness*” OR “mental health condition*” OR depress* OR “Anxiety”)</w:t>
            </w:r>
          </w:p>
        </w:tc>
      </w:tr>
      <w:tr w:rsidR="00CD5068" w:rsidRPr="00A40F90" w14:paraId="4DACC654" w14:textId="77777777" w:rsidTr="00AD39C2">
        <w:trPr>
          <w:trHeight w:val="1706"/>
        </w:trPr>
        <w:tc>
          <w:tcPr>
            <w:tcW w:w="253" w:type="pct"/>
            <w:noWrap/>
            <w:hideMark/>
          </w:tcPr>
          <w:p w14:paraId="26AE00DD"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#3</w:t>
            </w:r>
          </w:p>
        </w:tc>
        <w:tc>
          <w:tcPr>
            <w:tcW w:w="2001" w:type="pct"/>
            <w:noWrap/>
            <w:hideMark/>
          </w:tcPr>
          <w:p w14:paraId="7C63ED08" w14:textId="77777777" w:rsidR="00CD5068" w:rsidRPr="00A40F90" w:rsidRDefault="00CD5068" w:rsidP="00AD39C2">
            <w:pPr>
              <w:jc w:val="both"/>
              <w:rPr>
                <w:rFonts w:ascii="Times New Roman" w:hAnsi="Times New Roman" w:cs="Times New Roman"/>
                <w:b/>
                <w:bCs/>
                <w:i/>
                <w:iCs/>
                <w:sz w:val="22"/>
                <w:szCs w:val="22"/>
              </w:rPr>
            </w:pPr>
            <w:r w:rsidRPr="00A40F90">
              <w:rPr>
                <w:rFonts w:ascii="Times New Roman" w:hAnsi="Times New Roman" w:cs="Times New Roman"/>
                <w:b/>
                <w:bCs/>
                <w:i/>
                <w:iCs/>
                <w:sz w:val="22"/>
                <w:szCs w:val="22"/>
              </w:rPr>
              <w:t>South Asia</w:t>
            </w:r>
          </w:p>
        </w:tc>
        <w:tc>
          <w:tcPr>
            <w:tcW w:w="2746" w:type="pct"/>
            <w:hideMark/>
          </w:tcPr>
          <w:p w14:paraId="20894870"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(Afghani* OR Bangladesh* OR Bhutan* OR India* OR Maldives OR Nepal* OR Pakistan* OR Sri Lanka* OR South Asia* OR SA OR Afghani migrant OR Bangladeshi migrant OR Bhutanese migrant OR Indian migrant OR Maldives migrant OR Nepali migrant OR Pakistani migrant OR Sri Lankan migrant OR South Asian migrant)</w:t>
            </w:r>
          </w:p>
        </w:tc>
      </w:tr>
      <w:tr w:rsidR="00CD5068" w:rsidRPr="00A40F90" w14:paraId="5915BB1F" w14:textId="77777777" w:rsidTr="00AD39C2">
        <w:trPr>
          <w:trHeight w:val="1188"/>
        </w:trPr>
        <w:tc>
          <w:tcPr>
            <w:tcW w:w="253" w:type="pct"/>
            <w:noWrap/>
            <w:hideMark/>
          </w:tcPr>
          <w:p w14:paraId="784175F4"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#4</w:t>
            </w:r>
          </w:p>
        </w:tc>
        <w:tc>
          <w:tcPr>
            <w:tcW w:w="2001" w:type="pct"/>
            <w:noWrap/>
            <w:hideMark/>
          </w:tcPr>
          <w:p w14:paraId="025711FF" w14:textId="77777777" w:rsidR="00CD5068" w:rsidRPr="00A40F90" w:rsidRDefault="00CD5068" w:rsidP="00AD39C2">
            <w:pPr>
              <w:jc w:val="both"/>
              <w:rPr>
                <w:rFonts w:ascii="Times New Roman" w:hAnsi="Times New Roman" w:cs="Times New Roman"/>
                <w:b/>
                <w:bCs/>
                <w:i/>
                <w:iCs/>
                <w:sz w:val="22"/>
                <w:szCs w:val="22"/>
              </w:rPr>
            </w:pPr>
            <w:r w:rsidRPr="00A40F90">
              <w:rPr>
                <w:rFonts w:ascii="Times New Roman" w:hAnsi="Times New Roman" w:cs="Times New Roman"/>
                <w:b/>
                <w:bCs/>
                <w:i/>
                <w:iCs/>
                <w:sz w:val="22"/>
                <w:szCs w:val="22"/>
              </w:rPr>
              <w:t>Lived experiences and perceptions</w:t>
            </w:r>
          </w:p>
        </w:tc>
        <w:tc>
          <w:tcPr>
            <w:tcW w:w="2746" w:type="pct"/>
            <w:hideMark/>
          </w:tcPr>
          <w:p w14:paraId="615A1CF5"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 xml:space="preserve">(Experience* OR Enable* OR Perception* OR Attitude* OR View* OR Lived experience* OR Barrier* OR </w:t>
            </w:r>
            <w:proofErr w:type="spellStart"/>
            <w:r w:rsidRPr="00A40F90">
              <w:rPr>
                <w:rFonts w:ascii="Times New Roman" w:hAnsi="Times New Roman" w:cs="Times New Roman"/>
                <w:sz w:val="22"/>
                <w:szCs w:val="22"/>
              </w:rPr>
              <w:t>Facilitat</w:t>
            </w:r>
            <w:proofErr w:type="spellEnd"/>
            <w:r w:rsidRPr="00A40F90">
              <w:rPr>
                <w:rFonts w:ascii="Times New Roman" w:hAnsi="Times New Roman" w:cs="Times New Roman"/>
                <w:sz w:val="22"/>
                <w:szCs w:val="22"/>
              </w:rPr>
              <w:t xml:space="preserve">* OR </w:t>
            </w:r>
            <w:proofErr w:type="spellStart"/>
            <w:r w:rsidRPr="00A40F90">
              <w:rPr>
                <w:rFonts w:ascii="Times New Roman" w:hAnsi="Times New Roman" w:cs="Times New Roman"/>
                <w:sz w:val="22"/>
                <w:szCs w:val="22"/>
              </w:rPr>
              <w:t>Challeng</w:t>
            </w:r>
            <w:proofErr w:type="spellEnd"/>
            <w:r w:rsidRPr="00A40F90">
              <w:rPr>
                <w:rFonts w:ascii="Times New Roman" w:hAnsi="Times New Roman" w:cs="Times New Roman"/>
                <w:sz w:val="22"/>
                <w:szCs w:val="22"/>
              </w:rPr>
              <w:t xml:space="preserve">* OR </w:t>
            </w:r>
            <w:proofErr w:type="spellStart"/>
            <w:r w:rsidRPr="00A40F90">
              <w:rPr>
                <w:rFonts w:ascii="Times New Roman" w:hAnsi="Times New Roman" w:cs="Times New Roman"/>
                <w:sz w:val="22"/>
                <w:szCs w:val="22"/>
              </w:rPr>
              <w:t>Opportunit</w:t>
            </w:r>
            <w:proofErr w:type="spellEnd"/>
            <w:r w:rsidRPr="00A40F90">
              <w:rPr>
                <w:rFonts w:ascii="Times New Roman" w:hAnsi="Times New Roman" w:cs="Times New Roman"/>
                <w:sz w:val="22"/>
                <w:szCs w:val="22"/>
              </w:rPr>
              <w:t>*)</w:t>
            </w:r>
          </w:p>
        </w:tc>
      </w:tr>
      <w:tr w:rsidR="00CD5068" w:rsidRPr="00A40F90" w14:paraId="3D1F37CE" w14:textId="77777777" w:rsidTr="00AD39C2">
        <w:trPr>
          <w:trHeight w:val="570"/>
        </w:trPr>
        <w:tc>
          <w:tcPr>
            <w:tcW w:w="253" w:type="pct"/>
            <w:noWrap/>
            <w:hideMark/>
          </w:tcPr>
          <w:p w14:paraId="31B8761F"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#5</w:t>
            </w:r>
          </w:p>
        </w:tc>
        <w:tc>
          <w:tcPr>
            <w:tcW w:w="2001" w:type="pct"/>
            <w:noWrap/>
            <w:hideMark/>
          </w:tcPr>
          <w:p w14:paraId="0C983F48" w14:textId="77777777" w:rsidR="00CD5068" w:rsidRPr="00A40F90" w:rsidRDefault="00CD5068" w:rsidP="00AD39C2">
            <w:pPr>
              <w:jc w:val="both"/>
              <w:rPr>
                <w:rFonts w:ascii="Times New Roman" w:hAnsi="Times New Roman" w:cs="Times New Roman"/>
                <w:b/>
                <w:bCs/>
                <w:i/>
                <w:iCs/>
                <w:sz w:val="22"/>
                <w:szCs w:val="22"/>
              </w:rPr>
            </w:pPr>
            <w:r w:rsidRPr="00A40F90">
              <w:rPr>
                <w:rFonts w:ascii="Times New Roman" w:hAnsi="Times New Roman" w:cs="Times New Roman"/>
                <w:b/>
                <w:bCs/>
                <w:i/>
                <w:iCs/>
                <w:sz w:val="22"/>
                <w:szCs w:val="22"/>
              </w:rPr>
              <w:t>Acceptable study design</w:t>
            </w:r>
          </w:p>
        </w:tc>
        <w:tc>
          <w:tcPr>
            <w:tcW w:w="2746" w:type="pct"/>
            <w:hideMark/>
          </w:tcPr>
          <w:p w14:paraId="47C07397"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(qualitative OR Exploratory qualitative stud* OR Interview OR focus group OR ethnography OR mixed methods)</w:t>
            </w:r>
          </w:p>
        </w:tc>
      </w:tr>
      <w:tr w:rsidR="00CD5068" w:rsidRPr="00A40F90" w14:paraId="6E9B622E" w14:textId="77777777" w:rsidTr="00AD39C2">
        <w:trPr>
          <w:trHeight w:val="971"/>
        </w:trPr>
        <w:tc>
          <w:tcPr>
            <w:tcW w:w="253" w:type="pct"/>
            <w:noWrap/>
            <w:hideMark/>
          </w:tcPr>
          <w:p w14:paraId="71ACAC67"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#6</w:t>
            </w:r>
          </w:p>
        </w:tc>
        <w:tc>
          <w:tcPr>
            <w:tcW w:w="2001" w:type="pct"/>
            <w:hideMark/>
          </w:tcPr>
          <w:p w14:paraId="085EF211" w14:textId="77777777" w:rsidR="00CD5068" w:rsidRPr="00A40F90" w:rsidRDefault="00CD5068" w:rsidP="00AD39C2">
            <w:pPr>
              <w:jc w:val="both"/>
              <w:rPr>
                <w:rFonts w:ascii="Times New Roman" w:hAnsi="Times New Roman" w:cs="Times New Roman"/>
                <w:b/>
                <w:bCs/>
                <w:i/>
                <w:iCs/>
                <w:sz w:val="22"/>
                <w:szCs w:val="22"/>
              </w:rPr>
            </w:pPr>
            <w:r w:rsidRPr="00A40F90">
              <w:rPr>
                <w:rFonts w:ascii="Times New Roman" w:hAnsi="Times New Roman" w:cs="Times New Roman"/>
                <w:b/>
                <w:bCs/>
                <w:i/>
                <w:iCs/>
                <w:sz w:val="22"/>
                <w:szCs w:val="22"/>
              </w:rPr>
              <w:t>High-income nations</w:t>
            </w:r>
          </w:p>
        </w:tc>
        <w:tc>
          <w:tcPr>
            <w:tcW w:w="2746" w:type="pct"/>
            <w:hideMark/>
          </w:tcPr>
          <w:p w14:paraId="3D793963"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("Australia" OR "Canada" OR "United Kingdom" OR “UK” OR “United States of America” OR ”USA” OR “high income country” OR “high income nation” OR “high-income country” OR “high-income nation”)</w:t>
            </w:r>
          </w:p>
        </w:tc>
      </w:tr>
    </w:tbl>
    <w:p w14:paraId="0F544E85" w14:textId="77777777" w:rsidR="00CD5068" w:rsidRPr="00A40F90" w:rsidRDefault="00CD5068" w:rsidP="00CD5068"/>
    <w:p w14:paraId="30550C66" w14:textId="5679AD6B" w:rsidR="00CD5068" w:rsidRPr="0057742E" w:rsidRDefault="00CD5068" w:rsidP="00CD5068">
      <w:pPr>
        <w:pStyle w:val="Heading2"/>
        <w:spacing w:before="0"/>
        <w:rPr>
          <w:rFonts w:ascii="Times New Roman" w:hAnsi="Times New Roman" w:cs="Times New Roman"/>
          <w:b/>
          <w:bCs/>
          <w:i/>
          <w:iCs/>
          <w:color w:val="auto"/>
          <w:sz w:val="24"/>
          <w:szCs w:val="24"/>
        </w:rPr>
      </w:pPr>
      <w:r w:rsidRPr="0057742E">
        <w:rPr>
          <w:rFonts w:ascii="Times New Roman" w:hAnsi="Times New Roman" w:cs="Times New Roman"/>
          <w:b/>
          <w:bCs/>
          <w:color w:val="auto"/>
          <w:sz w:val="24"/>
          <w:szCs w:val="24"/>
        </w:rPr>
        <w:t>Table.2.</w:t>
      </w:r>
      <w:r w:rsidRPr="0057742E">
        <w:rPr>
          <w:rFonts w:ascii="Times New Roman" w:hAnsi="Times New Roman" w:cs="Times New Roman"/>
          <w:color w:val="auto"/>
          <w:sz w:val="24"/>
          <w:szCs w:val="24"/>
        </w:rPr>
        <w:t xml:space="preserve"> </w:t>
      </w:r>
      <w:r w:rsidR="000A124E">
        <w:rPr>
          <w:rFonts w:ascii="Times New Roman" w:hAnsi="Times New Roman" w:cs="Times New Roman"/>
          <w:color w:val="auto"/>
          <w:sz w:val="24"/>
          <w:szCs w:val="24"/>
        </w:rPr>
        <w:t>K</w:t>
      </w:r>
      <w:r w:rsidRPr="0057742E">
        <w:rPr>
          <w:rFonts w:ascii="Times New Roman" w:hAnsi="Times New Roman" w:cs="Times New Roman"/>
          <w:color w:val="auto"/>
          <w:sz w:val="24"/>
          <w:szCs w:val="24"/>
        </w:rPr>
        <w:t xml:space="preserve">ey </w:t>
      </w:r>
      <w:r w:rsidR="00B06989" w:rsidRPr="0057742E">
        <w:rPr>
          <w:rFonts w:ascii="Times New Roman" w:hAnsi="Times New Roman" w:cs="Times New Roman"/>
          <w:color w:val="auto"/>
          <w:sz w:val="24"/>
          <w:szCs w:val="24"/>
        </w:rPr>
        <w:t>opera</w:t>
      </w:r>
      <w:r w:rsidR="00B06989">
        <w:rPr>
          <w:rFonts w:ascii="Times New Roman" w:hAnsi="Times New Roman" w:cs="Times New Roman"/>
          <w:color w:val="auto"/>
          <w:sz w:val="24"/>
          <w:szCs w:val="24"/>
        </w:rPr>
        <w:t>tional</w:t>
      </w:r>
      <w:r w:rsidR="00B06989" w:rsidRPr="0057742E">
        <w:rPr>
          <w:rFonts w:ascii="Times New Roman" w:hAnsi="Times New Roman" w:cs="Times New Roman"/>
          <w:color w:val="auto"/>
          <w:sz w:val="24"/>
          <w:szCs w:val="24"/>
        </w:rPr>
        <w:t xml:space="preserve"> definitions</w:t>
      </w:r>
      <w:r w:rsidRPr="0057742E">
        <w:rPr>
          <w:rFonts w:ascii="Times New Roman" w:hAnsi="Times New Roman" w:cs="Times New Roman"/>
          <w:color w:val="auto"/>
          <w:sz w:val="24"/>
          <w:szCs w:val="24"/>
        </w:rPr>
        <w:t xml:space="preserve"> </w:t>
      </w:r>
    </w:p>
    <w:p w14:paraId="49C974DA" w14:textId="77777777" w:rsidR="00CD5068" w:rsidRPr="00A40F90" w:rsidRDefault="00CD5068" w:rsidP="00CD5068">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476"/>
        <w:gridCol w:w="4540"/>
      </w:tblGrid>
      <w:tr w:rsidR="00CD5068" w:rsidRPr="00A40F90" w14:paraId="4B0CA2E7" w14:textId="77777777" w:rsidTr="00AD39C2">
        <w:trPr>
          <w:trHeight w:val="125"/>
        </w:trPr>
        <w:tc>
          <w:tcPr>
            <w:tcW w:w="4476" w:type="dxa"/>
          </w:tcPr>
          <w:p w14:paraId="5094BA31" w14:textId="77777777" w:rsidR="00CD5068" w:rsidRPr="00A40F90" w:rsidRDefault="00CD5068" w:rsidP="00AD39C2">
            <w:pPr>
              <w:rPr>
                <w:rFonts w:ascii="Times New Roman" w:hAnsi="Times New Roman" w:cs="Times New Roman"/>
                <w:sz w:val="22"/>
                <w:szCs w:val="22"/>
              </w:rPr>
            </w:pPr>
          </w:p>
        </w:tc>
        <w:tc>
          <w:tcPr>
            <w:tcW w:w="4540" w:type="dxa"/>
          </w:tcPr>
          <w:p w14:paraId="74B7D253" w14:textId="77777777" w:rsidR="00CD5068" w:rsidRPr="00A40F90" w:rsidRDefault="00CD5068" w:rsidP="00AD39C2">
            <w:pPr>
              <w:rPr>
                <w:rFonts w:ascii="Times New Roman" w:hAnsi="Times New Roman" w:cs="Times New Roman"/>
                <w:b/>
                <w:bCs/>
                <w:sz w:val="22"/>
                <w:szCs w:val="22"/>
              </w:rPr>
            </w:pPr>
            <w:r w:rsidRPr="00A40F90">
              <w:rPr>
                <w:rFonts w:ascii="Times New Roman" w:hAnsi="Times New Roman" w:cs="Times New Roman"/>
                <w:b/>
                <w:bCs/>
                <w:sz w:val="22"/>
                <w:szCs w:val="22"/>
              </w:rPr>
              <w:t>Definition</w:t>
            </w:r>
          </w:p>
        </w:tc>
      </w:tr>
      <w:tr w:rsidR="00CD5068" w:rsidRPr="00A40F90" w14:paraId="7043BBB1" w14:textId="77777777" w:rsidTr="00AD39C2">
        <w:tc>
          <w:tcPr>
            <w:tcW w:w="4476" w:type="dxa"/>
          </w:tcPr>
          <w:p w14:paraId="3ED24F5C" w14:textId="77777777" w:rsidR="00CD5068" w:rsidRPr="00A40F90" w:rsidRDefault="00CD5068" w:rsidP="00AD39C2">
            <w:pPr>
              <w:rPr>
                <w:rFonts w:ascii="Times New Roman" w:hAnsi="Times New Roman" w:cs="Times New Roman"/>
                <w:sz w:val="22"/>
                <w:szCs w:val="22"/>
              </w:rPr>
            </w:pPr>
            <w:r w:rsidRPr="00A40F90">
              <w:rPr>
                <w:rFonts w:ascii="Times New Roman" w:hAnsi="Times New Roman" w:cs="Times New Roman"/>
                <w:b/>
                <w:bCs/>
                <w:sz w:val="22"/>
                <w:szCs w:val="22"/>
              </w:rPr>
              <w:t>Health care access</w:t>
            </w:r>
          </w:p>
        </w:tc>
        <w:tc>
          <w:tcPr>
            <w:tcW w:w="4540" w:type="dxa"/>
          </w:tcPr>
          <w:p w14:paraId="253B554A"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 xml:space="preserve">The definition of access to health care is adopted from the definition outlined by </w:t>
            </w:r>
            <w:r w:rsidRPr="00A40F90">
              <w:rPr>
                <w:rFonts w:ascii="Times New Roman" w:hAnsi="Times New Roman" w:cs="Times New Roman"/>
                <w:sz w:val="22"/>
                <w:szCs w:val="22"/>
              </w:rPr>
              <w:fldChar w:fldCharType="begin"/>
            </w:r>
            <w:r w:rsidRPr="00A40F90">
              <w:rPr>
                <w:rFonts w:ascii="Times New Roman" w:hAnsi="Times New Roman" w:cs="Times New Roman"/>
                <w:sz w:val="22"/>
                <w:szCs w:val="22"/>
              </w:rPr>
              <w:instrText xml:space="preserve"> ADDIN EN.CITE &lt;EndNote&gt;&lt;Cite AuthorYear="1"&gt;&lt;Author&gt;Graetz&lt;/Author&gt;&lt;Year&gt;2017&lt;/Year&gt;&lt;RecNum&gt;98&lt;/RecNum&gt;&lt;DisplayText&gt;Graetz, Rechel, Groot, Norredam &amp;amp; Pavlova, 2017 (32)&lt;/DisplayText&gt;&lt;record&gt;&lt;rec-number&gt;98&lt;/rec-number&gt;&lt;foreign-keys&gt;&lt;key app="EN" db-id="xtv0s0aagzdrw6edwx7xwt9mp9fz9zdtf599" timestamp="1697363716"&gt;98&lt;/key&gt;&lt;/foreign-keys&gt;&lt;ref-type name="Journal Article"&gt;17&lt;/ref-type&gt;&lt;contributors&gt;&lt;authors&gt;&lt;author&gt;Graetz, V&lt;/author&gt;&lt;author&gt;Rechel, B&lt;/author&gt;&lt;author&gt;Groot, W&lt;/author&gt;&lt;author&gt;Norredam, M&lt;/author&gt;&lt;author&gt;Pavlova, M&lt;/author&gt;&lt;/authors&gt;&lt;/contributors&gt;&lt;titles&gt;&lt;title&gt;Utilization of health care services by migrants in Europe—a systematic literature review&lt;/title&gt;&lt;secondary-title&gt;Br. Med. Bull.&lt;/secondary-title&gt;&lt;/titles&gt;&lt;periodical&gt;&lt;full-title&gt;Br. Med. Bull.&lt;/full-title&gt;&lt;/periodical&gt;&lt;pages&gt;5-18&lt;/pages&gt;&lt;volume&gt;121&lt;/volume&gt;&lt;number&gt;1&lt;/number&gt;&lt;dates&gt;&lt;year&gt;2017&lt;/year&gt;&lt;/dates&gt;&lt;isbn&gt;0007-1420&lt;/isbn&gt;&lt;urls&gt;&lt;/urls&gt;&lt;/record&gt;&lt;/Cite&gt;&lt;/EndNote&gt;</w:instrText>
            </w:r>
            <w:r w:rsidRPr="00A40F90">
              <w:rPr>
                <w:rFonts w:ascii="Times New Roman" w:hAnsi="Times New Roman" w:cs="Times New Roman"/>
                <w:sz w:val="22"/>
                <w:szCs w:val="22"/>
              </w:rPr>
              <w:fldChar w:fldCharType="separate"/>
            </w:r>
            <w:r w:rsidRPr="00A40F90">
              <w:rPr>
                <w:rFonts w:ascii="Times New Roman" w:hAnsi="Times New Roman" w:cs="Times New Roman"/>
                <w:noProof/>
                <w:sz w:val="22"/>
                <w:szCs w:val="22"/>
              </w:rPr>
              <w:t>Graetz, Rechel, Groot, Norredam &amp; Pavlova, 2017 (32)</w:t>
            </w:r>
            <w:r w:rsidRPr="00A40F90">
              <w:rPr>
                <w:rFonts w:ascii="Times New Roman" w:hAnsi="Times New Roman" w:cs="Times New Roman"/>
                <w:sz w:val="22"/>
                <w:szCs w:val="22"/>
              </w:rPr>
              <w:fldChar w:fldCharType="end"/>
            </w:r>
            <w:r w:rsidRPr="00A40F90">
              <w:rPr>
                <w:rFonts w:ascii="Times New Roman" w:hAnsi="Times New Roman" w:cs="Times New Roman"/>
                <w:sz w:val="22"/>
                <w:szCs w:val="22"/>
              </w:rPr>
              <w:t xml:space="preserve">, </w:t>
            </w:r>
            <w:r w:rsidRPr="00A40F90">
              <w:rPr>
                <w:rStyle w:val="Emphasis"/>
                <w:rFonts w:ascii="Times New Roman" w:hAnsi="Times New Roman" w:cs="Times New Roman"/>
                <w:sz w:val="22"/>
                <w:szCs w:val="22"/>
              </w:rPr>
              <w:t>“the opportunity to reach and obtain appropriate health care services in situations of perceived need for care”</w:t>
            </w:r>
            <w:r w:rsidRPr="00A40F90">
              <w:rPr>
                <w:rFonts w:ascii="Times New Roman" w:hAnsi="Times New Roman" w:cs="Times New Roman"/>
                <w:sz w:val="22"/>
                <w:szCs w:val="22"/>
              </w:rPr>
              <w:t>.</w:t>
            </w:r>
          </w:p>
        </w:tc>
      </w:tr>
      <w:tr w:rsidR="00CD5068" w:rsidRPr="00A40F90" w14:paraId="412FC0AD" w14:textId="77777777" w:rsidTr="00AD39C2">
        <w:tc>
          <w:tcPr>
            <w:tcW w:w="4476" w:type="dxa"/>
          </w:tcPr>
          <w:p w14:paraId="71845DE6" w14:textId="77777777" w:rsidR="00CD5068" w:rsidRPr="00A40F90" w:rsidRDefault="00CD5068" w:rsidP="00AD39C2">
            <w:pPr>
              <w:rPr>
                <w:rFonts w:ascii="Times New Roman" w:hAnsi="Times New Roman" w:cs="Times New Roman"/>
                <w:sz w:val="22"/>
                <w:szCs w:val="22"/>
              </w:rPr>
            </w:pPr>
            <w:r w:rsidRPr="00A40F90">
              <w:rPr>
                <w:rFonts w:ascii="Times New Roman" w:hAnsi="Times New Roman" w:cs="Times New Roman"/>
                <w:b/>
                <w:bCs/>
                <w:sz w:val="22"/>
                <w:szCs w:val="22"/>
              </w:rPr>
              <w:t>Mental health care</w:t>
            </w:r>
          </w:p>
        </w:tc>
        <w:tc>
          <w:tcPr>
            <w:tcW w:w="4540" w:type="dxa"/>
          </w:tcPr>
          <w:p w14:paraId="7E133045"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Mental health care includes an array of diverse services and support at the primary and tertiary level</w:t>
            </w:r>
          </w:p>
        </w:tc>
      </w:tr>
      <w:tr w:rsidR="00CD5068" w:rsidRPr="00A40F90" w14:paraId="35B3DFFF" w14:textId="77777777" w:rsidTr="00AD39C2">
        <w:tc>
          <w:tcPr>
            <w:tcW w:w="4476" w:type="dxa"/>
          </w:tcPr>
          <w:p w14:paraId="5FFF7F31" w14:textId="77777777" w:rsidR="00CD5068" w:rsidRPr="00A40F90" w:rsidRDefault="00CD5068" w:rsidP="00AD39C2">
            <w:pPr>
              <w:rPr>
                <w:rFonts w:ascii="Times New Roman" w:hAnsi="Times New Roman" w:cs="Times New Roman"/>
                <w:sz w:val="22"/>
                <w:szCs w:val="22"/>
              </w:rPr>
            </w:pPr>
            <w:r w:rsidRPr="00A40F90">
              <w:rPr>
                <w:rFonts w:ascii="Times New Roman" w:hAnsi="Times New Roman" w:cs="Times New Roman"/>
                <w:b/>
                <w:bCs/>
                <w:sz w:val="22"/>
                <w:szCs w:val="22"/>
              </w:rPr>
              <w:t>Mental health disorder</w:t>
            </w:r>
          </w:p>
        </w:tc>
        <w:tc>
          <w:tcPr>
            <w:tcW w:w="4540" w:type="dxa"/>
          </w:tcPr>
          <w:p w14:paraId="67BF6C8A"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 xml:space="preserve">A disturbance in an individual’s emotional regulation, cognition and/or behaviour which is clinically significant </w:t>
            </w:r>
            <w:r w:rsidRPr="00A40F90">
              <w:rPr>
                <w:rFonts w:ascii="Times New Roman" w:hAnsi="Times New Roman" w:cs="Times New Roman"/>
                <w:sz w:val="22"/>
                <w:szCs w:val="22"/>
              </w:rPr>
              <w:fldChar w:fldCharType="begin"/>
            </w:r>
            <w:r w:rsidRPr="00A40F90">
              <w:rPr>
                <w:rFonts w:ascii="Times New Roman" w:hAnsi="Times New Roman" w:cs="Times New Roman"/>
                <w:sz w:val="22"/>
                <w:szCs w:val="22"/>
              </w:rPr>
              <w:instrText xml:space="preserve"> ADDIN EN.CITE &lt;EndNote&gt;&lt;Cite&gt;&lt;Author&gt;World Health Organization&lt;/Author&gt;&lt;Year&gt;2022&lt;/Year&gt;&lt;RecNum&gt;87&lt;/RecNum&gt;&lt;DisplayText&gt;(33)&lt;/DisplayText&gt;&lt;record&gt;&lt;rec-number&gt;87&lt;/rec-number&gt;&lt;foreign-keys&gt;&lt;key app="EN" db-id="t9sswpea1ptwz9e0vsnvfa0mtadt9ap2xpf5" timestamp="1697257894"&gt;87&lt;/key&gt;&lt;/foreign-keys&gt;&lt;ref-type name="Web Page"&gt;12&lt;/ref-type&gt;&lt;contributors&gt;&lt;authors&gt;&lt;author&gt;World Health Organization,&lt;/author&gt;&lt;/authors&gt;&lt;/contributors&gt;&lt;titles&gt;&lt;title&gt;Mental disorders&lt;/title&gt;&lt;/titles&gt;&lt;volume&gt;2022&lt;/volume&gt;&lt;number&gt;26 July&lt;/number&gt;&lt;dates&gt;&lt;year&gt;2022&lt;/year&gt;&lt;/dates&gt;&lt;publisher&gt;World Health Organization,&lt;/publisher&gt;&lt;urls&gt;&lt;related-urls&gt;&lt;url&gt;https://www.who.int/news-room/fact-sheets/detail/mental-disorders&lt;/url&gt;&lt;/related-urls&gt;&lt;/urls&gt;&lt;/record&gt;&lt;/Cite&gt;&lt;Cite&gt;&lt;Author&gt;World Health Organization&lt;/Author&gt;&lt;Year&gt;2022&lt;/Year&gt;&lt;RecNum&gt;87&lt;/RecNum&gt;&lt;record&gt;&lt;rec-number&gt;87&lt;/rec-number&gt;&lt;foreign-keys&gt;&lt;key app="EN" db-id="t9sswpea1ptwz9e0vsnvfa0mtadt9ap2xpf5" timestamp="1697257894"&gt;87&lt;/key&gt;&lt;/foreign-keys&gt;&lt;ref-type name="Web Page"&gt;12&lt;/ref-type&gt;&lt;contributors&gt;&lt;authors&gt;&lt;author&gt;World Health Organization,&lt;/author&gt;&lt;/authors&gt;&lt;/contributors&gt;&lt;titles&gt;&lt;title&gt;Mental disorders&lt;/title&gt;&lt;/titles&gt;&lt;volume&gt;2022&lt;/volume&gt;&lt;number&gt;26 July&lt;/number&gt;&lt;dates&gt;&lt;year&gt;2022&lt;/year&gt;&lt;/dates&gt;&lt;publisher&gt;World Health Organization,&lt;/publisher&gt;&lt;urls&gt;&lt;related-urls&gt;&lt;url&gt;https://www.who.int/news-room/fact-sheets/detail/mental-disorders&lt;/url&gt;&lt;/related-urls&gt;&lt;/urls&gt;&lt;/record&gt;&lt;/Cite&gt;&lt;/EndNote&gt;</w:instrText>
            </w:r>
            <w:r w:rsidRPr="00A40F90">
              <w:rPr>
                <w:rFonts w:ascii="Times New Roman" w:hAnsi="Times New Roman" w:cs="Times New Roman"/>
                <w:sz w:val="22"/>
                <w:szCs w:val="22"/>
              </w:rPr>
              <w:fldChar w:fldCharType="separate"/>
            </w:r>
            <w:r w:rsidRPr="00A40F90">
              <w:rPr>
                <w:rFonts w:ascii="Times New Roman" w:hAnsi="Times New Roman" w:cs="Times New Roman"/>
                <w:noProof/>
                <w:sz w:val="22"/>
                <w:szCs w:val="22"/>
              </w:rPr>
              <w:t>(33)</w:t>
            </w:r>
            <w:r w:rsidRPr="00A40F90">
              <w:rPr>
                <w:rFonts w:ascii="Times New Roman" w:hAnsi="Times New Roman" w:cs="Times New Roman"/>
                <w:sz w:val="22"/>
                <w:szCs w:val="22"/>
              </w:rPr>
              <w:fldChar w:fldCharType="end"/>
            </w:r>
          </w:p>
        </w:tc>
      </w:tr>
      <w:tr w:rsidR="00CD5068" w:rsidRPr="00A40F90" w14:paraId="5782C34C" w14:textId="77777777" w:rsidTr="00AD39C2">
        <w:tc>
          <w:tcPr>
            <w:tcW w:w="4476" w:type="dxa"/>
          </w:tcPr>
          <w:p w14:paraId="50A508C3" w14:textId="77777777" w:rsidR="00CD5068" w:rsidRPr="00A40F90" w:rsidRDefault="00CD5068" w:rsidP="00AD39C2">
            <w:pPr>
              <w:rPr>
                <w:rFonts w:ascii="Times New Roman" w:hAnsi="Times New Roman" w:cs="Times New Roman"/>
                <w:sz w:val="22"/>
                <w:szCs w:val="22"/>
              </w:rPr>
            </w:pPr>
            <w:r w:rsidRPr="00A40F90">
              <w:rPr>
                <w:rFonts w:ascii="Times New Roman" w:hAnsi="Times New Roman" w:cs="Times New Roman"/>
                <w:b/>
                <w:bCs/>
                <w:sz w:val="22"/>
                <w:szCs w:val="22"/>
              </w:rPr>
              <w:t>Mental health condition</w:t>
            </w:r>
          </w:p>
        </w:tc>
        <w:tc>
          <w:tcPr>
            <w:tcW w:w="4540" w:type="dxa"/>
          </w:tcPr>
          <w:p w14:paraId="664DF37C"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 xml:space="preserve">This encompasses the risk of self-harm, functional impairments, and disabilities that are psychosocial in nature alongside other mental states related to severe distress and mental health disorders </w:t>
            </w:r>
            <w:r w:rsidRPr="00A40F90">
              <w:rPr>
                <w:rFonts w:ascii="Times New Roman" w:hAnsi="Times New Roman" w:cs="Times New Roman"/>
                <w:sz w:val="22"/>
                <w:szCs w:val="22"/>
              </w:rPr>
              <w:fldChar w:fldCharType="begin"/>
            </w:r>
            <w:r w:rsidRPr="00A40F90">
              <w:rPr>
                <w:rFonts w:ascii="Times New Roman" w:hAnsi="Times New Roman" w:cs="Times New Roman"/>
                <w:sz w:val="22"/>
                <w:szCs w:val="22"/>
              </w:rPr>
              <w:instrText xml:space="preserve"> ADDIN EN.CITE &lt;EndNote&gt;&lt;Cite&gt;&lt;Author&gt;World Health Organization&lt;/Author&gt;&lt;Year&gt;2022&lt;/Year&gt;&lt;RecNum&gt;87&lt;/RecNum&gt;&lt;DisplayText&gt;(33)&lt;/DisplayText&gt;&lt;record&gt;&lt;rec-number&gt;87&lt;/rec-number&gt;&lt;foreign-keys&gt;&lt;key app="EN" db-id="t9sswpea1ptwz9e0vsnvfa0mtadt9ap2xpf5" timestamp="1697257894"&gt;87&lt;/key&gt;&lt;/foreign-keys&gt;&lt;ref-type name="Web Page"&gt;12&lt;/ref-type&gt;&lt;contributors&gt;&lt;authors&gt;&lt;author&gt;World Health Organization,&lt;/author&gt;&lt;/authors&gt;&lt;/contributors&gt;&lt;titles&gt;&lt;title&gt;Mental disorders&lt;/title&gt;&lt;/titles&gt;&lt;volume&gt;2022&lt;/volume&gt;&lt;number&gt;26 July&lt;/number&gt;&lt;dates&gt;&lt;year&gt;2022&lt;/year&gt;&lt;/dates&gt;&lt;publisher&gt;World Health Organization,&lt;/publisher&gt;&lt;urls&gt;&lt;related-urls&gt;&lt;url&gt;https://www.who.int/news-room/fact-sheets/detail/mental-disorders&lt;/url&gt;&lt;/related-urls&gt;&lt;/urls&gt;&lt;/record&gt;&lt;/Cite&gt;&lt;Cite&gt;&lt;Author&gt;World Health Organization&lt;/Author&gt;&lt;Year&gt;2022&lt;/Year&gt;&lt;RecNum&gt;87&lt;/RecNum&gt;&lt;record&gt;&lt;rec-number&gt;87&lt;/rec-number&gt;&lt;foreign-keys&gt;&lt;key app="EN" db-id="t9sswpea1ptwz9e0vsnvfa0mtadt9ap2xpf5" timestamp="1697257894"&gt;87&lt;/key&gt;&lt;/foreign-keys&gt;&lt;ref-type name="Web Page"&gt;12&lt;/ref-type&gt;&lt;contributors&gt;&lt;authors&gt;&lt;author&gt;World Health Organization,&lt;/author&gt;&lt;/authors&gt;&lt;/contributors&gt;&lt;titles&gt;&lt;title&gt;Mental disorders&lt;/title&gt;&lt;/titles&gt;&lt;volume&gt;2022&lt;/volume&gt;&lt;number&gt;26 July&lt;/number&gt;&lt;dates&gt;&lt;year&gt;2022&lt;/year&gt;&lt;/dates&gt;&lt;publisher&gt;World Health Organization,&lt;/publisher&gt;&lt;urls&gt;&lt;related-urls&gt;&lt;url&gt;https://www.who.int/news-room/fact-sheets/detail/mental-disorders&lt;/url&gt;&lt;/related-urls&gt;&lt;/urls&gt;&lt;/record&gt;&lt;/Cite&gt;&lt;/EndNote&gt;</w:instrText>
            </w:r>
            <w:r w:rsidRPr="00A40F90">
              <w:rPr>
                <w:rFonts w:ascii="Times New Roman" w:hAnsi="Times New Roman" w:cs="Times New Roman"/>
                <w:sz w:val="22"/>
                <w:szCs w:val="22"/>
              </w:rPr>
              <w:fldChar w:fldCharType="separate"/>
            </w:r>
            <w:r w:rsidRPr="00A40F90">
              <w:rPr>
                <w:rFonts w:ascii="Times New Roman" w:hAnsi="Times New Roman" w:cs="Times New Roman"/>
                <w:noProof/>
                <w:sz w:val="22"/>
                <w:szCs w:val="22"/>
              </w:rPr>
              <w:t>(33)</w:t>
            </w:r>
            <w:r w:rsidRPr="00A40F90">
              <w:rPr>
                <w:rFonts w:ascii="Times New Roman" w:hAnsi="Times New Roman" w:cs="Times New Roman"/>
                <w:sz w:val="22"/>
                <w:szCs w:val="22"/>
              </w:rPr>
              <w:fldChar w:fldCharType="end"/>
            </w:r>
          </w:p>
        </w:tc>
      </w:tr>
      <w:tr w:rsidR="00CD5068" w:rsidRPr="00A40F90" w14:paraId="06493555" w14:textId="77777777" w:rsidTr="00AD39C2">
        <w:tc>
          <w:tcPr>
            <w:tcW w:w="4476" w:type="dxa"/>
          </w:tcPr>
          <w:p w14:paraId="4E8B1FFD" w14:textId="77777777" w:rsidR="00CD5068" w:rsidRPr="00A40F90" w:rsidRDefault="00CD5068" w:rsidP="00AD39C2">
            <w:pPr>
              <w:rPr>
                <w:rFonts w:ascii="Times New Roman" w:hAnsi="Times New Roman" w:cs="Times New Roman"/>
                <w:sz w:val="22"/>
                <w:szCs w:val="22"/>
              </w:rPr>
            </w:pPr>
            <w:r w:rsidRPr="00A40F90">
              <w:rPr>
                <w:rFonts w:ascii="Times New Roman" w:hAnsi="Times New Roman" w:cs="Times New Roman"/>
                <w:b/>
                <w:bCs/>
                <w:sz w:val="22"/>
                <w:szCs w:val="22"/>
              </w:rPr>
              <w:t>South Asia or South Asian</w:t>
            </w:r>
          </w:p>
        </w:tc>
        <w:tc>
          <w:tcPr>
            <w:tcW w:w="4540" w:type="dxa"/>
          </w:tcPr>
          <w:p w14:paraId="4A56FD88" w14:textId="77777777" w:rsidR="00CD5068" w:rsidRPr="00A40F90" w:rsidRDefault="00CD5068" w:rsidP="00AD39C2">
            <w:pPr>
              <w:jc w:val="both"/>
              <w:rPr>
                <w:rFonts w:ascii="Times New Roman" w:hAnsi="Times New Roman" w:cs="Times New Roman"/>
                <w:sz w:val="22"/>
                <w:szCs w:val="22"/>
              </w:rPr>
            </w:pPr>
            <w:r w:rsidRPr="00A40F90">
              <w:rPr>
                <w:rFonts w:ascii="Times New Roman" w:hAnsi="Times New Roman" w:cs="Times New Roman"/>
                <w:sz w:val="22"/>
                <w:szCs w:val="22"/>
              </w:rPr>
              <w:t xml:space="preserve">The following eight nations, as per the South Asian Association for Regional Cooperation definition of SA: Afghanistan, Bangladesh, </w:t>
            </w:r>
            <w:r w:rsidRPr="00A40F90">
              <w:rPr>
                <w:rFonts w:ascii="Times New Roman" w:hAnsi="Times New Roman" w:cs="Times New Roman"/>
                <w:sz w:val="22"/>
                <w:szCs w:val="22"/>
              </w:rPr>
              <w:lastRenderedPageBreak/>
              <w:t xml:space="preserve">Bhutan, India, Maldives, Nepal, Pakistan, and Sri Lanka </w:t>
            </w:r>
            <w:r w:rsidRPr="00A40F90">
              <w:rPr>
                <w:rFonts w:ascii="Times New Roman" w:hAnsi="Times New Roman" w:cs="Times New Roman"/>
                <w:sz w:val="22"/>
                <w:szCs w:val="22"/>
              </w:rPr>
              <w:fldChar w:fldCharType="begin"/>
            </w:r>
            <w:r w:rsidRPr="00A40F90">
              <w:rPr>
                <w:rFonts w:ascii="Times New Roman" w:hAnsi="Times New Roman" w:cs="Times New Roman"/>
                <w:sz w:val="22"/>
                <w:szCs w:val="22"/>
              </w:rPr>
              <w:instrText xml:space="preserve"> ADDIN EN.CITE &lt;EndNote&gt;&lt;Cite&gt;&lt;Author&gt;The South Asian Association for Regional Cooperation&lt;/Author&gt;&lt;Year&gt;[updated 2020; cited 2023 Oct 15]&lt;/Year&gt;&lt;RecNum&gt;7&lt;/RecNum&gt;&lt;DisplayText&gt;(7)&lt;/DisplayText&gt;&lt;record&gt;&lt;rec-number&gt;7&lt;/rec-number&gt;&lt;foreign-keys&gt;&lt;key app="EN" db-id="axxazezsn9f2wpe0ds9pvxx1pvfz02ppad9x" timestamp="1721709301"&gt;7&lt;/key&gt;&lt;/foreign-keys&gt;&lt;ref-type name="Web Page"&gt;12&lt;/ref-type&gt;&lt;contributors&gt;&lt;authors&gt;&lt;author&gt;The South Asian Association for Regional Cooperation,&lt;/author&gt;&lt;/authors&gt;&lt;/contributors&gt;&lt;titles&gt;&lt;title&gt;About SAARC [Internet].&lt;/title&gt;&lt;/titles&gt;&lt;volume&gt;2023&lt;/volume&gt;&lt;number&gt;20 August&lt;/number&gt;&lt;dates&gt;&lt;year&gt;[updated 2020; cited 2023 Oct 15]&lt;/year&gt;&lt;/dates&gt;&lt;pub-location&gt;Nepal&lt;/pub-location&gt;&lt;publisher&gt;The South Asian Association for Regional Cooperation&lt;/publisher&gt;&lt;urls&gt;&lt;related-urls&gt;&lt;url&gt;https://www.saarc-sec.org/index.php/about-saarc/about-saarc&lt;/url&gt;&lt;/related-urls&gt;&lt;/urls&gt;&lt;/record&gt;&lt;/Cite&gt;&lt;/EndNote&gt;</w:instrText>
            </w:r>
            <w:r w:rsidRPr="00A40F90">
              <w:rPr>
                <w:rFonts w:ascii="Times New Roman" w:hAnsi="Times New Roman" w:cs="Times New Roman"/>
                <w:sz w:val="22"/>
                <w:szCs w:val="22"/>
              </w:rPr>
              <w:fldChar w:fldCharType="separate"/>
            </w:r>
            <w:r w:rsidRPr="00A40F90">
              <w:rPr>
                <w:rFonts w:ascii="Times New Roman" w:hAnsi="Times New Roman" w:cs="Times New Roman"/>
                <w:noProof/>
                <w:sz w:val="22"/>
                <w:szCs w:val="22"/>
              </w:rPr>
              <w:t>(7)</w:t>
            </w:r>
            <w:r w:rsidRPr="00A40F90">
              <w:rPr>
                <w:rFonts w:ascii="Times New Roman" w:hAnsi="Times New Roman" w:cs="Times New Roman"/>
                <w:sz w:val="22"/>
                <w:szCs w:val="22"/>
              </w:rPr>
              <w:fldChar w:fldCharType="end"/>
            </w:r>
          </w:p>
        </w:tc>
      </w:tr>
    </w:tbl>
    <w:p w14:paraId="5F094BA5" w14:textId="77777777" w:rsidR="0068777A" w:rsidRDefault="0068777A" w:rsidP="00AA15BA">
      <w:pPr>
        <w:pStyle w:val="Subtitle"/>
      </w:pPr>
    </w:p>
    <w:p w14:paraId="12AC5C44" w14:textId="77777777" w:rsidR="0057742E" w:rsidRDefault="0057742E" w:rsidP="0057742E"/>
    <w:p w14:paraId="02C05C4E" w14:textId="77777777" w:rsidR="0057742E" w:rsidRPr="0057742E" w:rsidRDefault="0057742E" w:rsidP="0057742E">
      <w:pPr>
        <w:pStyle w:val="Heading2"/>
        <w:spacing w:before="0"/>
        <w:rPr>
          <w:rFonts w:ascii="Times New Roman" w:hAnsi="Times New Roman" w:cs="Times New Roman"/>
          <w:color w:val="auto"/>
          <w:sz w:val="24"/>
          <w:szCs w:val="24"/>
        </w:rPr>
      </w:pPr>
      <w:r w:rsidRPr="000A124E">
        <w:rPr>
          <w:rFonts w:ascii="Times New Roman" w:hAnsi="Times New Roman" w:cs="Times New Roman"/>
          <w:b/>
          <w:bCs/>
          <w:color w:val="auto"/>
          <w:sz w:val="24"/>
          <w:szCs w:val="24"/>
        </w:rPr>
        <w:t>Table 3:</w:t>
      </w:r>
      <w:r w:rsidRPr="0057742E">
        <w:rPr>
          <w:rFonts w:ascii="Times New Roman" w:hAnsi="Times New Roman" w:cs="Times New Roman"/>
          <w:color w:val="auto"/>
          <w:sz w:val="24"/>
          <w:szCs w:val="24"/>
        </w:rPr>
        <w:t xml:space="preserve"> Inclusion and exclusion criteria</w:t>
      </w:r>
    </w:p>
    <w:tbl>
      <w:tblPr>
        <w:tblStyle w:val="TableGrid"/>
        <w:tblpPr w:leftFromText="180" w:rightFromText="180" w:vertAnchor="text" w:horzAnchor="margin" w:tblpY="120"/>
        <w:tblW w:w="8926" w:type="dxa"/>
        <w:tblLook w:val="04A0" w:firstRow="1" w:lastRow="0" w:firstColumn="1" w:lastColumn="0" w:noHBand="0" w:noVBand="1"/>
      </w:tblPr>
      <w:tblGrid>
        <w:gridCol w:w="1242"/>
        <w:gridCol w:w="7684"/>
      </w:tblGrid>
      <w:tr w:rsidR="0057742E" w:rsidRPr="0057742E" w14:paraId="2E103325" w14:textId="77777777" w:rsidTr="00AD39C2">
        <w:trPr>
          <w:trHeight w:val="19"/>
        </w:trPr>
        <w:tc>
          <w:tcPr>
            <w:tcW w:w="1242" w:type="dxa"/>
            <w:vMerge w:val="restart"/>
          </w:tcPr>
          <w:p w14:paraId="28A1CDCA" w14:textId="77777777" w:rsidR="0057742E" w:rsidRPr="0057742E" w:rsidRDefault="0057742E" w:rsidP="00AD39C2">
            <w:pPr>
              <w:jc w:val="both"/>
              <w:rPr>
                <w:rFonts w:ascii="Times New Roman" w:hAnsi="Times New Roman" w:cs="Times New Roman"/>
                <w:b/>
                <w:bCs/>
                <w:sz w:val="22"/>
                <w:szCs w:val="22"/>
              </w:rPr>
            </w:pPr>
            <w:r w:rsidRPr="0057742E">
              <w:rPr>
                <w:rFonts w:ascii="Times New Roman" w:hAnsi="Times New Roman" w:cs="Times New Roman"/>
                <w:b/>
                <w:bCs/>
                <w:sz w:val="22"/>
                <w:szCs w:val="22"/>
              </w:rPr>
              <w:t>Inclusion criteria</w:t>
            </w:r>
          </w:p>
        </w:tc>
        <w:tc>
          <w:tcPr>
            <w:tcW w:w="7684" w:type="dxa"/>
          </w:tcPr>
          <w:p w14:paraId="626093BA" w14:textId="77777777" w:rsidR="0057742E" w:rsidRPr="0057742E" w:rsidRDefault="0057742E" w:rsidP="0057742E">
            <w:pPr>
              <w:pStyle w:val="ListParagraph"/>
              <w:numPr>
                <w:ilvl w:val="0"/>
                <w:numId w:val="1"/>
              </w:numPr>
              <w:jc w:val="both"/>
              <w:textAlignment w:val="baseline"/>
              <w:rPr>
                <w:rFonts w:ascii="Times New Roman" w:hAnsi="Times New Roman" w:cs="Times New Roman"/>
                <w:i/>
                <w:iCs/>
                <w:sz w:val="22"/>
                <w:szCs w:val="22"/>
              </w:rPr>
            </w:pPr>
            <w:r w:rsidRPr="0057742E">
              <w:rPr>
                <w:rFonts w:ascii="Times New Roman" w:hAnsi="Times New Roman" w:cs="Times New Roman"/>
                <w:sz w:val="22"/>
                <w:szCs w:val="22"/>
              </w:rPr>
              <w:t>Qualitative data (in purely qualitative or mixed methods studies)</w:t>
            </w:r>
          </w:p>
        </w:tc>
      </w:tr>
      <w:tr w:rsidR="0057742E" w:rsidRPr="0057742E" w14:paraId="30E13858" w14:textId="77777777" w:rsidTr="00AD39C2">
        <w:trPr>
          <w:trHeight w:val="20"/>
        </w:trPr>
        <w:tc>
          <w:tcPr>
            <w:tcW w:w="1242" w:type="dxa"/>
            <w:vMerge/>
          </w:tcPr>
          <w:p w14:paraId="3E86CD7C"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5485ECFB"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Published in English</w:t>
            </w:r>
          </w:p>
        </w:tc>
      </w:tr>
      <w:tr w:rsidR="0057742E" w:rsidRPr="0057742E" w14:paraId="7A8C291C" w14:textId="77777777" w:rsidTr="00AD39C2">
        <w:trPr>
          <w:trHeight w:val="20"/>
        </w:trPr>
        <w:tc>
          <w:tcPr>
            <w:tcW w:w="1242" w:type="dxa"/>
            <w:vMerge/>
          </w:tcPr>
          <w:p w14:paraId="4B3B55AB"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3E5268D3"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Published between 1/1/2000 and 01/01/2023</w:t>
            </w:r>
          </w:p>
        </w:tc>
      </w:tr>
      <w:tr w:rsidR="0057742E" w:rsidRPr="0057742E" w14:paraId="582AEE9D" w14:textId="77777777" w:rsidTr="00AD39C2">
        <w:trPr>
          <w:trHeight w:val="20"/>
        </w:trPr>
        <w:tc>
          <w:tcPr>
            <w:tcW w:w="1242" w:type="dxa"/>
            <w:vMerge/>
          </w:tcPr>
          <w:p w14:paraId="6E121BCB"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47C12811"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Studies conducted in four high-income nations with large SA diasporas (UK, USA, Australia and Canada)</w:t>
            </w:r>
          </w:p>
        </w:tc>
      </w:tr>
      <w:tr w:rsidR="0057742E" w:rsidRPr="0057742E" w14:paraId="10A5834E" w14:textId="77777777" w:rsidTr="00AD39C2">
        <w:trPr>
          <w:trHeight w:val="20"/>
        </w:trPr>
        <w:tc>
          <w:tcPr>
            <w:tcW w:w="1242" w:type="dxa"/>
            <w:vMerge/>
          </w:tcPr>
          <w:p w14:paraId="0210E018"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5C71B123"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Related to MH care access </w:t>
            </w:r>
          </w:p>
        </w:tc>
      </w:tr>
      <w:tr w:rsidR="0057742E" w:rsidRPr="0057742E" w14:paraId="1892844F" w14:textId="77777777" w:rsidTr="00AD39C2">
        <w:trPr>
          <w:trHeight w:val="20"/>
        </w:trPr>
        <w:tc>
          <w:tcPr>
            <w:tcW w:w="1242" w:type="dxa"/>
            <w:vMerge/>
          </w:tcPr>
          <w:p w14:paraId="38AB0DEB"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1541CE42"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All ages and genders </w:t>
            </w:r>
          </w:p>
        </w:tc>
      </w:tr>
      <w:tr w:rsidR="0057742E" w:rsidRPr="0057742E" w14:paraId="4B138CB6" w14:textId="77777777" w:rsidTr="00AD39C2">
        <w:trPr>
          <w:trHeight w:val="1119"/>
        </w:trPr>
        <w:tc>
          <w:tcPr>
            <w:tcW w:w="1242" w:type="dxa"/>
            <w:vMerge/>
          </w:tcPr>
          <w:p w14:paraId="47EA855E"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0B0B499C"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Specific to SA people (of all ages and regardless of migration) including individuals from one or more of the following eight nations as per the South Asian Association for Regional Cooperation definition of SA: Afghanistan, Bangladesh, Bhutan, India, Maldives, Nepal, Pakistan, and Sri Lanka </w:t>
            </w:r>
            <w:r w:rsidRPr="0057742E">
              <w:rPr>
                <w:rFonts w:ascii="Times New Roman" w:hAnsi="Times New Roman" w:cs="Times New Roman"/>
                <w:sz w:val="22"/>
                <w:szCs w:val="22"/>
              </w:rPr>
              <w:fldChar w:fldCharType="begin"/>
            </w:r>
            <w:r w:rsidRPr="0057742E">
              <w:rPr>
                <w:rFonts w:ascii="Times New Roman" w:hAnsi="Times New Roman" w:cs="Times New Roman"/>
                <w:sz w:val="22"/>
                <w:szCs w:val="22"/>
              </w:rPr>
              <w:instrText xml:space="preserve"> ADDIN EN.CITE &lt;EndNote&gt;&lt;Cite&gt;&lt;Author&gt;The South Asian Association for Regional Cooperation&lt;/Author&gt;&lt;Year&gt;[updated 2020; cited 2023 Oct 15]&lt;/Year&gt;&lt;RecNum&gt;7&lt;/RecNum&gt;&lt;DisplayText&gt;(7)&lt;/DisplayText&gt;&lt;record&gt;&lt;rec-number&gt;7&lt;/rec-number&gt;&lt;foreign-keys&gt;&lt;key app="EN" db-id="axxazezsn9f2wpe0ds9pvxx1pvfz02ppad9x" timestamp="1721709301"&gt;7&lt;/key&gt;&lt;/foreign-keys&gt;&lt;ref-type name="Web Page"&gt;12&lt;/ref-type&gt;&lt;contributors&gt;&lt;authors&gt;&lt;author&gt;The South Asian Association for Regional Cooperation,&lt;/author&gt;&lt;/authors&gt;&lt;/contributors&gt;&lt;titles&gt;&lt;title&gt;About SAARC [Internet].&lt;/title&gt;&lt;/titles&gt;&lt;volume&gt;2023&lt;/volume&gt;&lt;number&gt;20 August&lt;/number&gt;&lt;dates&gt;&lt;year&gt;[updated 2020; cited 2023 Oct 15]&lt;/year&gt;&lt;/dates&gt;&lt;pub-location&gt;Nepal&lt;/pub-location&gt;&lt;publisher&gt;The South Asian Association for Regional Cooperation&lt;/publisher&gt;&lt;urls&gt;&lt;related-urls&gt;&lt;url&gt;https://www.saarc-sec.org/index.php/about-saarc/about-saarc&lt;/url&gt;&lt;/related-urls&gt;&lt;/urls&gt;&lt;/record&gt;&lt;/Cite&gt;&lt;/EndNote&gt;</w:instrText>
            </w:r>
            <w:r w:rsidRPr="0057742E">
              <w:rPr>
                <w:rFonts w:ascii="Times New Roman" w:hAnsi="Times New Roman" w:cs="Times New Roman"/>
                <w:sz w:val="22"/>
                <w:szCs w:val="22"/>
              </w:rPr>
              <w:fldChar w:fldCharType="separate"/>
            </w:r>
            <w:r w:rsidRPr="0057742E">
              <w:rPr>
                <w:rFonts w:ascii="Times New Roman" w:hAnsi="Times New Roman" w:cs="Times New Roman"/>
                <w:noProof/>
                <w:sz w:val="22"/>
                <w:szCs w:val="22"/>
              </w:rPr>
              <w:t>(7)</w:t>
            </w:r>
            <w:r w:rsidRPr="0057742E">
              <w:rPr>
                <w:rFonts w:ascii="Times New Roman" w:hAnsi="Times New Roman" w:cs="Times New Roman"/>
                <w:sz w:val="22"/>
                <w:szCs w:val="22"/>
              </w:rPr>
              <w:fldChar w:fldCharType="end"/>
            </w:r>
          </w:p>
        </w:tc>
      </w:tr>
      <w:tr w:rsidR="0057742E" w:rsidRPr="0057742E" w14:paraId="4966F978" w14:textId="77777777" w:rsidTr="00AD39C2">
        <w:trPr>
          <w:trHeight w:val="20"/>
        </w:trPr>
        <w:tc>
          <w:tcPr>
            <w:tcW w:w="1242" w:type="dxa"/>
            <w:vMerge/>
          </w:tcPr>
          <w:p w14:paraId="4809EDF2"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3FFA2FDC"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Studies with single-heritage SA populations (only SA people) or multi-heritage studies (more than one ethnic group included in the study)</w:t>
            </w:r>
          </w:p>
          <w:p w14:paraId="7C0AE7AE"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Participants in these studies are individuals of all genders and ages who have</w:t>
            </w:r>
          </w:p>
        </w:tc>
      </w:tr>
      <w:tr w:rsidR="0057742E" w:rsidRPr="0057742E" w14:paraId="79EAC02D" w14:textId="77777777" w:rsidTr="00AD39C2">
        <w:trPr>
          <w:trHeight w:val="20"/>
        </w:trPr>
        <w:tc>
          <w:tcPr>
            <w:tcW w:w="1242" w:type="dxa"/>
            <w:vMerge/>
          </w:tcPr>
          <w:p w14:paraId="0E7D42CB"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7678232F"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Migrated from SA, of SA origin (regardless of cohort of migration) or self-identified SA background. </w:t>
            </w:r>
          </w:p>
        </w:tc>
      </w:tr>
      <w:tr w:rsidR="0057742E" w:rsidRPr="0057742E" w14:paraId="26000313" w14:textId="77777777" w:rsidTr="00AD39C2">
        <w:trPr>
          <w:trHeight w:val="20"/>
        </w:trPr>
        <w:tc>
          <w:tcPr>
            <w:tcW w:w="1242" w:type="dxa"/>
            <w:vMerge/>
          </w:tcPr>
          <w:p w14:paraId="3DDB7329" w14:textId="77777777" w:rsidR="0057742E" w:rsidRPr="0057742E" w:rsidRDefault="0057742E" w:rsidP="00AD39C2">
            <w:pPr>
              <w:jc w:val="both"/>
              <w:rPr>
                <w:rFonts w:ascii="Times New Roman" w:hAnsi="Times New Roman" w:cs="Times New Roman"/>
                <w:b/>
                <w:bCs/>
                <w:sz w:val="22"/>
                <w:szCs w:val="22"/>
              </w:rPr>
            </w:pPr>
          </w:p>
        </w:tc>
        <w:tc>
          <w:tcPr>
            <w:tcW w:w="7684" w:type="dxa"/>
          </w:tcPr>
          <w:p w14:paraId="26DDCCA1"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Peer review</w:t>
            </w:r>
          </w:p>
        </w:tc>
      </w:tr>
      <w:tr w:rsidR="0057742E" w:rsidRPr="0057742E" w14:paraId="2D3EC722" w14:textId="77777777" w:rsidTr="00AD39C2">
        <w:trPr>
          <w:trHeight w:val="20"/>
        </w:trPr>
        <w:tc>
          <w:tcPr>
            <w:tcW w:w="1242" w:type="dxa"/>
            <w:vMerge w:val="restart"/>
          </w:tcPr>
          <w:p w14:paraId="6982A76C" w14:textId="77777777" w:rsidR="0057742E" w:rsidRPr="0057742E" w:rsidRDefault="0057742E" w:rsidP="00AD39C2">
            <w:pPr>
              <w:jc w:val="both"/>
              <w:rPr>
                <w:rFonts w:ascii="Times New Roman" w:hAnsi="Times New Roman" w:cs="Times New Roman"/>
                <w:b/>
                <w:bCs/>
                <w:sz w:val="22"/>
                <w:szCs w:val="22"/>
              </w:rPr>
            </w:pPr>
            <w:r w:rsidRPr="0057742E">
              <w:rPr>
                <w:rFonts w:ascii="Times New Roman" w:hAnsi="Times New Roman" w:cs="Times New Roman"/>
                <w:b/>
                <w:bCs/>
                <w:sz w:val="22"/>
                <w:szCs w:val="22"/>
              </w:rPr>
              <w:t>Exclusion criteria</w:t>
            </w:r>
          </w:p>
        </w:tc>
        <w:tc>
          <w:tcPr>
            <w:tcW w:w="7684" w:type="dxa"/>
          </w:tcPr>
          <w:p w14:paraId="545DCAED"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Non-English studies</w:t>
            </w:r>
          </w:p>
        </w:tc>
      </w:tr>
      <w:tr w:rsidR="0057742E" w:rsidRPr="0057742E" w14:paraId="6DC88EC0" w14:textId="77777777" w:rsidTr="00AD39C2">
        <w:trPr>
          <w:trHeight w:val="20"/>
        </w:trPr>
        <w:tc>
          <w:tcPr>
            <w:tcW w:w="1242" w:type="dxa"/>
            <w:vMerge/>
          </w:tcPr>
          <w:p w14:paraId="5C6A1F71" w14:textId="77777777" w:rsidR="0057742E" w:rsidRPr="0057742E" w:rsidRDefault="0057742E" w:rsidP="00AD39C2">
            <w:pPr>
              <w:jc w:val="both"/>
              <w:rPr>
                <w:rFonts w:ascii="Times New Roman" w:hAnsi="Times New Roman" w:cs="Times New Roman"/>
                <w:sz w:val="22"/>
                <w:szCs w:val="22"/>
              </w:rPr>
            </w:pPr>
          </w:p>
        </w:tc>
        <w:tc>
          <w:tcPr>
            <w:tcW w:w="7684" w:type="dxa"/>
          </w:tcPr>
          <w:p w14:paraId="6E4525D0"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Quantitative data, </w:t>
            </w:r>
          </w:p>
        </w:tc>
      </w:tr>
      <w:tr w:rsidR="0057742E" w:rsidRPr="0057742E" w14:paraId="3261B562" w14:textId="77777777" w:rsidTr="00AD39C2">
        <w:trPr>
          <w:trHeight w:val="20"/>
        </w:trPr>
        <w:tc>
          <w:tcPr>
            <w:tcW w:w="1242" w:type="dxa"/>
            <w:vMerge/>
          </w:tcPr>
          <w:p w14:paraId="4219550F" w14:textId="77777777" w:rsidR="0057742E" w:rsidRPr="0057742E" w:rsidRDefault="0057742E" w:rsidP="00AD39C2">
            <w:pPr>
              <w:jc w:val="both"/>
              <w:rPr>
                <w:rFonts w:ascii="Times New Roman" w:hAnsi="Times New Roman" w:cs="Times New Roman"/>
                <w:sz w:val="22"/>
                <w:szCs w:val="22"/>
              </w:rPr>
            </w:pPr>
          </w:p>
        </w:tc>
        <w:tc>
          <w:tcPr>
            <w:tcW w:w="7684" w:type="dxa"/>
          </w:tcPr>
          <w:p w14:paraId="60E0FD49"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Publications including letters to the editors, reviews, commentaries, and editorials </w:t>
            </w:r>
          </w:p>
        </w:tc>
      </w:tr>
      <w:tr w:rsidR="0057742E" w:rsidRPr="0057742E" w14:paraId="241611E0" w14:textId="77777777" w:rsidTr="00AD39C2">
        <w:trPr>
          <w:trHeight w:val="20"/>
        </w:trPr>
        <w:tc>
          <w:tcPr>
            <w:tcW w:w="1242" w:type="dxa"/>
            <w:vMerge/>
          </w:tcPr>
          <w:p w14:paraId="69783E9A" w14:textId="77777777" w:rsidR="0057742E" w:rsidRPr="0057742E" w:rsidRDefault="0057742E" w:rsidP="00AD39C2">
            <w:pPr>
              <w:jc w:val="both"/>
              <w:rPr>
                <w:rFonts w:ascii="Times New Roman" w:hAnsi="Times New Roman" w:cs="Times New Roman"/>
                <w:sz w:val="22"/>
                <w:szCs w:val="22"/>
              </w:rPr>
            </w:pPr>
          </w:p>
        </w:tc>
        <w:tc>
          <w:tcPr>
            <w:tcW w:w="7684" w:type="dxa"/>
          </w:tcPr>
          <w:p w14:paraId="45067728" w14:textId="77777777" w:rsidR="0057742E" w:rsidRPr="0057742E" w:rsidRDefault="0057742E" w:rsidP="0057742E">
            <w:pPr>
              <w:pStyle w:val="ListParagraph"/>
              <w:numPr>
                <w:ilvl w:val="0"/>
                <w:numId w:val="1"/>
              </w:numPr>
              <w:jc w:val="both"/>
              <w:textAlignment w:val="baseline"/>
              <w:rPr>
                <w:rFonts w:ascii="Times New Roman" w:hAnsi="Times New Roman" w:cs="Times New Roman"/>
                <w:sz w:val="22"/>
                <w:szCs w:val="22"/>
              </w:rPr>
            </w:pPr>
            <w:r w:rsidRPr="0057742E">
              <w:rPr>
                <w:rFonts w:ascii="Times New Roman" w:hAnsi="Times New Roman" w:cs="Times New Roman"/>
                <w:sz w:val="22"/>
                <w:szCs w:val="22"/>
              </w:rPr>
              <w:t xml:space="preserve">Studies irrelevant to the study population or did not highlight SA-specific information amongst other study populations </w:t>
            </w:r>
          </w:p>
        </w:tc>
      </w:tr>
    </w:tbl>
    <w:p w14:paraId="7DB877C4" w14:textId="77777777" w:rsidR="0057742E" w:rsidRPr="0057742E" w:rsidRDefault="0057742E" w:rsidP="0057742E">
      <w:pPr>
        <w:jc w:val="both"/>
        <w:rPr>
          <w:rFonts w:ascii="Times New Roman" w:hAnsi="Times New Roman" w:cs="Times New Roman"/>
          <w:sz w:val="22"/>
          <w:szCs w:val="22"/>
        </w:rPr>
      </w:pPr>
    </w:p>
    <w:p w14:paraId="6590E57A" w14:textId="77777777" w:rsidR="0057742E" w:rsidRPr="0057742E" w:rsidRDefault="0057742E" w:rsidP="0057742E"/>
    <w:sectPr w:rsidR="0057742E" w:rsidRPr="005774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FA435F"/>
    <w:multiLevelType w:val="multilevel"/>
    <w:tmpl w:val="A500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513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7A"/>
    <w:rsid w:val="00031322"/>
    <w:rsid w:val="000A124E"/>
    <w:rsid w:val="00287B8F"/>
    <w:rsid w:val="00292D18"/>
    <w:rsid w:val="003630C0"/>
    <w:rsid w:val="003B30A2"/>
    <w:rsid w:val="0057742E"/>
    <w:rsid w:val="0068777A"/>
    <w:rsid w:val="008C135F"/>
    <w:rsid w:val="00944250"/>
    <w:rsid w:val="009D02BB"/>
    <w:rsid w:val="00A10054"/>
    <w:rsid w:val="00A77C61"/>
    <w:rsid w:val="00AA15BA"/>
    <w:rsid w:val="00B06989"/>
    <w:rsid w:val="00BE068F"/>
    <w:rsid w:val="00CD5068"/>
    <w:rsid w:val="00EC5D34"/>
    <w:rsid w:val="00F90994"/>
    <w:rsid w:val="00FB15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66969"/>
  <w15:chartTrackingRefBased/>
  <w15:docId w15:val="{5319C993-DC36-4FB8-A5D7-4A72E9990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61"/>
    <w:pPr>
      <w:spacing w:after="0" w:line="240" w:lineRule="auto"/>
    </w:pPr>
  </w:style>
  <w:style w:type="paragraph" w:styleId="Heading1">
    <w:name w:val="heading 1"/>
    <w:basedOn w:val="Normal"/>
    <w:next w:val="Normal"/>
    <w:link w:val="Heading1Char"/>
    <w:uiPriority w:val="9"/>
    <w:qFormat/>
    <w:rsid w:val="00687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7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7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7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7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77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77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77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77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7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7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7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7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7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7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7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777A"/>
    <w:rPr>
      <w:rFonts w:eastAsiaTheme="majorEastAsia" w:cstheme="majorBidi"/>
      <w:color w:val="272727" w:themeColor="text1" w:themeTint="D8"/>
    </w:rPr>
  </w:style>
  <w:style w:type="paragraph" w:styleId="Title">
    <w:name w:val="Title"/>
    <w:basedOn w:val="Normal"/>
    <w:next w:val="Normal"/>
    <w:link w:val="TitleChar"/>
    <w:uiPriority w:val="10"/>
    <w:qFormat/>
    <w:rsid w:val="006877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7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7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7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777A"/>
    <w:pPr>
      <w:spacing w:before="160"/>
      <w:jc w:val="center"/>
    </w:pPr>
    <w:rPr>
      <w:i/>
      <w:iCs/>
      <w:color w:val="404040" w:themeColor="text1" w:themeTint="BF"/>
    </w:rPr>
  </w:style>
  <w:style w:type="character" w:customStyle="1" w:styleId="QuoteChar">
    <w:name w:val="Quote Char"/>
    <w:basedOn w:val="DefaultParagraphFont"/>
    <w:link w:val="Quote"/>
    <w:uiPriority w:val="29"/>
    <w:rsid w:val="0068777A"/>
    <w:rPr>
      <w:i/>
      <w:iCs/>
      <w:color w:val="404040" w:themeColor="text1" w:themeTint="BF"/>
    </w:rPr>
  </w:style>
  <w:style w:type="paragraph" w:styleId="ListParagraph">
    <w:name w:val="List Paragraph"/>
    <w:basedOn w:val="Normal"/>
    <w:link w:val="ListParagraphChar"/>
    <w:uiPriority w:val="34"/>
    <w:qFormat/>
    <w:rsid w:val="0068777A"/>
    <w:pPr>
      <w:ind w:left="720"/>
      <w:contextualSpacing/>
    </w:pPr>
  </w:style>
  <w:style w:type="character" w:styleId="IntenseEmphasis">
    <w:name w:val="Intense Emphasis"/>
    <w:basedOn w:val="DefaultParagraphFont"/>
    <w:uiPriority w:val="21"/>
    <w:qFormat/>
    <w:rsid w:val="0068777A"/>
    <w:rPr>
      <w:i/>
      <w:iCs/>
      <w:color w:val="0F4761" w:themeColor="accent1" w:themeShade="BF"/>
    </w:rPr>
  </w:style>
  <w:style w:type="paragraph" w:styleId="IntenseQuote">
    <w:name w:val="Intense Quote"/>
    <w:basedOn w:val="Normal"/>
    <w:next w:val="Normal"/>
    <w:link w:val="IntenseQuoteChar"/>
    <w:uiPriority w:val="30"/>
    <w:qFormat/>
    <w:rsid w:val="00687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777A"/>
    <w:rPr>
      <w:i/>
      <w:iCs/>
      <w:color w:val="0F4761" w:themeColor="accent1" w:themeShade="BF"/>
    </w:rPr>
  </w:style>
  <w:style w:type="character" w:styleId="IntenseReference">
    <w:name w:val="Intense Reference"/>
    <w:basedOn w:val="DefaultParagraphFont"/>
    <w:uiPriority w:val="32"/>
    <w:qFormat/>
    <w:rsid w:val="0068777A"/>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A77C61"/>
  </w:style>
  <w:style w:type="table" w:styleId="TableGridLight">
    <w:name w:val="Grid Table Light"/>
    <w:basedOn w:val="TableNormal"/>
    <w:uiPriority w:val="40"/>
    <w:rsid w:val="00A77C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287B8F"/>
    <w:rPr>
      <w:i/>
      <w:iCs/>
    </w:rPr>
  </w:style>
  <w:style w:type="table" w:styleId="TableGrid">
    <w:name w:val="Table Grid"/>
    <w:basedOn w:val="TableNormal"/>
    <w:uiPriority w:val="39"/>
    <w:rsid w:val="00287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15A6"/>
    <w:rPr>
      <w:sz w:val="16"/>
      <w:szCs w:val="16"/>
    </w:rPr>
  </w:style>
  <w:style w:type="paragraph" w:styleId="CommentText">
    <w:name w:val="annotation text"/>
    <w:basedOn w:val="Normal"/>
    <w:link w:val="CommentTextChar"/>
    <w:uiPriority w:val="99"/>
    <w:unhideWhenUsed/>
    <w:rsid w:val="00FB15A6"/>
    <w:rPr>
      <w:sz w:val="20"/>
      <w:szCs w:val="20"/>
    </w:rPr>
  </w:style>
  <w:style w:type="character" w:customStyle="1" w:styleId="CommentTextChar">
    <w:name w:val="Comment Text Char"/>
    <w:basedOn w:val="DefaultParagraphFont"/>
    <w:link w:val="CommentText"/>
    <w:uiPriority w:val="99"/>
    <w:rsid w:val="00FB15A6"/>
    <w:rPr>
      <w:sz w:val="20"/>
      <w:szCs w:val="20"/>
    </w:rPr>
  </w:style>
  <w:style w:type="paragraph" w:styleId="CommentSubject">
    <w:name w:val="annotation subject"/>
    <w:basedOn w:val="CommentText"/>
    <w:next w:val="CommentText"/>
    <w:link w:val="CommentSubjectChar"/>
    <w:uiPriority w:val="99"/>
    <w:semiHidden/>
    <w:unhideWhenUsed/>
    <w:rsid w:val="00FB15A6"/>
    <w:rPr>
      <w:b/>
      <w:bCs/>
    </w:rPr>
  </w:style>
  <w:style w:type="character" w:customStyle="1" w:styleId="CommentSubjectChar">
    <w:name w:val="Comment Subject Char"/>
    <w:basedOn w:val="CommentTextChar"/>
    <w:link w:val="CommentSubject"/>
    <w:uiPriority w:val="99"/>
    <w:semiHidden/>
    <w:rsid w:val="00FB15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491</Words>
  <Characters>2904</Characters>
  <Application>Microsoft Office Word</Application>
  <DocSecurity>0</DocSecurity>
  <Lines>112</Lines>
  <Paragraphs>49</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Yadav</dc:creator>
  <cp:keywords/>
  <dc:description/>
  <cp:lastModifiedBy>Uday Yadav</cp:lastModifiedBy>
  <cp:revision>15</cp:revision>
  <dcterms:created xsi:type="dcterms:W3CDTF">2024-07-20T22:41:00Z</dcterms:created>
  <dcterms:modified xsi:type="dcterms:W3CDTF">2024-07-28T08:28:00Z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30cf35201c70667f774e17c9af7646805404bb66d0ff8ce328cd2c86e80d9ab5</vt:lpwstr>
  </property>
</Properties>
</file>