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DB7725" w14:textId="27769498" w:rsidR="00E90742" w:rsidRDefault="00E90742"/>
    <w:p w14:paraId="10D97D63" w14:textId="4BBFF687" w:rsidR="00D0649B" w:rsidRDefault="002D1447">
      <w:r w:rsidRPr="002D1447">
        <w:rPr>
          <w:noProof/>
        </w:rPr>
        <w:t xml:space="preserve"> </w:t>
      </w:r>
      <w:r w:rsidRPr="002D1447">
        <w:rPr>
          <w:noProof/>
        </w:rPr>
        <w:drawing>
          <wp:inline distT="0" distB="0" distL="0" distR="0" wp14:anchorId="2F2F19C8" wp14:editId="00D9ADA3">
            <wp:extent cx="5026783" cy="7628467"/>
            <wp:effectExtent l="0" t="0" r="2540" b="4445"/>
            <wp:docPr id="275386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386444" name=""/>
                    <pic:cNvPicPr/>
                  </pic:nvPicPr>
                  <pic:blipFill>
                    <a:blip r:embed="rId8"/>
                    <a:stretch>
                      <a:fillRect/>
                    </a:stretch>
                  </pic:blipFill>
                  <pic:spPr>
                    <a:xfrm>
                      <a:off x="0" y="0"/>
                      <a:ext cx="5035490" cy="7641680"/>
                    </a:xfrm>
                    <a:prstGeom prst="rect">
                      <a:avLst/>
                    </a:prstGeom>
                  </pic:spPr>
                </pic:pic>
              </a:graphicData>
            </a:graphic>
          </wp:inline>
        </w:drawing>
      </w:r>
    </w:p>
    <w:p w14:paraId="4C225F94" w14:textId="12560314" w:rsidR="00D0649B" w:rsidRDefault="00D0649B">
      <w:r>
        <w:t>Table 1: Land use classification by island.</w:t>
      </w:r>
      <w:r w:rsidR="00702D9D">
        <w:t xml:space="preserve"> </w:t>
      </w:r>
      <w:r w:rsidR="00494E88">
        <w:t>In the absence of soil data for Mau</w:t>
      </w:r>
      <w:r w:rsidR="00D86705">
        <w:t>p</w:t>
      </w:r>
      <w:r w:rsidR="00494E88">
        <w:t>iti and Taravai, we used Mo‘orea and Mangareva’s fractions of non-arable soils, respectively. See text for details.</w:t>
      </w:r>
    </w:p>
    <w:p w14:paraId="3069EE25" w14:textId="6AE1D103" w:rsidR="00084148" w:rsidRDefault="00084148"/>
    <w:p w14:paraId="741C5C8B" w14:textId="0759D958" w:rsidR="00084148" w:rsidRDefault="00D86705">
      <w:r w:rsidRPr="00D86705">
        <w:rPr>
          <w:noProof/>
        </w:rPr>
        <w:drawing>
          <wp:inline distT="0" distB="0" distL="0" distR="0" wp14:anchorId="72BC0158" wp14:editId="318C89BA">
            <wp:extent cx="5537200" cy="19431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37200" cy="1943100"/>
                    </a:xfrm>
                    <a:prstGeom prst="rect">
                      <a:avLst/>
                    </a:prstGeom>
                  </pic:spPr>
                </pic:pic>
              </a:graphicData>
            </a:graphic>
          </wp:inline>
        </w:drawing>
      </w:r>
    </w:p>
    <w:p w14:paraId="587665CC" w14:textId="08CD0F55" w:rsidR="00671A6A" w:rsidRDefault="00084148">
      <w:r>
        <w:t>Table 2: Agricultural zone area by island.</w:t>
      </w:r>
    </w:p>
    <w:p w14:paraId="59003E68" w14:textId="77777777" w:rsidR="00084148" w:rsidRDefault="00084148"/>
    <w:p w14:paraId="7C251F60" w14:textId="37319ECF" w:rsidR="005A6EA1" w:rsidRDefault="005A6EA1"/>
    <w:p w14:paraId="05A64BA3" w14:textId="138BF5D5" w:rsidR="005A6EA1" w:rsidRDefault="008F33ED">
      <w:r w:rsidRPr="008F33ED">
        <w:rPr>
          <w:noProof/>
        </w:rPr>
        <w:drawing>
          <wp:inline distT="0" distB="0" distL="0" distR="0" wp14:anchorId="109E4A15" wp14:editId="56E0B8BB">
            <wp:extent cx="5943600" cy="2564765"/>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2564765"/>
                    </a:xfrm>
                    <a:prstGeom prst="rect">
                      <a:avLst/>
                    </a:prstGeom>
                  </pic:spPr>
                </pic:pic>
              </a:graphicData>
            </a:graphic>
          </wp:inline>
        </w:drawing>
      </w:r>
    </w:p>
    <w:p w14:paraId="3CAD239B" w14:textId="6A7FDAC0" w:rsidR="005A6EA1" w:rsidRDefault="005A6EA1">
      <w:r>
        <w:t>Table</w:t>
      </w:r>
      <w:r w:rsidR="00FE5544">
        <w:t xml:space="preserve"> </w:t>
      </w:r>
      <w:r>
        <w:t>3: Arboriculture yield estimates.</w:t>
      </w:r>
    </w:p>
    <w:p w14:paraId="7F853D23" w14:textId="358759AF" w:rsidR="00203F92" w:rsidRDefault="00203F92"/>
    <w:p w14:paraId="42A76499" w14:textId="2ACB1E1F" w:rsidR="005A6EA1" w:rsidRDefault="005A6EA1"/>
    <w:p w14:paraId="4D4F4B40" w14:textId="3B6621DF" w:rsidR="005A6EA1" w:rsidRDefault="0045007A">
      <w:r w:rsidRPr="0045007A">
        <w:rPr>
          <w:noProof/>
        </w:rPr>
        <w:drawing>
          <wp:inline distT="0" distB="0" distL="0" distR="0" wp14:anchorId="694A060D" wp14:editId="6D0DF197">
            <wp:extent cx="5943600" cy="6489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648970"/>
                    </a:xfrm>
                    <a:prstGeom prst="rect">
                      <a:avLst/>
                    </a:prstGeom>
                  </pic:spPr>
                </pic:pic>
              </a:graphicData>
            </a:graphic>
          </wp:inline>
        </w:drawing>
      </w:r>
    </w:p>
    <w:p w14:paraId="5EF7F967" w14:textId="43C21C51" w:rsidR="005A6EA1" w:rsidRDefault="005A6EA1">
      <w:r>
        <w:t>Table</w:t>
      </w:r>
      <w:r w:rsidR="00FE5544">
        <w:t xml:space="preserve"> </w:t>
      </w:r>
      <w:r>
        <w:t>4: Shifting cultivation yields after accounting for fallow.</w:t>
      </w:r>
    </w:p>
    <w:p w14:paraId="29DF547B" w14:textId="77B8BD75" w:rsidR="00B309F5" w:rsidRDefault="00B309F5"/>
    <w:p w14:paraId="7FF9916B" w14:textId="244CAF7B" w:rsidR="00AB37F5" w:rsidRDefault="00AB37F5"/>
    <w:p w14:paraId="2CF4D408" w14:textId="7EF3EFAE" w:rsidR="00AB37F5" w:rsidRDefault="005E3EF1">
      <w:r w:rsidRPr="005E3EF1">
        <w:rPr>
          <w:noProof/>
        </w:rPr>
        <w:lastRenderedPageBreak/>
        <w:drawing>
          <wp:inline distT="0" distB="0" distL="0" distR="0" wp14:anchorId="15FE30BD" wp14:editId="16CDFFBD">
            <wp:extent cx="4758267" cy="2033447"/>
            <wp:effectExtent l="0" t="0" r="444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84714" cy="2044749"/>
                    </a:xfrm>
                    <a:prstGeom prst="rect">
                      <a:avLst/>
                    </a:prstGeom>
                  </pic:spPr>
                </pic:pic>
              </a:graphicData>
            </a:graphic>
          </wp:inline>
        </w:drawing>
      </w:r>
    </w:p>
    <w:p w14:paraId="18EBB076" w14:textId="1AE256FE" w:rsidR="00AB37F5" w:rsidRDefault="00AB37F5">
      <w:r>
        <w:t>Table</w:t>
      </w:r>
      <w:r w:rsidR="00FE5544">
        <w:t xml:space="preserve"> </w:t>
      </w:r>
      <w:r>
        <w:t>5: Summary of yields by agricultural zones on each island.</w:t>
      </w:r>
    </w:p>
    <w:p w14:paraId="7399A3CD" w14:textId="40FDD61E" w:rsidR="00074EA8" w:rsidRDefault="00074EA8"/>
    <w:p w14:paraId="5A86F3C5" w14:textId="0C46D818" w:rsidR="00C542C2" w:rsidRDefault="00C542C2">
      <w:r>
        <w:t>To estimate the contribution of agricultural production to the diet of the islanders we scale the agricultural zone</w:t>
      </w:r>
      <w:r w:rsidR="0039546D">
        <w:t xml:space="preserve"> productivity</w:t>
      </w:r>
      <w:r>
        <w:t xml:space="preserve"> (Table</w:t>
      </w:r>
      <w:r w:rsidR="00FE5544">
        <w:t xml:space="preserve"> </w:t>
      </w:r>
      <w:r>
        <w:t>5) by the zone-specific area on each island (Table</w:t>
      </w:r>
      <w:r w:rsidR="00FE5544">
        <w:t xml:space="preserve"> </w:t>
      </w:r>
      <w:r>
        <w:t xml:space="preserve">2). </w:t>
      </w:r>
      <w:r w:rsidR="00C62FE8">
        <w:t>The potential agricultural energetic output by island is found in Table</w:t>
      </w:r>
      <w:r w:rsidR="00B810D5">
        <w:t xml:space="preserve"> 6</w:t>
      </w:r>
      <w:r w:rsidR="00C62FE8">
        <w:t>.</w:t>
      </w:r>
    </w:p>
    <w:p w14:paraId="2018C0ED" w14:textId="70AE128C" w:rsidR="00C62FE8" w:rsidRDefault="00C62FE8"/>
    <w:p w14:paraId="610A6584" w14:textId="07DC2884" w:rsidR="00C62FE8" w:rsidRDefault="00205AFA">
      <w:r w:rsidRPr="00205AFA">
        <w:rPr>
          <w:noProof/>
        </w:rPr>
        <w:drawing>
          <wp:inline distT="0" distB="0" distL="0" distR="0" wp14:anchorId="177D04ED" wp14:editId="5E0E186D">
            <wp:extent cx="4936067" cy="1551012"/>
            <wp:effectExtent l="0" t="0" r="444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981863" cy="1565402"/>
                    </a:xfrm>
                    <a:prstGeom prst="rect">
                      <a:avLst/>
                    </a:prstGeom>
                  </pic:spPr>
                </pic:pic>
              </a:graphicData>
            </a:graphic>
          </wp:inline>
        </w:drawing>
      </w:r>
    </w:p>
    <w:p w14:paraId="087D7236" w14:textId="7636EEA0" w:rsidR="00C62FE8" w:rsidRDefault="00C62FE8">
      <w:r>
        <w:t>Table</w:t>
      </w:r>
      <w:r w:rsidR="00B810D5">
        <w:t xml:space="preserve"> 6</w:t>
      </w:r>
      <w:r>
        <w:t>: Estimated agricultural energy availability by island in kcal/day.</w:t>
      </w:r>
    </w:p>
    <w:p w14:paraId="4874D8BE" w14:textId="77777777" w:rsidR="00C542C2" w:rsidRDefault="00C542C2"/>
    <w:p w14:paraId="362A5C75" w14:textId="1229D431" w:rsidR="0093722D" w:rsidRDefault="0093722D"/>
    <w:p w14:paraId="69BE0D8D" w14:textId="78B08F65" w:rsidR="0093722D" w:rsidRDefault="00205AFA">
      <w:r w:rsidRPr="00205AFA">
        <w:rPr>
          <w:noProof/>
        </w:rPr>
        <w:drawing>
          <wp:inline distT="0" distB="0" distL="0" distR="0" wp14:anchorId="6B2BC1D3" wp14:editId="08B79A37">
            <wp:extent cx="1993900" cy="9652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993900" cy="965200"/>
                    </a:xfrm>
                    <a:prstGeom prst="rect">
                      <a:avLst/>
                    </a:prstGeom>
                  </pic:spPr>
                </pic:pic>
              </a:graphicData>
            </a:graphic>
          </wp:inline>
        </w:drawing>
      </w:r>
    </w:p>
    <w:p w14:paraId="61F6CA92" w14:textId="2B5F8406" w:rsidR="0093722D" w:rsidRDefault="0093722D">
      <w:r>
        <w:t>Table</w:t>
      </w:r>
      <w:r w:rsidR="00B810D5">
        <w:t xml:space="preserve"> 7</w:t>
      </w:r>
      <w:r>
        <w:t xml:space="preserve">: </w:t>
      </w:r>
      <w:r w:rsidR="00CC25A2">
        <w:t>Productive reef and lagoon area by island, with Mangareva and Taravai dividing the shared area proportional to land area.</w:t>
      </w:r>
    </w:p>
    <w:p w14:paraId="1D6F2894" w14:textId="4C7487F6" w:rsidR="008778CA" w:rsidRDefault="008778CA"/>
    <w:p w14:paraId="1EA4B4B5" w14:textId="2FB55773" w:rsidR="00FF7C99" w:rsidRDefault="00FF7C99"/>
    <w:p w14:paraId="5AE8AC7E" w14:textId="59FC9A7D" w:rsidR="00FF7C99" w:rsidRDefault="00FF7C99"/>
    <w:p w14:paraId="0E49FE48" w14:textId="3FC33334" w:rsidR="00AF7567" w:rsidRDefault="00AF7567">
      <w:r w:rsidRPr="00AF7567">
        <w:rPr>
          <w:noProof/>
        </w:rPr>
        <w:lastRenderedPageBreak/>
        <w:drawing>
          <wp:inline distT="0" distB="0" distL="0" distR="0" wp14:anchorId="3E901D58" wp14:editId="39C28F70">
            <wp:extent cx="4064000" cy="2692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064000" cy="2692400"/>
                    </a:xfrm>
                    <a:prstGeom prst="rect">
                      <a:avLst/>
                    </a:prstGeom>
                  </pic:spPr>
                </pic:pic>
              </a:graphicData>
            </a:graphic>
          </wp:inline>
        </w:drawing>
      </w:r>
    </w:p>
    <w:p w14:paraId="66CDA87E" w14:textId="1B02C64A" w:rsidR="00FF7C99" w:rsidRDefault="00FF7C99">
      <w:r>
        <w:t>Table</w:t>
      </w:r>
      <w:r w:rsidR="00B810D5">
        <w:t xml:space="preserve"> 8</w:t>
      </w:r>
      <w:r>
        <w:t xml:space="preserve">: </w:t>
      </w:r>
      <w:r w:rsidR="00CB01AE">
        <w:t xml:space="preserve">Estimated </w:t>
      </w:r>
      <w:r w:rsidR="009425DF">
        <w:t>d</w:t>
      </w:r>
      <w:r w:rsidR="007044F7">
        <w:t xml:space="preserve">iet biomass proportions, </w:t>
      </w:r>
      <w:r w:rsidR="00AF7567">
        <w:t xml:space="preserve">AD 1400-1800, </w:t>
      </w:r>
      <w:r w:rsidR="007044F7">
        <w:t>excluding data from high-status sites</w:t>
      </w:r>
      <w:r w:rsidR="00E956B6">
        <w:t>.</w:t>
      </w:r>
    </w:p>
    <w:p w14:paraId="1A376BD7" w14:textId="2E68F690" w:rsidR="00D9357C" w:rsidRDefault="00D9357C"/>
    <w:p w14:paraId="0B37380E" w14:textId="606E3AE3" w:rsidR="00BF6F32" w:rsidRDefault="00BF6F32"/>
    <w:p w14:paraId="7FD61371" w14:textId="3E03D898" w:rsidR="00BF6F32" w:rsidRDefault="00C659E7">
      <w:r>
        <w:rPr>
          <w:noProof/>
        </w:rPr>
        <w:pict w14:anchorId="1DB55C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in;height:101.4pt;mso-width-percent:0;mso-height-percent:0;mso-width-percent:0;mso-height-percent:0">
            <v:imagedata r:id="rId16" o:title=""/>
          </v:shape>
        </w:pict>
      </w:r>
    </w:p>
    <w:p w14:paraId="540C5C8E" w14:textId="5D2093B8" w:rsidR="00BF6F32" w:rsidRDefault="00BF6F32">
      <w:r>
        <w:t>Table</w:t>
      </w:r>
      <w:r w:rsidR="00B810D5">
        <w:t xml:space="preserve"> 9</w:t>
      </w:r>
      <w:r>
        <w:t>: Nutritional composition of raw flesh of animal foods, with edible fractions.</w:t>
      </w:r>
      <w:r w:rsidR="004721FA">
        <w:t xml:space="preserve"> </w:t>
      </w:r>
      <w:r w:rsidR="004721FA">
        <w:fldChar w:fldCharType="begin"/>
      </w:r>
      <w:r w:rsidR="00F30B1E">
        <w:instrText xml:space="preserve"> ADDIN ZOTERO_ITEM CSL_CITATION {"citationID":"KyP9AYOa","properties":{"formattedCitation":"(Dignan et al. 2004; Smith 2011; Haytowitz et al. 2005; White 1953; Ann 1999; Arai and Sakai 1952; O\\uc0\\u8217{}Hara et al. 2004; Lockyer 1991; Frazier 1980)","plainCitation":"(Dignan et al. 2004; Smith 2011; Haytowitz et al. 2005; White 1953; Ann 1999; Arai and Sakai 1952; O’Hara et al. 2004; Lockyer 1991; Frazier 1980)","noteIndex":0},"citationItems":[{"id":193,"uris":["http://zotero.org/users/local/6l88xueb/items/DPWBJNSP"],"itemData":{"id":193,"type":"book","collection-number":"Ed. 2","publisher":"Food and Agriculture Organization of the United Nations (FAO)","source":"Google Scholar","title":"The Pacific Islands food composition tables.","URL":"https://www.cabdirect.org/cabdirect/abstract/20043191618","author":[{"family":"Dignan","given":"Cecily"},{"family":"Burlingame","given":"Barbara"},{"family":"Kumar","given":"Shailesh"},{"family":"Aalbersberg","given":"William"}],"accessed":{"date-parts":[["2024",5,21]]},"issued":{"date-parts":[["2004"]]}}},{"id":116,"uris":["http://zotero.org/users/local/6l88xueb/items/XZI2YNNT"],"itemData":{"id":116,"type":"report","publisher":"Department of Anthropology &amp; Archaeology; University of Otago","source":"Google Scholar","title":"Meat weight, nutritional and energy yield values for New Zealand archaeofauna","URL":"https://ourarchive.otago.ac.nz/bitstream/handle/10523/5942/OALR_No8.pdf?sequence=1","author":[{"family":"Smith","given":"Ian"}],"accessed":{"date-parts":[["2024",1,21]]},"issued":{"date-parts":[["2011"]]}}},{"id":77,"uris":["http://zotero.org/users/local/6l88xueb/items/QW6ETD3G"],"itemData":{"id":77,"type":"dataset","abstract":"[Note: Integrated as part of FoodData Central, April 2019.]\nThe USDA National Nutrient Database for Standard Reference (SR) is the major source of food composition data in the United States and provides the foundation for most food composition databases in the public and private sectors.  This is the last release of the database in its current format.  SR-Legacy will continue its preeminent role as a stand-alone food composition resource and will be available in the new modernized system currently under development. SR-Legacy contains data on 7,793 food items and up to 150 food components that were reported in SR28 (2015), with selected corrections and updates. This release supersedes all previous releases.","DOI":"10.15482/USDA.ADC/1529216","publisher":"Nutrient Data Laboratory, Beltsville Human Nutrition Research Center, ARS, USDA","source":"DOI.org (Datacite)","title":"USDA National Nutrient Database for Standard Reference, Legacy Release","URL":"https://data.nal.usda.gov/node/20911","author":[{"family":"Haytowitz","given":"David"},{"family":"Ahuja","given":"Jaspreet"},{"family":"Wu","given":"Xianli"},{"family":"Somanchi","given":"Meena"},{"family":"Nickle","given":"Melissa"},{"family":"Nguyen","given":"Quyen"},{"family":"Roseland","given":"Janet"},{"family":"Williams","given":"Juhi"},{"family":"Patterson","given":"Kristine"},{"family":"Li","given":"Ying"},{"family":"Pehrsson","given":"Pamela"}],"accessed":{"date-parts":[["2017",12,1]]},"issued":{"date-parts":[["2005"]]}}},{"id":122,"uris":["http://zotero.org/users/local/6l88xueb/items/MRAD3B2D"],"itemData":{"id":122,"type":"article-journal","container-title":"American antiquity","issue":"4","note":"publisher: Cambridge University Press","page":"396–398","source":"Google Scholar","title":"A method of calculating the dietary percentage of various food animals utilized by aboriginal peoples","volume":"18","author":[{"family":"White","given":"Theodore E."}],"issued":{"date-parts":[["1953"]]}}},{"id":195,"uris":["http://zotero.org/users/local/6l88xueb/items/GAB2TABR"],"itemData":{"id":195,"type":"article-journal","container-title":"Korean Journal of Food and Nutrition","issue":"4","page":"397–408","source":"Google Scholar","title":"Dog meat foods in Korea","volume":"12","author":[{"family":"Ann","given":"Yong-Geun"}],"issued":{"date-parts":[["1999"]]}}},{"id":196,"uris":["http://zotero.org/users/local/6l88xueb/items/XCKGTMJN"],"itemData":{"id":196,"type":"article-journal","container-title":"The Scientific Reports of the Whales Research institute","page":"51-67","title":"Whale meat in nutrition","volume":"7","author":[{"family":"Arai","given":"Yoro"},{"family":"Sakai","given":"Shigeru"}],"issued":{"date-parts":[["1952"]]}}},{"id":198,"uris":["http://zotero.org/users/local/6l88xueb/items/APKDDVXQ"],"itemData":{"id":198,"type":"article-journal","abstract":"Worldwide the consumption of marine mammals by humans occurred for many centuries. Many island and coastal Alaskan communities still depend on marine mammals for nutritional, cultural, health, medicinal, economic, and spiritual well being. These communities know these benefits exist but in most cases a well designed quantitative assessment of nutrient values has been lacking. This study focuses on bowhead whales (Balaena mysticetus) landed during subsistence hunts. We assess tissues that are consumed to quantify the nutritional composition and relate this to well documented nutritional “daily requirements.” We evaluate the uncooked or unprocessed nutritional value of many bowhead whale-based foods. Based on a person eating 100 grams (3 ounces) of food we determined what percent of the daily requirement is met (e.g., 50%, means that this 100 g portion of food provides half of the specific nutrient required for a day for an adult male). As for most tissues studied epidermis (“skin”) is a poor source of carbohydrates (&lt;5%) and sugars, vitamin C, and beta carotene but represents a good source for protein (42%), dietary fiber (21%), vitamin E (12%), and many elements. Blubber, a component of maktak (a food comprised of the epidermis and underlying blubber), is rarely eaten alone and offers 8% of needed vitamin A, 10% protein and little carbohydrate (&lt;4%), but is a very good source of polyunsaturated fatty acids (PUFAs) (189%) and many elements. Skeletal muscle (meat) is a poor (&lt;5%) source of fat, PUFAs, dietary fiber, and carbohydrate. However, it provides approximately 45% of needed protein and &gt; 10% for some of the Vitamin B compounds and many elements. Kidney is a good source of fat (11%) and protein (28%) but not carbohydrate (2%). Kidney provides nearly 16% of the needed PUFAs and is an excellent source of many elements. Heart is a good source of protein (40%) and many elements. Tongue is a good source of fat (82%), PUFAs (161%), protein (27%), calories (30%), vitamin A (16%), and some elements. Intestinal tissue is a good source of protein (37%) and many elements. Many important essential fatty acids (omega-3 class) are present in these tissues and are known to be important in prevention of heart disease and diabetes; and are essential for neonatal development (i.e., neural tube). These data clearly indicate that important nutrients are provided by bowhead whale tissues (uncooked) to human consumers.","container-title":"International Whaling Commission Scientific Committee Report SC/56 E","page":"1–19","source":"Google Scholar","title":"A preliminary assessment of the nutritive value of select tissues from the bowhead whale based on suggested nutrient daily intakes","volume":"2","author":[{"family":"O’Hara","given":"Todd M."},{"family":"Hoekstra","given":"Paul"},{"family":"Hanns","given":"Cyd"},{"family":"Muir","given":"Derek"},{"family":"Wetzel","given":"Dana"},{"family":"Reynolds","given":"John"}],"issued":{"date-parts":[["2004"]]}}},{"id":128,"uris":["http://zotero.org/users/local/6l88xueb/items/NBP9T8C7"],"itemData":{"id":128,"type":"article-journal","abstract":"Morphometric data collected from sperm whales indicate a relatively thin covering of blubber on\nthe head and thickest blubber in the middle region of the body. The girth of the whale is greatest\nat the axilla. Body weight at length is heavier than for most baleen whales, and blubber comprises\nnearly a third of body weight, a greater proportion than in most baleen whales. Biochemical analyses\nof blubber indicate significant differences between anterior (head) blubber and that elsewhere\non the body, the former being highly proteinaceous with very little lipid. The blubber was found to\nvary in biochemical composition throughout its depth, with the skin-adjacent zone being significantly\ndifferent in composition to the deeper zones, with generally more protein fibre, water, mineral,\nand only about half the lipid content of the latter. No heterogeneity of muscle which contained\nlittle lipid, was observed over the body, and visceral organs were found to be similar to muscle in\ncomposition. Visceral fats contained more lipid (70-80% wet weight) than the most fat-laden blubber\n(ca 60%), but contained negligible protein. Structurally and biochemically, the anterior (head)\nblubber appears unimportant as a fat depot, and may function as a flexible exoskeleton for the\nspermaceti organ. The main lipid class in blubber is wax (sterols and esters), with fairly high levels\nof triacylglycerol, unlike muscle, where triacylglycerol, polar lipids and free fatty acids are most\nprominent. The distribution of blubber density over the body is such that it may provide stability in\nbuoyancy. It is speculated that density changes of blubber with temperature over the body during\ndiving could assist in buoyancy control. If liquid-solid phase changes in the lipids occur as well, protection\nfrom external pressure at depth through incompressibility may also take place. Other explanations\nfor high wax levels are also discussed in the light of metabolic requirements in comparison\nwith other hyperbaric-living organisms. The fatty acid composition of the triacylglycerol fraction\ncomprises a significant proportion of short-chain acids","container-title":"Rit Fiskideilda","journalAbbreviation":"Rit Fiskideilda","source":"ResearchGate","title":"Body composition of the sperm whale, &lt;i&gt;Physeter catodon&lt;/i&gt;, with special reference to the possible functions of fat depots","volume":"12","author":[{"family":"Lockyer","given":"Christina"}],"issued":{"date-parts":[["1991",1,1]]}}},{"id":131,"uris":["http://zotero.org/users/local/6l88xueb/items/AMUPJNYZ"],"itemData":{"id":131,"type":"article-journal","abstract":"Marine turtles long have been of great value to peoples of the Indian Ocean, nutritionally, economically, and culturally. Once directed primarily toward subsistence, the hunting of marine turtles for international trade has increased; today their populations are often so depleted that they are not only insignificant as resources, but are endangered. An understanding of exploitation is imperative to guarantee future populations, yet available information is sketchy. “Subsistence hunting” is an ambiguous term, since the most intense exploitation is for export. Historically this has involved Chelonia and Eretmochelys, whose populations are now much reduced. Yet, newly “discovered” populations (Lepidochelys especially) are being exploited, under the stimulus of new foreign markets (e.g., leather), and their fates seem even less hopeful than those of long-exploited populations. Moreover “subsistence hunting” for immediate local consumption has led to depletion of nesting and feeding populations of turtles in areas where protein sources are in great demand and human population densities high. Neither the future nor the solution to this dilemma is clear, but it is obvious that economic considerations must be carefully considered, and ecological arguments alone are insufficient to manage these resources.","container-title":"Human Ecology","DOI":"10.1007/BF01560999","ISSN":"0300-7839, 1572-9915","issue":"4","journalAbbreviation":"Hum Ecol","language":"en","page":"329-370","source":"DOI.org (Crossref)","title":"Exploitation of marine turtles in the Indian Ocean","volume":"8","author":[{"family":"Frazier","given":"J."}],"issued":{"date-parts":[["1980",12]]}}}],"schema":"https://github.com/citation-style-language/schema/raw/master/csl-citation.json"} </w:instrText>
      </w:r>
      <w:r w:rsidR="004721FA">
        <w:fldChar w:fldCharType="separate"/>
      </w:r>
      <w:r w:rsidR="004721FA" w:rsidRPr="004721FA">
        <w:rPr>
          <w:rFonts w:ascii="Calibri" w:cs="Calibri"/>
        </w:rPr>
        <w:t>(Dignan et al. 2004; Smith 2011; Haytowitz et al. 2005; White 1953; Ann 1999; Arai and Sakai 1952; O’Hara et al. 2004; Lockyer 1991; Frazier 1980)</w:t>
      </w:r>
      <w:r w:rsidR="004721FA">
        <w:fldChar w:fldCharType="end"/>
      </w:r>
    </w:p>
    <w:p w14:paraId="3938070F" w14:textId="3573923B" w:rsidR="003E2D16" w:rsidRDefault="003E2D16"/>
    <w:p w14:paraId="2DBDBBB9" w14:textId="2338560A" w:rsidR="003E2D16" w:rsidRDefault="00C659E7">
      <w:r>
        <w:rPr>
          <w:noProof/>
        </w:rPr>
        <w:pict w14:anchorId="2089E534">
          <v:shape id="_x0000_i1026" type="#_x0000_t75" alt="" style="width:414.15pt;height:197.55pt;mso-width-percent:0;mso-height-percent:0;mso-width-percent:0;mso-height-percent:0">
            <v:imagedata r:id="rId17" o:title=""/>
          </v:shape>
        </w:pict>
      </w:r>
    </w:p>
    <w:p w14:paraId="7B03FF29" w14:textId="3BDE6B90" w:rsidR="003E2D16" w:rsidRDefault="003E2D16">
      <w:r>
        <w:lastRenderedPageBreak/>
        <w:t xml:space="preserve">Table </w:t>
      </w:r>
      <w:r w:rsidR="001B6A90">
        <w:t>10</w:t>
      </w:r>
      <w:r>
        <w:t>: Scenario A: E</w:t>
      </w:r>
      <w:r w:rsidR="003B3DCD">
        <w:t>stimated faunal e</w:t>
      </w:r>
      <w:r>
        <w:t>nergy yield (kcal/day) by island at 1 mt/km</w:t>
      </w:r>
      <w:r w:rsidRPr="006D754A">
        <w:rPr>
          <w:vertAlign w:val="superscript"/>
        </w:rPr>
        <w:t>2</w:t>
      </w:r>
      <w:r>
        <w:t>/year reef fish</w:t>
      </w:r>
      <w:r w:rsidR="004564C4">
        <w:t xml:space="preserve"> (rounded to nearest 100 kcal)</w:t>
      </w:r>
      <w:r>
        <w:t>.</w:t>
      </w:r>
    </w:p>
    <w:p w14:paraId="6DC22FB8" w14:textId="4DAD9650" w:rsidR="00965D17" w:rsidRDefault="00965D17"/>
    <w:p w14:paraId="176C4744" w14:textId="7A000ACD" w:rsidR="00965D17" w:rsidRDefault="00C659E7">
      <w:r>
        <w:rPr>
          <w:noProof/>
        </w:rPr>
        <w:pict w14:anchorId="06782CCD">
          <v:shape id="_x0000_i1027" type="#_x0000_t75" alt="" style="width:414.15pt;height:197.55pt;mso-width-percent:0;mso-height-percent:0;mso-width-percent:0;mso-height-percent:0">
            <v:imagedata r:id="rId18" o:title=""/>
          </v:shape>
        </w:pict>
      </w:r>
    </w:p>
    <w:p w14:paraId="7AFD579A" w14:textId="08746384" w:rsidR="00965D17" w:rsidRDefault="00965D17" w:rsidP="00965D17">
      <w:r>
        <w:t xml:space="preserve">Table </w:t>
      </w:r>
      <w:r w:rsidR="001B6A90">
        <w:t>11</w:t>
      </w:r>
      <w:r>
        <w:t xml:space="preserve">: Scenario B: </w:t>
      </w:r>
      <w:r w:rsidR="003B3DCD">
        <w:t>Estimated faunal energy</w:t>
      </w:r>
      <w:r>
        <w:t xml:space="preserve"> yield (kcal/day) by island at 5 mt/km</w:t>
      </w:r>
      <w:r w:rsidRPr="006D754A">
        <w:rPr>
          <w:vertAlign w:val="superscript"/>
        </w:rPr>
        <w:t>2</w:t>
      </w:r>
      <w:r>
        <w:t>/year reef fish</w:t>
      </w:r>
      <w:r w:rsidR="004564C4">
        <w:t xml:space="preserve"> (rounded to nearest 100 kcal)</w:t>
      </w:r>
      <w:r>
        <w:t>.</w:t>
      </w:r>
    </w:p>
    <w:p w14:paraId="52E8B05C" w14:textId="43C29296" w:rsidR="00E0736E" w:rsidRDefault="00E0736E" w:rsidP="00965D17"/>
    <w:p w14:paraId="1A7E642E" w14:textId="1250D393" w:rsidR="00E0736E" w:rsidRDefault="00C659E7" w:rsidP="00965D17">
      <w:r>
        <w:rPr>
          <w:noProof/>
        </w:rPr>
        <w:pict w14:anchorId="73F4EAAF">
          <v:shape id="_x0000_i1028" type="#_x0000_t75" alt="" style="width:414.15pt;height:197.55pt;mso-width-percent:0;mso-height-percent:0;mso-width-percent:0;mso-height-percent:0">
            <v:imagedata r:id="rId19" o:title=""/>
          </v:shape>
        </w:pict>
      </w:r>
    </w:p>
    <w:p w14:paraId="51BD1BC4" w14:textId="3942803F" w:rsidR="00E0736E" w:rsidRDefault="00E0736E" w:rsidP="00E0736E">
      <w:r>
        <w:t xml:space="preserve">Table </w:t>
      </w:r>
      <w:r w:rsidR="001B6A90">
        <w:t>12</w:t>
      </w:r>
      <w:r>
        <w:t xml:space="preserve">: Scenario C: </w:t>
      </w:r>
      <w:r w:rsidR="003B3DCD">
        <w:t>Estimated faunal energy</w:t>
      </w:r>
      <w:r>
        <w:t xml:space="preserve"> yield (kcal/day) by island at 16 mt/km</w:t>
      </w:r>
      <w:r w:rsidRPr="006D754A">
        <w:rPr>
          <w:vertAlign w:val="superscript"/>
        </w:rPr>
        <w:t>2</w:t>
      </w:r>
      <w:r>
        <w:t>/year reef fish</w:t>
      </w:r>
      <w:r w:rsidR="004564C4">
        <w:t xml:space="preserve"> (rounded to nearest 100 kcal)</w:t>
      </w:r>
      <w:r>
        <w:t>.</w:t>
      </w:r>
    </w:p>
    <w:p w14:paraId="53BE8C27" w14:textId="77777777" w:rsidR="000B73EA" w:rsidRDefault="000B73EA" w:rsidP="00E0736E"/>
    <w:p w14:paraId="45FE389C" w14:textId="44CE8852" w:rsidR="00EE57B1" w:rsidRDefault="00EE57B1" w:rsidP="00965D17"/>
    <w:p w14:paraId="58681CB6" w14:textId="6F2FE13C" w:rsidR="00A34E44" w:rsidRDefault="00105AC2" w:rsidP="00A34E44">
      <w:r w:rsidRPr="00105AC2">
        <w:rPr>
          <w:noProof/>
        </w:rPr>
        <w:lastRenderedPageBreak/>
        <w:drawing>
          <wp:inline distT="0" distB="0" distL="0" distR="0" wp14:anchorId="1AE09E61" wp14:editId="7C54EAF1">
            <wp:extent cx="5943600" cy="3616960"/>
            <wp:effectExtent l="0" t="0" r="0" b="2540"/>
            <wp:docPr id="10274503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450384" name=""/>
                    <pic:cNvPicPr/>
                  </pic:nvPicPr>
                  <pic:blipFill>
                    <a:blip r:embed="rId20"/>
                    <a:stretch>
                      <a:fillRect/>
                    </a:stretch>
                  </pic:blipFill>
                  <pic:spPr>
                    <a:xfrm>
                      <a:off x="0" y="0"/>
                      <a:ext cx="5943600" cy="3616960"/>
                    </a:xfrm>
                    <a:prstGeom prst="rect">
                      <a:avLst/>
                    </a:prstGeom>
                  </pic:spPr>
                </pic:pic>
              </a:graphicData>
            </a:graphic>
          </wp:inline>
        </w:drawing>
      </w:r>
    </w:p>
    <w:p w14:paraId="2AD307A3" w14:textId="3E12D815" w:rsidR="00965D17" w:rsidRDefault="00A34E44" w:rsidP="00A34E44">
      <w:r>
        <w:t>Table</w:t>
      </w:r>
      <w:r w:rsidR="003C4A63">
        <w:t xml:space="preserve"> 13</w:t>
      </w:r>
      <w:r>
        <w:t xml:space="preserve">: </w:t>
      </w:r>
      <w:r w:rsidR="00567F5E">
        <w:t xml:space="preserve">Human population </w:t>
      </w:r>
      <w:r>
        <w:t xml:space="preserve">estimates by reef fish scenario, </w:t>
      </w:r>
      <w:r w:rsidR="00C95B57">
        <w:t>comparing</w:t>
      </w:r>
      <w:r>
        <w:t xml:space="preserve"> faunal</w:t>
      </w:r>
      <w:r w:rsidR="00DA31F2">
        <w:t xml:space="preserve"> vs. </w:t>
      </w:r>
      <w:r>
        <w:t>agricultur</w:t>
      </w:r>
      <w:r w:rsidR="00C95B57">
        <w:t>al</w:t>
      </w:r>
      <w:r>
        <w:t xml:space="preserve"> inputs.</w:t>
      </w:r>
    </w:p>
    <w:p w14:paraId="55417D9C" w14:textId="77777777" w:rsidR="00A34E44" w:rsidRDefault="00A34E44" w:rsidP="00A34E44"/>
    <w:p w14:paraId="3FC8DDEE" w14:textId="31D6E053" w:rsidR="00A34E44" w:rsidRDefault="00C512A6" w:rsidP="00A34E44">
      <w:r w:rsidRPr="00C512A6">
        <w:rPr>
          <w:noProof/>
        </w:rPr>
        <w:drawing>
          <wp:inline distT="0" distB="0" distL="0" distR="0" wp14:anchorId="1B689FCE" wp14:editId="2679DEE2">
            <wp:extent cx="5943600" cy="3607435"/>
            <wp:effectExtent l="0" t="0" r="0" b="0"/>
            <wp:docPr id="8694185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418501" name=""/>
                    <pic:cNvPicPr/>
                  </pic:nvPicPr>
                  <pic:blipFill>
                    <a:blip r:embed="rId21"/>
                    <a:stretch>
                      <a:fillRect/>
                    </a:stretch>
                  </pic:blipFill>
                  <pic:spPr>
                    <a:xfrm>
                      <a:off x="0" y="0"/>
                      <a:ext cx="5943600" cy="3607435"/>
                    </a:xfrm>
                    <a:prstGeom prst="rect">
                      <a:avLst/>
                    </a:prstGeom>
                  </pic:spPr>
                </pic:pic>
              </a:graphicData>
            </a:graphic>
          </wp:inline>
        </w:drawing>
      </w:r>
    </w:p>
    <w:p w14:paraId="17F6D984" w14:textId="7BC3AB35" w:rsidR="00A34E44" w:rsidRDefault="00A34E44" w:rsidP="00A34E44">
      <w:r>
        <w:t xml:space="preserve">Table </w:t>
      </w:r>
      <w:r w:rsidR="00B00EA2">
        <w:t>14</w:t>
      </w:r>
      <w:r>
        <w:t xml:space="preserve">: </w:t>
      </w:r>
      <w:r w:rsidR="00567F5E">
        <w:t xml:space="preserve">Human population </w:t>
      </w:r>
      <w:r>
        <w:t xml:space="preserve">estimates by reef fish scenario, </w:t>
      </w:r>
      <w:r w:rsidR="00C95B57">
        <w:t>comparing</w:t>
      </w:r>
      <w:r>
        <w:t xml:space="preserve"> marine</w:t>
      </w:r>
      <w:r w:rsidR="00DA31F2">
        <w:t xml:space="preserve"> vs.</w:t>
      </w:r>
      <w:r w:rsidR="00C95B57">
        <w:t xml:space="preserve"> </w:t>
      </w:r>
      <w:r>
        <w:t>terrestrial inputs.</w:t>
      </w:r>
    </w:p>
    <w:p w14:paraId="4BB46C21" w14:textId="0877CDD8" w:rsidR="00F07B6E" w:rsidRDefault="00F07B6E"/>
    <w:p w14:paraId="06698BCB" w14:textId="652F962E" w:rsidR="00EF79BB" w:rsidRDefault="00C512A6">
      <w:r w:rsidRPr="00C512A6">
        <w:rPr>
          <w:noProof/>
        </w:rPr>
        <w:drawing>
          <wp:inline distT="0" distB="0" distL="0" distR="0" wp14:anchorId="6DA15AD2" wp14:editId="62260AA5">
            <wp:extent cx="3416300" cy="1384300"/>
            <wp:effectExtent l="0" t="0" r="0" b="0"/>
            <wp:docPr id="2232001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200158" name=""/>
                    <pic:cNvPicPr/>
                  </pic:nvPicPr>
                  <pic:blipFill>
                    <a:blip r:embed="rId22"/>
                    <a:stretch>
                      <a:fillRect/>
                    </a:stretch>
                  </pic:blipFill>
                  <pic:spPr>
                    <a:xfrm>
                      <a:off x="0" y="0"/>
                      <a:ext cx="3416300" cy="1384300"/>
                    </a:xfrm>
                    <a:prstGeom prst="rect">
                      <a:avLst/>
                    </a:prstGeom>
                  </pic:spPr>
                </pic:pic>
              </a:graphicData>
            </a:graphic>
          </wp:inline>
        </w:drawing>
      </w:r>
    </w:p>
    <w:p w14:paraId="487C10E2" w14:textId="1B048D6A" w:rsidR="00EF79BB" w:rsidRDefault="00EF79BB">
      <w:r>
        <w:t>Table</w:t>
      </w:r>
      <w:r w:rsidR="00B00EA2">
        <w:t xml:space="preserve"> 15</w:t>
      </w:r>
      <w:r>
        <w:t xml:space="preserve">: </w:t>
      </w:r>
      <w:r w:rsidR="00851125">
        <w:t>Maximum p</w:t>
      </w:r>
      <w:r>
        <w:t>opulation density (p/km</w:t>
      </w:r>
      <w:r w:rsidRPr="00296152">
        <w:rPr>
          <w:vertAlign w:val="superscript"/>
        </w:rPr>
        <w:t>2</w:t>
      </w:r>
      <w:r>
        <w:t>) measured across the whole island, excluding motus</w:t>
      </w:r>
      <w:r w:rsidR="00D5132A">
        <w:t xml:space="preserve"> (from Table 1)</w:t>
      </w:r>
      <w:r>
        <w:t>.</w:t>
      </w:r>
    </w:p>
    <w:p w14:paraId="01CD7A9D" w14:textId="5F09DDAD" w:rsidR="00EF79BB" w:rsidRDefault="00EF79BB"/>
    <w:p w14:paraId="188A2D23" w14:textId="2BB10C23" w:rsidR="00EF79BB" w:rsidRDefault="00901ED9">
      <w:r w:rsidRPr="00901ED9">
        <w:rPr>
          <w:noProof/>
        </w:rPr>
        <w:drawing>
          <wp:inline distT="0" distB="0" distL="0" distR="0" wp14:anchorId="422B5F59" wp14:editId="14F5C1DC">
            <wp:extent cx="3416300" cy="1384300"/>
            <wp:effectExtent l="0" t="0" r="0" b="0"/>
            <wp:docPr id="15941376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137603" name=""/>
                    <pic:cNvPicPr/>
                  </pic:nvPicPr>
                  <pic:blipFill>
                    <a:blip r:embed="rId23"/>
                    <a:stretch>
                      <a:fillRect/>
                    </a:stretch>
                  </pic:blipFill>
                  <pic:spPr>
                    <a:xfrm>
                      <a:off x="0" y="0"/>
                      <a:ext cx="3416300" cy="1384300"/>
                    </a:xfrm>
                    <a:prstGeom prst="rect">
                      <a:avLst/>
                    </a:prstGeom>
                  </pic:spPr>
                </pic:pic>
              </a:graphicData>
            </a:graphic>
          </wp:inline>
        </w:drawing>
      </w:r>
    </w:p>
    <w:p w14:paraId="6A9EBC42" w14:textId="48BEDEB5" w:rsidR="00EF79BB" w:rsidRDefault="00EF79BB">
      <w:r>
        <w:t>Table</w:t>
      </w:r>
      <w:r w:rsidR="00B00EA2">
        <w:t xml:space="preserve"> 16</w:t>
      </w:r>
      <w:r>
        <w:t xml:space="preserve">: </w:t>
      </w:r>
      <w:r w:rsidR="00851125">
        <w:t>Maximum p</w:t>
      </w:r>
      <w:r>
        <w:t>opulation density (p/km</w:t>
      </w:r>
      <w:r w:rsidRPr="002A3E55">
        <w:rPr>
          <w:vertAlign w:val="superscript"/>
        </w:rPr>
        <w:t>2</w:t>
      </w:r>
      <w:r>
        <w:t>) measured across agricultural area, excluding semicultivation zones</w:t>
      </w:r>
      <w:r w:rsidR="00D5132A">
        <w:t xml:space="preserve"> (from Table 2)</w:t>
      </w:r>
      <w:r>
        <w:t>.</w:t>
      </w:r>
    </w:p>
    <w:p w14:paraId="29801897" w14:textId="77777777" w:rsidR="00B55790" w:rsidRDefault="00B55790"/>
    <w:p w14:paraId="79F11623" w14:textId="349774AA" w:rsidR="00B55790" w:rsidRDefault="00B55790">
      <w:r w:rsidRPr="00B55790">
        <w:rPr>
          <w:noProof/>
        </w:rPr>
        <w:drawing>
          <wp:inline distT="0" distB="0" distL="0" distR="0" wp14:anchorId="316370A1" wp14:editId="4EE4A648">
            <wp:extent cx="3416300" cy="11938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416300" cy="1193800"/>
                    </a:xfrm>
                    <a:prstGeom prst="rect">
                      <a:avLst/>
                    </a:prstGeom>
                  </pic:spPr>
                </pic:pic>
              </a:graphicData>
            </a:graphic>
          </wp:inline>
        </w:drawing>
      </w:r>
    </w:p>
    <w:p w14:paraId="2ADD40CA" w14:textId="43C9B3D2" w:rsidR="00B55790" w:rsidRDefault="00B55790">
      <w:r>
        <w:t>Table</w:t>
      </w:r>
      <w:r w:rsidR="00B00EA2">
        <w:t xml:space="preserve"> 17</w:t>
      </w:r>
      <w:r>
        <w:t xml:space="preserve">: Relative caloric productivity of agricultural land and the near-shore marine zone as a function of area, </w:t>
      </w:r>
      <w:r w:rsidR="00123490">
        <w:t>under the assumption of 5 mt/</w:t>
      </w:r>
      <w:r w:rsidR="00D11DFE">
        <w:t>km</w:t>
      </w:r>
      <w:r w:rsidR="00D11DFE" w:rsidRPr="00D11DFE">
        <w:rPr>
          <w:vertAlign w:val="superscript"/>
        </w:rPr>
        <w:t>2</w:t>
      </w:r>
      <w:r w:rsidR="00D11DFE">
        <w:t>/</w:t>
      </w:r>
      <w:r w:rsidR="00123490">
        <w:t>y fish yield (Scenario B).</w:t>
      </w:r>
    </w:p>
    <w:p w14:paraId="4875E748" w14:textId="77777777" w:rsidR="00F66887" w:rsidRDefault="00F66887"/>
    <w:p w14:paraId="7D74D076" w14:textId="77777777" w:rsidR="00F56E8C" w:rsidRDefault="00F56E8C" w:rsidP="004140CC"/>
    <w:p w14:paraId="04B63E46" w14:textId="77FABB2D" w:rsidR="00F56E8C" w:rsidRDefault="00A7380F" w:rsidP="004140CC">
      <w:r w:rsidRPr="00A7380F">
        <w:rPr>
          <w:noProof/>
        </w:rPr>
        <w:drawing>
          <wp:inline distT="0" distB="0" distL="0" distR="0" wp14:anchorId="68EB95DF" wp14:editId="30E174D6">
            <wp:extent cx="3784600" cy="1168400"/>
            <wp:effectExtent l="0" t="0" r="0" b="0"/>
            <wp:docPr id="1864925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925120" name=""/>
                    <pic:cNvPicPr/>
                  </pic:nvPicPr>
                  <pic:blipFill>
                    <a:blip r:embed="rId25"/>
                    <a:stretch>
                      <a:fillRect/>
                    </a:stretch>
                  </pic:blipFill>
                  <pic:spPr>
                    <a:xfrm>
                      <a:off x="0" y="0"/>
                      <a:ext cx="3784600" cy="1168400"/>
                    </a:xfrm>
                    <a:prstGeom prst="rect">
                      <a:avLst/>
                    </a:prstGeom>
                  </pic:spPr>
                </pic:pic>
              </a:graphicData>
            </a:graphic>
          </wp:inline>
        </w:drawing>
      </w:r>
    </w:p>
    <w:p w14:paraId="49EF936C" w14:textId="1FE7FD7F" w:rsidR="00F56E8C" w:rsidRDefault="00F56E8C" w:rsidP="004140CC">
      <w:r>
        <w:t>Table</w:t>
      </w:r>
      <w:r w:rsidR="00B00EA2">
        <w:t xml:space="preserve"> 18</w:t>
      </w:r>
      <w:r>
        <w:t xml:space="preserve">: Population size calculated from total calories and </w:t>
      </w:r>
      <w:r w:rsidR="00566680">
        <w:t>the maximum population sizes supported by the protein available, assuming that 10% or 8% of food energy must derive from protein</w:t>
      </w:r>
      <w:r>
        <w:t>, under Scenario B</w:t>
      </w:r>
      <w:r w:rsidR="00566680">
        <w:t xml:space="preserve"> resource availability</w:t>
      </w:r>
      <w:r>
        <w:t>.</w:t>
      </w:r>
    </w:p>
    <w:p w14:paraId="5B2AA733" w14:textId="77777777" w:rsidR="00EF68C6" w:rsidRDefault="00EF68C6" w:rsidP="004140CC"/>
    <w:p w14:paraId="32768D94" w14:textId="4936EAB7" w:rsidR="00EF68C6" w:rsidRDefault="00566680" w:rsidP="004140CC">
      <w:r w:rsidRPr="00566680">
        <w:rPr>
          <w:noProof/>
        </w:rPr>
        <w:lastRenderedPageBreak/>
        <w:drawing>
          <wp:inline distT="0" distB="0" distL="0" distR="0" wp14:anchorId="5AD74399" wp14:editId="0F492B9D">
            <wp:extent cx="1752600" cy="1168400"/>
            <wp:effectExtent l="0" t="0" r="0" b="0"/>
            <wp:docPr id="819072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072357" name=""/>
                    <pic:cNvPicPr/>
                  </pic:nvPicPr>
                  <pic:blipFill>
                    <a:blip r:embed="rId26"/>
                    <a:stretch>
                      <a:fillRect/>
                    </a:stretch>
                  </pic:blipFill>
                  <pic:spPr>
                    <a:xfrm>
                      <a:off x="0" y="0"/>
                      <a:ext cx="1752600" cy="1168400"/>
                    </a:xfrm>
                    <a:prstGeom prst="rect">
                      <a:avLst/>
                    </a:prstGeom>
                  </pic:spPr>
                </pic:pic>
              </a:graphicData>
            </a:graphic>
          </wp:inline>
        </w:drawing>
      </w:r>
    </w:p>
    <w:p w14:paraId="6EC9CFC2" w14:textId="04494EC2" w:rsidR="0080585C" w:rsidRDefault="00EF68C6" w:rsidP="004140CC">
      <w:r>
        <w:t xml:space="preserve">Table </w:t>
      </w:r>
      <w:r w:rsidR="00B00EA2">
        <w:t>19</w:t>
      </w:r>
      <w:r>
        <w:t xml:space="preserve">: Maximum sustainable population under the assumptions of Scenario B, and considering protein </w:t>
      </w:r>
      <w:r w:rsidR="00566680">
        <w:t>must supply 10% of the diet’s energy</w:t>
      </w:r>
      <w:r>
        <w:t>.</w:t>
      </w:r>
    </w:p>
    <w:p w14:paraId="14AE13A0" w14:textId="77777777" w:rsidR="00E150DE" w:rsidRDefault="00E150DE" w:rsidP="004140CC"/>
    <w:sectPr w:rsidR="00E150DE" w:rsidSect="00796675">
      <w:headerReference w:type="default" r:id="rId27"/>
      <w:footerReference w:type="default" r:id="rId28"/>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346146" w14:textId="77777777" w:rsidR="00A5317A" w:rsidRDefault="00A5317A" w:rsidP="00085E70">
      <w:r>
        <w:separator/>
      </w:r>
    </w:p>
  </w:endnote>
  <w:endnote w:type="continuationSeparator" w:id="0">
    <w:p w14:paraId="6F22AFA1" w14:textId="77777777" w:rsidR="00A5317A" w:rsidRDefault="00A5317A" w:rsidP="00085E70">
      <w:r>
        <w:continuationSeparator/>
      </w:r>
    </w:p>
  </w:endnote>
  <w:endnote w:type="continuationNotice" w:id="1">
    <w:p w14:paraId="65B902BD" w14:textId="77777777" w:rsidR="00A5317A" w:rsidRDefault="00A531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Headings CS)">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A28232" w14:textId="77777777" w:rsidR="005F00D3" w:rsidRDefault="005F00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24320D" w14:textId="77777777" w:rsidR="00A5317A" w:rsidRDefault="00A5317A" w:rsidP="00085E70">
      <w:r>
        <w:separator/>
      </w:r>
    </w:p>
  </w:footnote>
  <w:footnote w:type="continuationSeparator" w:id="0">
    <w:p w14:paraId="74139675" w14:textId="77777777" w:rsidR="00A5317A" w:rsidRDefault="00A5317A" w:rsidP="00085E70">
      <w:r>
        <w:continuationSeparator/>
      </w:r>
    </w:p>
  </w:footnote>
  <w:footnote w:type="continuationNotice" w:id="1">
    <w:p w14:paraId="0190D3DE" w14:textId="77777777" w:rsidR="00A5317A" w:rsidRDefault="00A5317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E21686" w14:textId="77777777" w:rsidR="005F00D3" w:rsidRDefault="005F00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B46BDA"/>
    <w:multiLevelType w:val="hybridMultilevel"/>
    <w:tmpl w:val="6D7A3FCE"/>
    <w:lvl w:ilvl="0" w:tplc="033085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715BC2"/>
    <w:multiLevelType w:val="hybridMultilevel"/>
    <w:tmpl w:val="5900D594"/>
    <w:lvl w:ilvl="0" w:tplc="8B28231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7FC21881"/>
    <w:multiLevelType w:val="hybridMultilevel"/>
    <w:tmpl w:val="A418B4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23368816">
    <w:abstractNumId w:val="1"/>
  </w:num>
  <w:num w:numId="2" w16cid:durableId="1011495898">
    <w:abstractNumId w:val="0"/>
  </w:num>
  <w:num w:numId="3" w16cid:durableId="6180762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6259"/>
    <w:rsid w:val="00004CA9"/>
    <w:rsid w:val="000078B6"/>
    <w:rsid w:val="00010944"/>
    <w:rsid w:val="00010D6D"/>
    <w:rsid w:val="0001102D"/>
    <w:rsid w:val="00016404"/>
    <w:rsid w:val="0002247C"/>
    <w:rsid w:val="00022620"/>
    <w:rsid w:val="000252AB"/>
    <w:rsid w:val="00031538"/>
    <w:rsid w:val="00031FF7"/>
    <w:rsid w:val="00033727"/>
    <w:rsid w:val="000425A9"/>
    <w:rsid w:val="000425D2"/>
    <w:rsid w:val="000425D8"/>
    <w:rsid w:val="00045D6F"/>
    <w:rsid w:val="00046342"/>
    <w:rsid w:val="00052DFA"/>
    <w:rsid w:val="00053BE6"/>
    <w:rsid w:val="00053CA3"/>
    <w:rsid w:val="00056750"/>
    <w:rsid w:val="00060C75"/>
    <w:rsid w:val="00064B60"/>
    <w:rsid w:val="0007330F"/>
    <w:rsid w:val="000747EC"/>
    <w:rsid w:val="00074EA8"/>
    <w:rsid w:val="00077E1E"/>
    <w:rsid w:val="000818C0"/>
    <w:rsid w:val="000827FA"/>
    <w:rsid w:val="00084148"/>
    <w:rsid w:val="00084A4B"/>
    <w:rsid w:val="00085E70"/>
    <w:rsid w:val="000864C0"/>
    <w:rsid w:val="00093BB2"/>
    <w:rsid w:val="00097DC0"/>
    <w:rsid w:val="000A2B25"/>
    <w:rsid w:val="000A3A2E"/>
    <w:rsid w:val="000A3B3F"/>
    <w:rsid w:val="000B2E87"/>
    <w:rsid w:val="000B73EA"/>
    <w:rsid w:val="000C16F8"/>
    <w:rsid w:val="000C1970"/>
    <w:rsid w:val="000C56D4"/>
    <w:rsid w:val="000D05F5"/>
    <w:rsid w:val="000D2348"/>
    <w:rsid w:val="000D2EF1"/>
    <w:rsid w:val="000D45B6"/>
    <w:rsid w:val="000D59FE"/>
    <w:rsid w:val="000D6E49"/>
    <w:rsid w:val="000E7514"/>
    <w:rsid w:val="000F1CBA"/>
    <w:rsid w:val="000F2923"/>
    <w:rsid w:val="000F668D"/>
    <w:rsid w:val="000F6D91"/>
    <w:rsid w:val="00105AC2"/>
    <w:rsid w:val="001071D0"/>
    <w:rsid w:val="0011020D"/>
    <w:rsid w:val="00112F8B"/>
    <w:rsid w:val="0011488E"/>
    <w:rsid w:val="00115850"/>
    <w:rsid w:val="001176B3"/>
    <w:rsid w:val="00123490"/>
    <w:rsid w:val="00124B46"/>
    <w:rsid w:val="00124B9E"/>
    <w:rsid w:val="00125484"/>
    <w:rsid w:val="00125DCD"/>
    <w:rsid w:val="001268E5"/>
    <w:rsid w:val="0013041C"/>
    <w:rsid w:val="00132C4C"/>
    <w:rsid w:val="00133AAD"/>
    <w:rsid w:val="001367FB"/>
    <w:rsid w:val="0013754C"/>
    <w:rsid w:val="00140E4C"/>
    <w:rsid w:val="00143434"/>
    <w:rsid w:val="00144158"/>
    <w:rsid w:val="00151564"/>
    <w:rsid w:val="00154B13"/>
    <w:rsid w:val="00155354"/>
    <w:rsid w:val="00157854"/>
    <w:rsid w:val="001610F3"/>
    <w:rsid w:val="00162FEB"/>
    <w:rsid w:val="00166D61"/>
    <w:rsid w:val="001675FD"/>
    <w:rsid w:val="001677DF"/>
    <w:rsid w:val="001727C6"/>
    <w:rsid w:val="00175163"/>
    <w:rsid w:val="00176B0C"/>
    <w:rsid w:val="001809B8"/>
    <w:rsid w:val="001844B4"/>
    <w:rsid w:val="0018656F"/>
    <w:rsid w:val="001914F3"/>
    <w:rsid w:val="00192F64"/>
    <w:rsid w:val="0019384E"/>
    <w:rsid w:val="00195941"/>
    <w:rsid w:val="00195C9C"/>
    <w:rsid w:val="001976F8"/>
    <w:rsid w:val="001A0A4E"/>
    <w:rsid w:val="001A3CEC"/>
    <w:rsid w:val="001A3F8B"/>
    <w:rsid w:val="001A7A93"/>
    <w:rsid w:val="001B3318"/>
    <w:rsid w:val="001B485D"/>
    <w:rsid w:val="001B6A90"/>
    <w:rsid w:val="001B78AC"/>
    <w:rsid w:val="001C156A"/>
    <w:rsid w:val="001C4984"/>
    <w:rsid w:val="001C6287"/>
    <w:rsid w:val="001C6F99"/>
    <w:rsid w:val="001D0614"/>
    <w:rsid w:val="001D0C2D"/>
    <w:rsid w:val="001D1D33"/>
    <w:rsid w:val="001D23A7"/>
    <w:rsid w:val="001D4C93"/>
    <w:rsid w:val="001D6CCC"/>
    <w:rsid w:val="001D6E9E"/>
    <w:rsid w:val="001D776A"/>
    <w:rsid w:val="001E1045"/>
    <w:rsid w:val="001F0354"/>
    <w:rsid w:val="001F61B2"/>
    <w:rsid w:val="00203157"/>
    <w:rsid w:val="00203725"/>
    <w:rsid w:val="00203F92"/>
    <w:rsid w:val="00205AFA"/>
    <w:rsid w:val="00206D3C"/>
    <w:rsid w:val="00213B31"/>
    <w:rsid w:val="00220F71"/>
    <w:rsid w:val="00221887"/>
    <w:rsid w:val="00224011"/>
    <w:rsid w:val="00225310"/>
    <w:rsid w:val="0022614C"/>
    <w:rsid w:val="0022635A"/>
    <w:rsid w:val="002309FF"/>
    <w:rsid w:val="00235C2E"/>
    <w:rsid w:val="00235E6D"/>
    <w:rsid w:val="00240C0C"/>
    <w:rsid w:val="002437FB"/>
    <w:rsid w:val="00243E3E"/>
    <w:rsid w:val="00244049"/>
    <w:rsid w:val="002442F6"/>
    <w:rsid w:val="002451F9"/>
    <w:rsid w:val="00245D34"/>
    <w:rsid w:val="00250E02"/>
    <w:rsid w:val="00251F08"/>
    <w:rsid w:val="00252F29"/>
    <w:rsid w:val="002613A7"/>
    <w:rsid w:val="002673E2"/>
    <w:rsid w:val="00274757"/>
    <w:rsid w:val="00274C09"/>
    <w:rsid w:val="0028508F"/>
    <w:rsid w:val="002854EC"/>
    <w:rsid w:val="00286910"/>
    <w:rsid w:val="00292B45"/>
    <w:rsid w:val="00293237"/>
    <w:rsid w:val="00293F9D"/>
    <w:rsid w:val="00296152"/>
    <w:rsid w:val="00296237"/>
    <w:rsid w:val="002A43F5"/>
    <w:rsid w:val="002A4AB9"/>
    <w:rsid w:val="002A6D00"/>
    <w:rsid w:val="002B1490"/>
    <w:rsid w:val="002B26BE"/>
    <w:rsid w:val="002B64D8"/>
    <w:rsid w:val="002C70D5"/>
    <w:rsid w:val="002D1447"/>
    <w:rsid w:val="002D31A3"/>
    <w:rsid w:val="002D5E8F"/>
    <w:rsid w:val="002D734B"/>
    <w:rsid w:val="002E12C3"/>
    <w:rsid w:val="002E1D36"/>
    <w:rsid w:val="002E28BB"/>
    <w:rsid w:val="002E6C7B"/>
    <w:rsid w:val="002F15B7"/>
    <w:rsid w:val="002F65E5"/>
    <w:rsid w:val="00304014"/>
    <w:rsid w:val="00306E1B"/>
    <w:rsid w:val="00307DAA"/>
    <w:rsid w:val="003117FE"/>
    <w:rsid w:val="00311D24"/>
    <w:rsid w:val="00314D6A"/>
    <w:rsid w:val="003236B0"/>
    <w:rsid w:val="003247DD"/>
    <w:rsid w:val="00330D20"/>
    <w:rsid w:val="0033757A"/>
    <w:rsid w:val="00341468"/>
    <w:rsid w:val="00341DE4"/>
    <w:rsid w:val="003431B7"/>
    <w:rsid w:val="0034321D"/>
    <w:rsid w:val="00346240"/>
    <w:rsid w:val="003469C1"/>
    <w:rsid w:val="00347576"/>
    <w:rsid w:val="0035271D"/>
    <w:rsid w:val="0035279D"/>
    <w:rsid w:val="003537D8"/>
    <w:rsid w:val="00355CF3"/>
    <w:rsid w:val="0035615C"/>
    <w:rsid w:val="00373B86"/>
    <w:rsid w:val="00374DB7"/>
    <w:rsid w:val="003814F5"/>
    <w:rsid w:val="003835F4"/>
    <w:rsid w:val="00383C0C"/>
    <w:rsid w:val="0039217B"/>
    <w:rsid w:val="00392701"/>
    <w:rsid w:val="0039546D"/>
    <w:rsid w:val="003A4A6B"/>
    <w:rsid w:val="003A5146"/>
    <w:rsid w:val="003A64DD"/>
    <w:rsid w:val="003B3DCD"/>
    <w:rsid w:val="003C4A63"/>
    <w:rsid w:val="003C4EDA"/>
    <w:rsid w:val="003C6D3B"/>
    <w:rsid w:val="003C75B2"/>
    <w:rsid w:val="003C76DF"/>
    <w:rsid w:val="003D1805"/>
    <w:rsid w:val="003D38B6"/>
    <w:rsid w:val="003D6F2F"/>
    <w:rsid w:val="003E1794"/>
    <w:rsid w:val="003E2D16"/>
    <w:rsid w:val="003E32FF"/>
    <w:rsid w:val="003E37D3"/>
    <w:rsid w:val="003E6127"/>
    <w:rsid w:val="003F2B16"/>
    <w:rsid w:val="003F3768"/>
    <w:rsid w:val="004009F8"/>
    <w:rsid w:val="004050F6"/>
    <w:rsid w:val="00410186"/>
    <w:rsid w:val="00410820"/>
    <w:rsid w:val="004140CC"/>
    <w:rsid w:val="004150E4"/>
    <w:rsid w:val="0042466C"/>
    <w:rsid w:val="00426AAD"/>
    <w:rsid w:val="00427BEA"/>
    <w:rsid w:val="00431374"/>
    <w:rsid w:val="00435846"/>
    <w:rsid w:val="00440635"/>
    <w:rsid w:val="00442E44"/>
    <w:rsid w:val="00443927"/>
    <w:rsid w:val="00443E7E"/>
    <w:rsid w:val="0044622A"/>
    <w:rsid w:val="0045007A"/>
    <w:rsid w:val="0045340F"/>
    <w:rsid w:val="00454058"/>
    <w:rsid w:val="00454E21"/>
    <w:rsid w:val="004564C4"/>
    <w:rsid w:val="00457280"/>
    <w:rsid w:val="00460387"/>
    <w:rsid w:val="00460854"/>
    <w:rsid w:val="00460958"/>
    <w:rsid w:val="00460964"/>
    <w:rsid w:val="00462476"/>
    <w:rsid w:val="00463261"/>
    <w:rsid w:val="004649D0"/>
    <w:rsid w:val="0046635F"/>
    <w:rsid w:val="00466A70"/>
    <w:rsid w:val="0047017B"/>
    <w:rsid w:val="00471038"/>
    <w:rsid w:val="004721FA"/>
    <w:rsid w:val="00473F5C"/>
    <w:rsid w:val="00475736"/>
    <w:rsid w:val="00477AA4"/>
    <w:rsid w:val="00477FA5"/>
    <w:rsid w:val="0048015B"/>
    <w:rsid w:val="00482E50"/>
    <w:rsid w:val="00491B1A"/>
    <w:rsid w:val="00492207"/>
    <w:rsid w:val="004932A0"/>
    <w:rsid w:val="00494E88"/>
    <w:rsid w:val="00495600"/>
    <w:rsid w:val="004978C1"/>
    <w:rsid w:val="004A1DD5"/>
    <w:rsid w:val="004A39CD"/>
    <w:rsid w:val="004A4488"/>
    <w:rsid w:val="004B11C6"/>
    <w:rsid w:val="004B291E"/>
    <w:rsid w:val="004B2D3C"/>
    <w:rsid w:val="004B473F"/>
    <w:rsid w:val="004C1CDB"/>
    <w:rsid w:val="004C716B"/>
    <w:rsid w:val="004C7763"/>
    <w:rsid w:val="004D2D18"/>
    <w:rsid w:val="004D3B14"/>
    <w:rsid w:val="004D71E6"/>
    <w:rsid w:val="004D7A70"/>
    <w:rsid w:val="004D7AAC"/>
    <w:rsid w:val="004E0EE5"/>
    <w:rsid w:val="004E2B3C"/>
    <w:rsid w:val="004E38FF"/>
    <w:rsid w:val="004E7B62"/>
    <w:rsid w:val="004F0817"/>
    <w:rsid w:val="004F306F"/>
    <w:rsid w:val="004F5DC0"/>
    <w:rsid w:val="0050502A"/>
    <w:rsid w:val="00511900"/>
    <w:rsid w:val="00513017"/>
    <w:rsid w:val="005134AF"/>
    <w:rsid w:val="005136BA"/>
    <w:rsid w:val="00513CBC"/>
    <w:rsid w:val="005165CB"/>
    <w:rsid w:val="00516C25"/>
    <w:rsid w:val="005278BC"/>
    <w:rsid w:val="005316F1"/>
    <w:rsid w:val="0053398D"/>
    <w:rsid w:val="00541443"/>
    <w:rsid w:val="00541B49"/>
    <w:rsid w:val="00544CB6"/>
    <w:rsid w:val="00544D9C"/>
    <w:rsid w:val="005456CC"/>
    <w:rsid w:val="00546E92"/>
    <w:rsid w:val="00550B61"/>
    <w:rsid w:val="00552A44"/>
    <w:rsid w:val="00553A64"/>
    <w:rsid w:val="00554CD8"/>
    <w:rsid w:val="0055553D"/>
    <w:rsid w:val="0055596D"/>
    <w:rsid w:val="00556140"/>
    <w:rsid w:val="005602FA"/>
    <w:rsid w:val="0056053D"/>
    <w:rsid w:val="005654C2"/>
    <w:rsid w:val="00566288"/>
    <w:rsid w:val="00566589"/>
    <w:rsid w:val="00566680"/>
    <w:rsid w:val="00567F5E"/>
    <w:rsid w:val="0057059E"/>
    <w:rsid w:val="005743B2"/>
    <w:rsid w:val="00582CDC"/>
    <w:rsid w:val="00583970"/>
    <w:rsid w:val="00586215"/>
    <w:rsid w:val="005911B6"/>
    <w:rsid w:val="0059466D"/>
    <w:rsid w:val="00596211"/>
    <w:rsid w:val="005A07C6"/>
    <w:rsid w:val="005A1FD7"/>
    <w:rsid w:val="005A4661"/>
    <w:rsid w:val="005A590F"/>
    <w:rsid w:val="005A6EA1"/>
    <w:rsid w:val="005A7CE2"/>
    <w:rsid w:val="005B1750"/>
    <w:rsid w:val="005B41CF"/>
    <w:rsid w:val="005B4281"/>
    <w:rsid w:val="005C1606"/>
    <w:rsid w:val="005C22AA"/>
    <w:rsid w:val="005C387E"/>
    <w:rsid w:val="005C4C94"/>
    <w:rsid w:val="005C5B47"/>
    <w:rsid w:val="005C6ACE"/>
    <w:rsid w:val="005C7116"/>
    <w:rsid w:val="005D1EFE"/>
    <w:rsid w:val="005D25E1"/>
    <w:rsid w:val="005D7FF9"/>
    <w:rsid w:val="005E3EF1"/>
    <w:rsid w:val="005F00D3"/>
    <w:rsid w:val="005F0D0F"/>
    <w:rsid w:val="005F2C14"/>
    <w:rsid w:val="005F2E58"/>
    <w:rsid w:val="005F5C00"/>
    <w:rsid w:val="005F67B5"/>
    <w:rsid w:val="005F7394"/>
    <w:rsid w:val="00600402"/>
    <w:rsid w:val="00603475"/>
    <w:rsid w:val="00604082"/>
    <w:rsid w:val="0060727C"/>
    <w:rsid w:val="00612B0B"/>
    <w:rsid w:val="006233AB"/>
    <w:rsid w:val="006309E1"/>
    <w:rsid w:val="00630D1A"/>
    <w:rsid w:val="006313E5"/>
    <w:rsid w:val="00631941"/>
    <w:rsid w:val="00644F4E"/>
    <w:rsid w:val="00646754"/>
    <w:rsid w:val="00646DE8"/>
    <w:rsid w:val="00650B4B"/>
    <w:rsid w:val="0065318A"/>
    <w:rsid w:val="00653AD0"/>
    <w:rsid w:val="00654374"/>
    <w:rsid w:val="00655D45"/>
    <w:rsid w:val="006572EF"/>
    <w:rsid w:val="00661BCF"/>
    <w:rsid w:val="00670193"/>
    <w:rsid w:val="0067099A"/>
    <w:rsid w:val="00671A6A"/>
    <w:rsid w:val="0067212B"/>
    <w:rsid w:val="006768A9"/>
    <w:rsid w:val="00676A14"/>
    <w:rsid w:val="00676A6D"/>
    <w:rsid w:val="00676E54"/>
    <w:rsid w:val="006774E2"/>
    <w:rsid w:val="00681AE3"/>
    <w:rsid w:val="00683C0B"/>
    <w:rsid w:val="00685D2D"/>
    <w:rsid w:val="00686272"/>
    <w:rsid w:val="00686C83"/>
    <w:rsid w:val="00694A5C"/>
    <w:rsid w:val="00695CBC"/>
    <w:rsid w:val="00696320"/>
    <w:rsid w:val="00697A29"/>
    <w:rsid w:val="006A0258"/>
    <w:rsid w:val="006A0E2B"/>
    <w:rsid w:val="006A0FB1"/>
    <w:rsid w:val="006A49CF"/>
    <w:rsid w:val="006A6B34"/>
    <w:rsid w:val="006B2229"/>
    <w:rsid w:val="006B6593"/>
    <w:rsid w:val="006C1E18"/>
    <w:rsid w:val="006C3308"/>
    <w:rsid w:val="006C472F"/>
    <w:rsid w:val="006C480E"/>
    <w:rsid w:val="006C6170"/>
    <w:rsid w:val="006D04A5"/>
    <w:rsid w:val="006D0798"/>
    <w:rsid w:val="006D1710"/>
    <w:rsid w:val="006D2B96"/>
    <w:rsid w:val="006D6404"/>
    <w:rsid w:val="006D754A"/>
    <w:rsid w:val="006E7990"/>
    <w:rsid w:val="006E7F42"/>
    <w:rsid w:val="006F4E6D"/>
    <w:rsid w:val="006F5425"/>
    <w:rsid w:val="0070268D"/>
    <w:rsid w:val="00702881"/>
    <w:rsid w:val="00702D9D"/>
    <w:rsid w:val="00703358"/>
    <w:rsid w:val="00703922"/>
    <w:rsid w:val="007044F7"/>
    <w:rsid w:val="0071053E"/>
    <w:rsid w:val="0071091D"/>
    <w:rsid w:val="00712734"/>
    <w:rsid w:val="00713F69"/>
    <w:rsid w:val="0071610F"/>
    <w:rsid w:val="00716AAA"/>
    <w:rsid w:val="00717ACE"/>
    <w:rsid w:val="00724AE2"/>
    <w:rsid w:val="00725EBB"/>
    <w:rsid w:val="007262F4"/>
    <w:rsid w:val="00726CD1"/>
    <w:rsid w:val="00727761"/>
    <w:rsid w:val="00732B60"/>
    <w:rsid w:val="00732D1B"/>
    <w:rsid w:val="00734220"/>
    <w:rsid w:val="007345C8"/>
    <w:rsid w:val="00734B3D"/>
    <w:rsid w:val="00734F15"/>
    <w:rsid w:val="00735DEE"/>
    <w:rsid w:val="00743E93"/>
    <w:rsid w:val="007453E5"/>
    <w:rsid w:val="007455F5"/>
    <w:rsid w:val="007501B1"/>
    <w:rsid w:val="00750322"/>
    <w:rsid w:val="00750A3B"/>
    <w:rsid w:val="00752B69"/>
    <w:rsid w:val="00754BB1"/>
    <w:rsid w:val="00757456"/>
    <w:rsid w:val="00763275"/>
    <w:rsid w:val="007641CB"/>
    <w:rsid w:val="00765BFC"/>
    <w:rsid w:val="00770EAF"/>
    <w:rsid w:val="007724BC"/>
    <w:rsid w:val="00773120"/>
    <w:rsid w:val="007754F9"/>
    <w:rsid w:val="00780502"/>
    <w:rsid w:val="00781A57"/>
    <w:rsid w:val="00781C99"/>
    <w:rsid w:val="0078237D"/>
    <w:rsid w:val="00783E75"/>
    <w:rsid w:val="007847D8"/>
    <w:rsid w:val="00786109"/>
    <w:rsid w:val="007913DB"/>
    <w:rsid w:val="007928CC"/>
    <w:rsid w:val="00793522"/>
    <w:rsid w:val="00794BE2"/>
    <w:rsid w:val="0079659B"/>
    <w:rsid w:val="00796675"/>
    <w:rsid w:val="007A1DB9"/>
    <w:rsid w:val="007A360D"/>
    <w:rsid w:val="007A7DAC"/>
    <w:rsid w:val="007B01BE"/>
    <w:rsid w:val="007B0D66"/>
    <w:rsid w:val="007B1AEB"/>
    <w:rsid w:val="007B44F6"/>
    <w:rsid w:val="007B74CF"/>
    <w:rsid w:val="007C0F25"/>
    <w:rsid w:val="007C13D4"/>
    <w:rsid w:val="007C311F"/>
    <w:rsid w:val="007C6866"/>
    <w:rsid w:val="007C6E84"/>
    <w:rsid w:val="007D0ECE"/>
    <w:rsid w:val="007D72F2"/>
    <w:rsid w:val="007F27F6"/>
    <w:rsid w:val="007F4E1B"/>
    <w:rsid w:val="007F71BD"/>
    <w:rsid w:val="007F7C81"/>
    <w:rsid w:val="00801070"/>
    <w:rsid w:val="00801666"/>
    <w:rsid w:val="0080498D"/>
    <w:rsid w:val="00805510"/>
    <w:rsid w:val="0080585C"/>
    <w:rsid w:val="00805AD7"/>
    <w:rsid w:val="008105EF"/>
    <w:rsid w:val="00815ACE"/>
    <w:rsid w:val="008175D9"/>
    <w:rsid w:val="00817B9C"/>
    <w:rsid w:val="008216F7"/>
    <w:rsid w:val="0082418F"/>
    <w:rsid w:val="00827E6C"/>
    <w:rsid w:val="00830B45"/>
    <w:rsid w:val="0083265B"/>
    <w:rsid w:val="00833755"/>
    <w:rsid w:val="00840B87"/>
    <w:rsid w:val="00842237"/>
    <w:rsid w:val="00844C87"/>
    <w:rsid w:val="00847465"/>
    <w:rsid w:val="00850F76"/>
    <w:rsid w:val="00851125"/>
    <w:rsid w:val="00854C89"/>
    <w:rsid w:val="008558B5"/>
    <w:rsid w:val="00861BCF"/>
    <w:rsid w:val="00862AC1"/>
    <w:rsid w:val="0086408F"/>
    <w:rsid w:val="00866F30"/>
    <w:rsid w:val="0086770E"/>
    <w:rsid w:val="0087298C"/>
    <w:rsid w:val="008743A3"/>
    <w:rsid w:val="0087667D"/>
    <w:rsid w:val="008778CA"/>
    <w:rsid w:val="00880533"/>
    <w:rsid w:val="00881DC5"/>
    <w:rsid w:val="0088730D"/>
    <w:rsid w:val="0088745C"/>
    <w:rsid w:val="00891CD8"/>
    <w:rsid w:val="00893F07"/>
    <w:rsid w:val="00895D7E"/>
    <w:rsid w:val="0089651A"/>
    <w:rsid w:val="008965F2"/>
    <w:rsid w:val="00896EDA"/>
    <w:rsid w:val="008A2AB8"/>
    <w:rsid w:val="008A3985"/>
    <w:rsid w:val="008A398D"/>
    <w:rsid w:val="008A583D"/>
    <w:rsid w:val="008A614F"/>
    <w:rsid w:val="008A6A05"/>
    <w:rsid w:val="008A7AC4"/>
    <w:rsid w:val="008B0A04"/>
    <w:rsid w:val="008B20A1"/>
    <w:rsid w:val="008B3444"/>
    <w:rsid w:val="008B5AA5"/>
    <w:rsid w:val="008C4361"/>
    <w:rsid w:val="008C5F0C"/>
    <w:rsid w:val="008C6535"/>
    <w:rsid w:val="008C6F84"/>
    <w:rsid w:val="008C71BD"/>
    <w:rsid w:val="008C7813"/>
    <w:rsid w:val="008D066D"/>
    <w:rsid w:val="008D2954"/>
    <w:rsid w:val="008E047B"/>
    <w:rsid w:val="008E107F"/>
    <w:rsid w:val="008E13BA"/>
    <w:rsid w:val="008E2A24"/>
    <w:rsid w:val="008E537C"/>
    <w:rsid w:val="008F2CCE"/>
    <w:rsid w:val="008F3302"/>
    <w:rsid w:val="008F33ED"/>
    <w:rsid w:val="008F34CF"/>
    <w:rsid w:val="008F76EB"/>
    <w:rsid w:val="00901ED9"/>
    <w:rsid w:val="00905CCB"/>
    <w:rsid w:val="00906BE7"/>
    <w:rsid w:val="0090738C"/>
    <w:rsid w:val="00912CB8"/>
    <w:rsid w:val="009208F8"/>
    <w:rsid w:val="00927857"/>
    <w:rsid w:val="00931084"/>
    <w:rsid w:val="00932A0C"/>
    <w:rsid w:val="0093722D"/>
    <w:rsid w:val="00937415"/>
    <w:rsid w:val="009420F7"/>
    <w:rsid w:val="009425DF"/>
    <w:rsid w:val="00942ED6"/>
    <w:rsid w:val="00943510"/>
    <w:rsid w:val="00946CFC"/>
    <w:rsid w:val="009510D6"/>
    <w:rsid w:val="00952232"/>
    <w:rsid w:val="0095475C"/>
    <w:rsid w:val="00956BDF"/>
    <w:rsid w:val="00961BBA"/>
    <w:rsid w:val="00961DFE"/>
    <w:rsid w:val="009633AB"/>
    <w:rsid w:val="00963435"/>
    <w:rsid w:val="00965D17"/>
    <w:rsid w:val="00976655"/>
    <w:rsid w:val="00976861"/>
    <w:rsid w:val="00977FED"/>
    <w:rsid w:val="00980F87"/>
    <w:rsid w:val="00981E18"/>
    <w:rsid w:val="00982BF0"/>
    <w:rsid w:val="0098763D"/>
    <w:rsid w:val="009924F7"/>
    <w:rsid w:val="009932D2"/>
    <w:rsid w:val="00995681"/>
    <w:rsid w:val="00995C4F"/>
    <w:rsid w:val="00995DEA"/>
    <w:rsid w:val="00997FB6"/>
    <w:rsid w:val="009A2F55"/>
    <w:rsid w:val="009A6F0D"/>
    <w:rsid w:val="009B01FB"/>
    <w:rsid w:val="009B4388"/>
    <w:rsid w:val="009B54EC"/>
    <w:rsid w:val="009B7552"/>
    <w:rsid w:val="009B7A35"/>
    <w:rsid w:val="009C18FF"/>
    <w:rsid w:val="009C7428"/>
    <w:rsid w:val="009D467D"/>
    <w:rsid w:val="009D49F4"/>
    <w:rsid w:val="009D51C7"/>
    <w:rsid w:val="009D631B"/>
    <w:rsid w:val="009E314C"/>
    <w:rsid w:val="009E4651"/>
    <w:rsid w:val="009E4737"/>
    <w:rsid w:val="009E6126"/>
    <w:rsid w:val="009E6CD0"/>
    <w:rsid w:val="009F2CDE"/>
    <w:rsid w:val="009F5DF2"/>
    <w:rsid w:val="00A038B1"/>
    <w:rsid w:val="00A04EF4"/>
    <w:rsid w:val="00A06922"/>
    <w:rsid w:val="00A06DC6"/>
    <w:rsid w:val="00A06F09"/>
    <w:rsid w:val="00A121E6"/>
    <w:rsid w:val="00A15350"/>
    <w:rsid w:val="00A16683"/>
    <w:rsid w:val="00A170D1"/>
    <w:rsid w:val="00A17585"/>
    <w:rsid w:val="00A2390F"/>
    <w:rsid w:val="00A34E44"/>
    <w:rsid w:val="00A36295"/>
    <w:rsid w:val="00A409E7"/>
    <w:rsid w:val="00A4120B"/>
    <w:rsid w:val="00A4565B"/>
    <w:rsid w:val="00A45CCD"/>
    <w:rsid w:val="00A47595"/>
    <w:rsid w:val="00A5317A"/>
    <w:rsid w:val="00A53534"/>
    <w:rsid w:val="00A538A3"/>
    <w:rsid w:val="00A57169"/>
    <w:rsid w:val="00A62ED9"/>
    <w:rsid w:val="00A64001"/>
    <w:rsid w:val="00A640F3"/>
    <w:rsid w:val="00A6438A"/>
    <w:rsid w:val="00A70E81"/>
    <w:rsid w:val="00A7380F"/>
    <w:rsid w:val="00A8338E"/>
    <w:rsid w:val="00A934AE"/>
    <w:rsid w:val="00A95473"/>
    <w:rsid w:val="00A95561"/>
    <w:rsid w:val="00A9565D"/>
    <w:rsid w:val="00A961DF"/>
    <w:rsid w:val="00A96D60"/>
    <w:rsid w:val="00AA02DD"/>
    <w:rsid w:val="00AA613D"/>
    <w:rsid w:val="00AA61AA"/>
    <w:rsid w:val="00AA6B40"/>
    <w:rsid w:val="00AB37F5"/>
    <w:rsid w:val="00AB3A25"/>
    <w:rsid w:val="00AB3D1E"/>
    <w:rsid w:val="00AB448A"/>
    <w:rsid w:val="00AB44FD"/>
    <w:rsid w:val="00AB546D"/>
    <w:rsid w:val="00AB5D5A"/>
    <w:rsid w:val="00AC1483"/>
    <w:rsid w:val="00AC178C"/>
    <w:rsid w:val="00AC1AA0"/>
    <w:rsid w:val="00AC22E2"/>
    <w:rsid w:val="00AC265B"/>
    <w:rsid w:val="00AD018A"/>
    <w:rsid w:val="00AD32B0"/>
    <w:rsid w:val="00AD392A"/>
    <w:rsid w:val="00AD5FE5"/>
    <w:rsid w:val="00AD6C69"/>
    <w:rsid w:val="00AE5F0C"/>
    <w:rsid w:val="00AF3C16"/>
    <w:rsid w:val="00AF4031"/>
    <w:rsid w:val="00AF56D6"/>
    <w:rsid w:val="00AF6802"/>
    <w:rsid w:val="00AF6CE8"/>
    <w:rsid w:val="00AF7518"/>
    <w:rsid w:val="00AF7567"/>
    <w:rsid w:val="00AF75F5"/>
    <w:rsid w:val="00B0008A"/>
    <w:rsid w:val="00B00EA2"/>
    <w:rsid w:val="00B012D7"/>
    <w:rsid w:val="00B01B95"/>
    <w:rsid w:val="00B01FD3"/>
    <w:rsid w:val="00B1133E"/>
    <w:rsid w:val="00B151DF"/>
    <w:rsid w:val="00B156A2"/>
    <w:rsid w:val="00B16983"/>
    <w:rsid w:val="00B177F7"/>
    <w:rsid w:val="00B2052E"/>
    <w:rsid w:val="00B25ED8"/>
    <w:rsid w:val="00B26880"/>
    <w:rsid w:val="00B309F5"/>
    <w:rsid w:val="00B31E8A"/>
    <w:rsid w:val="00B324EC"/>
    <w:rsid w:val="00B33715"/>
    <w:rsid w:val="00B33B38"/>
    <w:rsid w:val="00B344BC"/>
    <w:rsid w:val="00B34C5D"/>
    <w:rsid w:val="00B40C8D"/>
    <w:rsid w:val="00B42196"/>
    <w:rsid w:val="00B42DA3"/>
    <w:rsid w:val="00B52847"/>
    <w:rsid w:val="00B5333B"/>
    <w:rsid w:val="00B54017"/>
    <w:rsid w:val="00B545E6"/>
    <w:rsid w:val="00B54DC9"/>
    <w:rsid w:val="00B55790"/>
    <w:rsid w:val="00B558BD"/>
    <w:rsid w:val="00B563EB"/>
    <w:rsid w:val="00B574D0"/>
    <w:rsid w:val="00B579B3"/>
    <w:rsid w:val="00B62B8C"/>
    <w:rsid w:val="00B65791"/>
    <w:rsid w:val="00B66E20"/>
    <w:rsid w:val="00B703A6"/>
    <w:rsid w:val="00B70787"/>
    <w:rsid w:val="00B74C2D"/>
    <w:rsid w:val="00B758B9"/>
    <w:rsid w:val="00B7716F"/>
    <w:rsid w:val="00B810D5"/>
    <w:rsid w:val="00B83521"/>
    <w:rsid w:val="00B851C9"/>
    <w:rsid w:val="00B938E3"/>
    <w:rsid w:val="00B945A4"/>
    <w:rsid w:val="00BA05DC"/>
    <w:rsid w:val="00BA3666"/>
    <w:rsid w:val="00BA46E9"/>
    <w:rsid w:val="00BB0448"/>
    <w:rsid w:val="00BB1F84"/>
    <w:rsid w:val="00BB1FE4"/>
    <w:rsid w:val="00BB41F7"/>
    <w:rsid w:val="00BB4E5C"/>
    <w:rsid w:val="00BB6CC3"/>
    <w:rsid w:val="00BC2AD8"/>
    <w:rsid w:val="00BC319B"/>
    <w:rsid w:val="00BC3BC8"/>
    <w:rsid w:val="00BD4330"/>
    <w:rsid w:val="00BD4639"/>
    <w:rsid w:val="00BD5E0D"/>
    <w:rsid w:val="00BD78BE"/>
    <w:rsid w:val="00BE79D4"/>
    <w:rsid w:val="00BF585A"/>
    <w:rsid w:val="00BF6916"/>
    <w:rsid w:val="00BF6F32"/>
    <w:rsid w:val="00BF769F"/>
    <w:rsid w:val="00BF799B"/>
    <w:rsid w:val="00C00584"/>
    <w:rsid w:val="00C02D88"/>
    <w:rsid w:val="00C068B9"/>
    <w:rsid w:val="00C0758A"/>
    <w:rsid w:val="00C11ED3"/>
    <w:rsid w:val="00C125FE"/>
    <w:rsid w:val="00C12EA7"/>
    <w:rsid w:val="00C14DC6"/>
    <w:rsid w:val="00C14F96"/>
    <w:rsid w:val="00C175DB"/>
    <w:rsid w:val="00C21C22"/>
    <w:rsid w:val="00C278BF"/>
    <w:rsid w:val="00C300CC"/>
    <w:rsid w:val="00C333EC"/>
    <w:rsid w:val="00C340D3"/>
    <w:rsid w:val="00C37F16"/>
    <w:rsid w:val="00C403CE"/>
    <w:rsid w:val="00C41FF6"/>
    <w:rsid w:val="00C4513A"/>
    <w:rsid w:val="00C4579E"/>
    <w:rsid w:val="00C512A6"/>
    <w:rsid w:val="00C53497"/>
    <w:rsid w:val="00C53911"/>
    <w:rsid w:val="00C542C2"/>
    <w:rsid w:val="00C54DBE"/>
    <w:rsid w:val="00C56D57"/>
    <w:rsid w:val="00C57B7F"/>
    <w:rsid w:val="00C62FE8"/>
    <w:rsid w:val="00C6462E"/>
    <w:rsid w:val="00C659E7"/>
    <w:rsid w:val="00C660C5"/>
    <w:rsid w:val="00C71BD6"/>
    <w:rsid w:val="00C72C78"/>
    <w:rsid w:val="00C7389B"/>
    <w:rsid w:val="00C73DBA"/>
    <w:rsid w:val="00C73E81"/>
    <w:rsid w:val="00C746D1"/>
    <w:rsid w:val="00C76ADD"/>
    <w:rsid w:val="00C8131C"/>
    <w:rsid w:val="00C83567"/>
    <w:rsid w:val="00C83DBE"/>
    <w:rsid w:val="00C85467"/>
    <w:rsid w:val="00C9286B"/>
    <w:rsid w:val="00C93842"/>
    <w:rsid w:val="00C94605"/>
    <w:rsid w:val="00C95671"/>
    <w:rsid w:val="00C95B57"/>
    <w:rsid w:val="00CA01FE"/>
    <w:rsid w:val="00CA0B23"/>
    <w:rsid w:val="00CB01AE"/>
    <w:rsid w:val="00CB1B7C"/>
    <w:rsid w:val="00CC25A2"/>
    <w:rsid w:val="00CC314A"/>
    <w:rsid w:val="00CC7F19"/>
    <w:rsid w:val="00CD3013"/>
    <w:rsid w:val="00CD3421"/>
    <w:rsid w:val="00CD3C70"/>
    <w:rsid w:val="00CD75B7"/>
    <w:rsid w:val="00CF1034"/>
    <w:rsid w:val="00CF1970"/>
    <w:rsid w:val="00CF3DE3"/>
    <w:rsid w:val="00CF767E"/>
    <w:rsid w:val="00CF7EE9"/>
    <w:rsid w:val="00D006AF"/>
    <w:rsid w:val="00D01522"/>
    <w:rsid w:val="00D0649B"/>
    <w:rsid w:val="00D0705C"/>
    <w:rsid w:val="00D07384"/>
    <w:rsid w:val="00D11DFE"/>
    <w:rsid w:val="00D13D63"/>
    <w:rsid w:val="00D14252"/>
    <w:rsid w:val="00D1482D"/>
    <w:rsid w:val="00D16FED"/>
    <w:rsid w:val="00D205F7"/>
    <w:rsid w:val="00D21D24"/>
    <w:rsid w:val="00D23DD7"/>
    <w:rsid w:val="00D2612E"/>
    <w:rsid w:val="00D3415F"/>
    <w:rsid w:val="00D34659"/>
    <w:rsid w:val="00D34873"/>
    <w:rsid w:val="00D36D8A"/>
    <w:rsid w:val="00D3708C"/>
    <w:rsid w:val="00D37F83"/>
    <w:rsid w:val="00D41E56"/>
    <w:rsid w:val="00D423F3"/>
    <w:rsid w:val="00D42AFB"/>
    <w:rsid w:val="00D42EEF"/>
    <w:rsid w:val="00D42F24"/>
    <w:rsid w:val="00D4381A"/>
    <w:rsid w:val="00D442BF"/>
    <w:rsid w:val="00D4470E"/>
    <w:rsid w:val="00D45E22"/>
    <w:rsid w:val="00D5132A"/>
    <w:rsid w:val="00D52AE1"/>
    <w:rsid w:val="00D53C0D"/>
    <w:rsid w:val="00D54C5C"/>
    <w:rsid w:val="00D63FC8"/>
    <w:rsid w:val="00D65C4F"/>
    <w:rsid w:val="00D66F5A"/>
    <w:rsid w:val="00D67525"/>
    <w:rsid w:val="00D74552"/>
    <w:rsid w:val="00D75AB4"/>
    <w:rsid w:val="00D81E20"/>
    <w:rsid w:val="00D83340"/>
    <w:rsid w:val="00D851DA"/>
    <w:rsid w:val="00D86705"/>
    <w:rsid w:val="00D87890"/>
    <w:rsid w:val="00D879E0"/>
    <w:rsid w:val="00D92AE5"/>
    <w:rsid w:val="00D9357C"/>
    <w:rsid w:val="00D94E0B"/>
    <w:rsid w:val="00D95989"/>
    <w:rsid w:val="00D95BB6"/>
    <w:rsid w:val="00D95FAC"/>
    <w:rsid w:val="00D96669"/>
    <w:rsid w:val="00D9739C"/>
    <w:rsid w:val="00DA31F2"/>
    <w:rsid w:val="00DA5E0E"/>
    <w:rsid w:val="00DB6259"/>
    <w:rsid w:val="00DB74D5"/>
    <w:rsid w:val="00DC1757"/>
    <w:rsid w:val="00DC3313"/>
    <w:rsid w:val="00DC5124"/>
    <w:rsid w:val="00DC7043"/>
    <w:rsid w:val="00DD096B"/>
    <w:rsid w:val="00DD1398"/>
    <w:rsid w:val="00DD35B2"/>
    <w:rsid w:val="00DD5C3E"/>
    <w:rsid w:val="00DE2521"/>
    <w:rsid w:val="00DE291E"/>
    <w:rsid w:val="00DE613E"/>
    <w:rsid w:val="00DF0AAE"/>
    <w:rsid w:val="00DF5C62"/>
    <w:rsid w:val="00DF5D8C"/>
    <w:rsid w:val="00DF5E98"/>
    <w:rsid w:val="00DF60B6"/>
    <w:rsid w:val="00E02D9C"/>
    <w:rsid w:val="00E0632E"/>
    <w:rsid w:val="00E0736E"/>
    <w:rsid w:val="00E076C9"/>
    <w:rsid w:val="00E077AE"/>
    <w:rsid w:val="00E07F07"/>
    <w:rsid w:val="00E117D7"/>
    <w:rsid w:val="00E134B4"/>
    <w:rsid w:val="00E150DE"/>
    <w:rsid w:val="00E22325"/>
    <w:rsid w:val="00E23BA7"/>
    <w:rsid w:val="00E241C4"/>
    <w:rsid w:val="00E25B43"/>
    <w:rsid w:val="00E34B36"/>
    <w:rsid w:val="00E379C1"/>
    <w:rsid w:val="00E462A2"/>
    <w:rsid w:val="00E52598"/>
    <w:rsid w:val="00E54810"/>
    <w:rsid w:val="00E61D7A"/>
    <w:rsid w:val="00E642C5"/>
    <w:rsid w:val="00E64304"/>
    <w:rsid w:val="00E6505C"/>
    <w:rsid w:val="00E66150"/>
    <w:rsid w:val="00E66B50"/>
    <w:rsid w:val="00E74AF0"/>
    <w:rsid w:val="00E776EE"/>
    <w:rsid w:val="00E82E03"/>
    <w:rsid w:val="00E855D3"/>
    <w:rsid w:val="00E8570A"/>
    <w:rsid w:val="00E857B8"/>
    <w:rsid w:val="00E90742"/>
    <w:rsid w:val="00E90CC9"/>
    <w:rsid w:val="00E951EF"/>
    <w:rsid w:val="00E956B6"/>
    <w:rsid w:val="00E95C7A"/>
    <w:rsid w:val="00E97605"/>
    <w:rsid w:val="00EB2680"/>
    <w:rsid w:val="00EB3C6C"/>
    <w:rsid w:val="00EB540D"/>
    <w:rsid w:val="00EB74D3"/>
    <w:rsid w:val="00EB7F5E"/>
    <w:rsid w:val="00EC07F2"/>
    <w:rsid w:val="00EC1F1E"/>
    <w:rsid w:val="00EC2934"/>
    <w:rsid w:val="00EC3664"/>
    <w:rsid w:val="00EC3D38"/>
    <w:rsid w:val="00EC3F25"/>
    <w:rsid w:val="00ED1613"/>
    <w:rsid w:val="00ED7AD1"/>
    <w:rsid w:val="00ED7DF0"/>
    <w:rsid w:val="00EE28B9"/>
    <w:rsid w:val="00EE3476"/>
    <w:rsid w:val="00EE57B1"/>
    <w:rsid w:val="00EE6C2C"/>
    <w:rsid w:val="00EF0FD7"/>
    <w:rsid w:val="00EF28EF"/>
    <w:rsid w:val="00EF4702"/>
    <w:rsid w:val="00EF5518"/>
    <w:rsid w:val="00EF68C6"/>
    <w:rsid w:val="00EF79BB"/>
    <w:rsid w:val="00EF7A94"/>
    <w:rsid w:val="00F02C6D"/>
    <w:rsid w:val="00F03D7F"/>
    <w:rsid w:val="00F06E02"/>
    <w:rsid w:val="00F07B6E"/>
    <w:rsid w:val="00F114CC"/>
    <w:rsid w:val="00F124C4"/>
    <w:rsid w:val="00F131C0"/>
    <w:rsid w:val="00F14174"/>
    <w:rsid w:val="00F15A9E"/>
    <w:rsid w:val="00F16596"/>
    <w:rsid w:val="00F2127D"/>
    <w:rsid w:val="00F23E62"/>
    <w:rsid w:val="00F27F69"/>
    <w:rsid w:val="00F308F1"/>
    <w:rsid w:val="00F30B1E"/>
    <w:rsid w:val="00F327F5"/>
    <w:rsid w:val="00F35127"/>
    <w:rsid w:val="00F35212"/>
    <w:rsid w:val="00F3676C"/>
    <w:rsid w:val="00F36BA9"/>
    <w:rsid w:val="00F371E3"/>
    <w:rsid w:val="00F41EF1"/>
    <w:rsid w:val="00F42DFC"/>
    <w:rsid w:val="00F44DD9"/>
    <w:rsid w:val="00F459ED"/>
    <w:rsid w:val="00F50CC1"/>
    <w:rsid w:val="00F50D9A"/>
    <w:rsid w:val="00F514B1"/>
    <w:rsid w:val="00F55699"/>
    <w:rsid w:val="00F56E8C"/>
    <w:rsid w:val="00F60CEB"/>
    <w:rsid w:val="00F60D4B"/>
    <w:rsid w:val="00F63945"/>
    <w:rsid w:val="00F66887"/>
    <w:rsid w:val="00F6747C"/>
    <w:rsid w:val="00F708A3"/>
    <w:rsid w:val="00F8157C"/>
    <w:rsid w:val="00F83816"/>
    <w:rsid w:val="00F85AE0"/>
    <w:rsid w:val="00F86C2E"/>
    <w:rsid w:val="00F90164"/>
    <w:rsid w:val="00F967FB"/>
    <w:rsid w:val="00FA24F4"/>
    <w:rsid w:val="00FA4679"/>
    <w:rsid w:val="00FA47D4"/>
    <w:rsid w:val="00FA4C58"/>
    <w:rsid w:val="00FA6997"/>
    <w:rsid w:val="00FA7A90"/>
    <w:rsid w:val="00FB5818"/>
    <w:rsid w:val="00FB615C"/>
    <w:rsid w:val="00FB7CD0"/>
    <w:rsid w:val="00FC26DC"/>
    <w:rsid w:val="00FC3AC2"/>
    <w:rsid w:val="00FC6376"/>
    <w:rsid w:val="00FC7153"/>
    <w:rsid w:val="00FC799E"/>
    <w:rsid w:val="00FD2B73"/>
    <w:rsid w:val="00FD2F11"/>
    <w:rsid w:val="00FD443C"/>
    <w:rsid w:val="00FE0AD1"/>
    <w:rsid w:val="00FE15FD"/>
    <w:rsid w:val="00FE1CE0"/>
    <w:rsid w:val="00FE2B4D"/>
    <w:rsid w:val="00FE3261"/>
    <w:rsid w:val="00FE5544"/>
    <w:rsid w:val="00FE6169"/>
    <w:rsid w:val="00FF2C04"/>
    <w:rsid w:val="00FF2D58"/>
    <w:rsid w:val="00FF7C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B6BBF"/>
  <w15:chartTrackingRefBased/>
  <w15:docId w15:val="{3DA5029D-6662-C84F-A766-91155FEB9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0B2E87"/>
    <w:pPr>
      <w:keepNext/>
      <w:keepLines/>
      <w:spacing w:before="240"/>
      <w:outlineLvl w:val="0"/>
    </w:pPr>
    <w:rPr>
      <w:rFonts w:eastAsiaTheme="majorEastAsia" w:cs="Times New Roman (Headings CS)"/>
      <w:b/>
      <w:smallCaps/>
      <w:color w:val="000000" w:themeColor="text1"/>
      <w:sz w:val="32"/>
      <w:szCs w:val="32"/>
    </w:rPr>
  </w:style>
  <w:style w:type="paragraph" w:styleId="Heading2">
    <w:name w:val="heading 2"/>
    <w:basedOn w:val="Normal"/>
    <w:next w:val="Normal"/>
    <w:link w:val="Heading2Char"/>
    <w:autoRedefine/>
    <w:uiPriority w:val="9"/>
    <w:unhideWhenUsed/>
    <w:qFormat/>
    <w:rsid w:val="001D4C93"/>
    <w:pPr>
      <w:keepNext/>
      <w:keepLines/>
      <w:spacing w:before="40"/>
      <w:outlineLvl w:val="1"/>
    </w:pPr>
    <w:rPr>
      <w:rFonts w:eastAsiaTheme="majorEastAsia" w:cstheme="majorBidi"/>
      <w:b/>
      <w:color w:val="000000" w:themeColor="tex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3D38"/>
    <w:pPr>
      <w:ind w:left="720"/>
      <w:contextualSpacing/>
    </w:pPr>
  </w:style>
  <w:style w:type="paragraph" w:styleId="BalloonText">
    <w:name w:val="Balloon Text"/>
    <w:basedOn w:val="Normal"/>
    <w:link w:val="BalloonTextChar"/>
    <w:uiPriority w:val="99"/>
    <w:semiHidden/>
    <w:unhideWhenUsed/>
    <w:rsid w:val="005316F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316F1"/>
    <w:rPr>
      <w:rFonts w:ascii="Times New Roman" w:hAnsi="Times New Roman" w:cs="Times New Roman"/>
      <w:sz w:val="18"/>
      <w:szCs w:val="18"/>
    </w:rPr>
  </w:style>
  <w:style w:type="paragraph" w:styleId="NormalWeb">
    <w:name w:val="Normal (Web)"/>
    <w:basedOn w:val="Normal"/>
    <w:uiPriority w:val="99"/>
    <w:unhideWhenUsed/>
    <w:rsid w:val="007A1DB9"/>
    <w:rPr>
      <w:rFonts w:ascii="Times New Roman" w:hAnsi="Times New Roman" w:cs="Times New Roman"/>
    </w:rPr>
  </w:style>
  <w:style w:type="character" w:styleId="CommentReference">
    <w:name w:val="annotation reference"/>
    <w:basedOn w:val="DefaultParagraphFont"/>
    <w:uiPriority w:val="99"/>
    <w:semiHidden/>
    <w:unhideWhenUsed/>
    <w:rsid w:val="00713F69"/>
    <w:rPr>
      <w:sz w:val="16"/>
      <w:szCs w:val="16"/>
    </w:rPr>
  </w:style>
  <w:style w:type="paragraph" w:styleId="CommentText">
    <w:name w:val="annotation text"/>
    <w:basedOn w:val="Normal"/>
    <w:link w:val="CommentTextChar"/>
    <w:uiPriority w:val="99"/>
    <w:unhideWhenUsed/>
    <w:rsid w:val="00713F69"/>
    <w:rPr>
      <w:sz w:val="20"/>
      <w:szCs w:val="20"/>
    </w:rPr>
  </w:style>
  <w:style w:type="character" w:customStyle="1" w:styleId="CommentTextChar">
    <w:name w:val="Comment Text Char"/>
    <w:basedOn w:val="DefaultParagraphFont"/>
    <w:link w:val="CommentText"/>
    <w:uiPriority w:val="99"/>
    <w:rsid w:val="00713F69"/>
    <w:rPr>
      <w:sz w:val="20"/>
      <w:szCs w:val="20"/>
    </w:rPr>
  </w:style>
  <w:style w:type="paragraph" w:styleId="CommentSubject">
    <w:name w:val="annotation subject"/>
    <w:basedOn w:val="CommentText"/>
    <w:next w:val="CommentText"/>
    <w:link w:val="CommentSubjectChar"/>
    <w:uiPriority w:val="99"/>
    <w:semiHidden/>
    <w:unhideWhenUsed/>
    <w:rsid w:val="00713F69"/>
    <w:rPr>
      <w:b/>
      <w:bCs/>
    </w:rPr>
  </w:style>
  <w:style w:type="character" w:customStyle="1" w:styleId="CommentSubjectChar">
    <w:name w:val="Comment Subject Char"/>
    <w:basedOn w:val="CommentTextChar"/>
    <w:link w:val="CommentSubject"/>
    <w:uiPriority w:val="99"/>
    <w:semiHidden/>
    <w:rsid w:val="00713F69"/>
    <w:rPr>
      <w:b/>
      <w:bCs/>
      <w:sz w:val="20"/>
      <w:szCs w:val="20"/>
    </w:rPr>
  </w:style>
  <w:style w:type="paragraph" w:styleId="Revision">
    <w:name w:val="Revision"/>
    <w:hidden/>
    <w:uiPriority w:val="99"/>
    <w:semiHidden/>
    <w:rsid w:val="00B33715"/>
  </w:style>
  <w:style w:type="character" w:styleId="HTMLCite">
    <w:name w:val="HTML Cite"/>
    <w:basedOn w:val="DefaultParagraphFont"/>
    <w:uiPriority w:val="99"/>
    <w:semiHidden/>
    <w:unhideWhenUsed/>
    <w:rsid w:val="00292B45"/>
    <w:rPr>
      <w:i/>
      <w:iCs/>
    </w:rPr>
  </w:style>
  <w:style w:type="character" w:customStyle="1" w:styleId="Heading1Char">
    <w:name w:val="Heading 1 Char"/>
    <w:basedOn w:val="DefaultParagraphFont"/>
    <w:link w:val="Heading1"/>
    <w:uiPriority w:val="9"/>
    <w:rsid w:val="000B2E87"/>
    <w:rPr>
      <w:rFonts w:eastAsiaTheme="majorEastAsia" w:cs="Times New Roman (Headings CS)"/>
      <w:b/>
      <w:smallCaps/>
      <w:color w:val="000000" w:themeColor="text1"/>
      <w:sz w:val="32"/>
      <w:szCs w:val="32"/>
    </w:rPr>
  </w:style>
  <w:style w:type="character" w:customStyle="1" w:styleId="Heading2Char">
    <w:name w:val="Heading 2 Char"/>
    <w:basedOn w:val="DefaultParagraphFont"/>
    <w:link w:val="Heading2"/>
    <w:uiPriority w:val="9"/>
    <w:rsid w:val="001D4C93"/>
    <w:rPr>
      <w:rFonts w:eastAsiaTheme="majorEastAsia" w:cstheme="majorBidi"/>
      <w:b/>
      <w:color w:val="000000" w:themeColor="text1"/>
      <w:sz w:val="26"/>
      <w:szCs w:val="26"/>
    </w:rPr>
  </w:style>
  <w:style w:type="paragraph" w:styleId="Title">
    <w:name w:val="Title"/>
    <w:basedOn w:val="Normal"/>
    <w:next w:val="Normal"/>
    <w:link w:val="TitleChar"/>
    <w:uiPriority w:val="10"/>
    <w:qFormat/>
    <w:rsid w:val="006D04A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04A5"/>
    <w:rPr>
      <w:rFonts w:asciiTheme="majorHAnsi" w:eastAsiaTheme="majorEastAsia" w:hAnsiTheme="majorHAnsi" w:cstheme="majorBidi"/>
      <w:spacing w:val="-10"/>
      <w:kern w:val="28"/>
      <w:sz w:val="56"/>
      <w:szCs w:val="56"/>
    </w:rPr>
  </w:style>
  <w:style w:type="paragraph" w:styleId="EndnoteText">
    <w:name w:val="endnote text"/>
    <w:basedOn w:val="Normal"/>
    <w:link w:val="EndnoteTextChar"/>
    <w:uiPriority w:val="99"/>
    <w:semiHidden/>
    <w:unhideWhenUsed/>
    <w:rsid w:val="00085E70"/>
    <w:rPr>
      <w:sz w:val="20"/>
      <w:szCs w:val="20"/>
    </w:rPr>
  </w:style>
  <w:style w:type="character" w:customStyle="1" w:styleId="EndnoteTextChar">
    <w:name w:val="Endnote Text Char"/>
    <w:basedOn w:val="DefaultParagraphFont"/>
    <w:link w:val="EndnoteText"/>
    <w:uiPriority w:val="99"/>
    <w:semiHidden/>
    <w:rsid w:val="00085E70"/>
    <w:rPr>
      <w:sz w:val="20"/>
      <w:szCs w:val="20"/>
    </w:rPr>
  </w:style>
  <w:style w:type="character" w:styleId="EndnoteReference">
    <w:name w:val="endnote reference"/>
    <w:basedOn w:val="DefaultParagraphFont"/>
    <w:uiPriority w:val="99"/>
    <w:semiHidden/>
    <w:unhideWhenUsed/>
    <w:rsid w:val="00085E70"/>
    <w:rPr>
      <w:vertAlign w:val="superscript"/>
    </w:rPr>
  </w:style>
  <w:style w:type="paragraph" w:styleId="Bibliography">
    <w:name w:val="Bibliography"/>
    <w:basedOn w:val="Normal"/>
    <w:next w:val="Normal"/>
    <w:uiPriority w:val="37"/>
    <w:unhideWhenUsed/>
    <w:rsid w:val="008D2954"/>
    <w:pPr>
      <w:ind w:left="720" w:hanging="720"/>
    </w:pPr>
  </w:style>
  <w:style w:type="character" w:styleId="LineNumber">
    <w:name w:val="line number"/>
    <w:basedOn w:val="DefaultParagraphFont"/>
    <w:uiPriority w:val="99"/>
    <w:semiHidden/>
    <w:unhideWhenUsed/>
    <w:rsid w:val="00796675"/>
  </w:style>
  <w:style w:type="character" w:styleId="Hyperlink">
    <w:name w:val="Hyperlink"/>
    <w:basedOn w:val="DefaultParagraphFont"/>
    <w:uiPriority w:val="99"/>
    <w:unhideWhenUsed/>
    <w:rsid w:val="003537D8"/>
    <w:rPr>
      <w:color w:val="0563C1" w:themeColor="hyperlink"/>
      <w:u w:val="single"/>
    </w:rPr>
  </w:style>
  <w:style w:type="character" w:styleId="UnresolvedMention">
    <w:name w:val="Unresolved Mention"/>
    <w:basedOn w:val="DefaultParagraphFont"/>
    <w:uiPriority w:val="99"/>
    <w:semiHidden/>
    <w:unhideWhenUsed/>
    <w:rsid w:val="003537D8"/>
    <w:rPr>
      <w:color w:val="605E5C"/>
      <w:shd w:val="clear" w:color="auto" w:fill="E1DFDD"/>
    </w:rPr>
  </w:style>
  <w:style w:type="paragraph" w:styleId="Header">
    <w:name w:val="header"/>
    <w:basedOn w:val="Normal"/>
    <w:link w:val="HeaderChar"/>
    <w:uiPriority w:val="99"/>
    <w:unhideWhenUsed/>
    <w:rsid w:val="005F00D3"/>
    <w:pPr>
      <w:tabs>
        <w:tab w:val="center" w:pos="4680"/>
        <w:tab w:val="right" w:pos="9360"/>
      </w:tabs>
    </w:pPr>
  </w:style>
  <w:style w:type="character" w:customStyle="1" w:styleId="HeaderChar">
    <w:name w:val="Header Char"/>
    <w:basedOn w:val="DefaultParagraphFont"/>
    <w:link w:val="Header"/>
    <w:uiPriority w:val="99"/>
    <w:rsid w:val="005F00D3"/>
  </w:style>
  <w:style w:type="paragraph" w:styleId="Footer">
    <w:name w:val="footer"/>
    <w:basedOn w:val="Normal"/>
    <w:link w:val="FooterChar"/>
    <w:uiPriority w:val="99"/>
    <w:unhideWhenUsed/>
    <w:rsid w:val="005F00D3"/>
    <w:pPr>
      <w:tabs>
        <w:tab w:val="center" w:pos="4680"/>
        <w:tab w:val="right" w:pos="9360"/>
      </w:tabs>
    </w:pPr>
  </w:style>
  <w:style w:type="character" w:customStyle="1" w:styleId="FooterChar">
    <w:name w:val="Footer Char"/>
    <w:basedOn w:val="DefaultParagraphFont"/>
    <w:link w:val="Footer"/>
    <w:uiPriority w:val="99"/>
    <w:rsid w:val="005F00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0354741">
      <w:bodyDiv w:val="1"/>
      <w:marLeft w:val="0"/>
      <w:marRight w:val="0"/>
      <w:marTop w:val="0"/>
      <w:marBottom w:val="0"/>
      <w:divBdr>
        <w:top w:val="none" w:sz="0" w:space="0" w:color="auto"/>
        <w:left w:val="none" w:sz="0" w:space="0" w:color="auto"/>
        <w:bottom w:val="none" w:sz="0" w:space="0" w:color="auto"/>
        <w:right w:val="none" w:sz="0" w:space="0" w:color="auto"/>
      </w:divBdr>
    </w:div>
    <w:div w:id="516505359">
      <w:bodyDiv w:val="1"/>
      <w:marLeft w:val="0"/>
      <w:marRight w:val="0"/>
      <w:marTop w:val="0"/>
      <w:marBottom w:val="0"/>
      <w:divBdr>
        <w:top w:val="none" w:sz="0" w:space="0" w:color="auto"/>
        <w:left w:val="none" w:sz="0" w:space="0" w:color="auto"/>
        <w:bottom w:val="none" w:sz="0" w:space="0" w:color="auto"/>
        <w:right w:val="none" w:sz="0" w:space="0" w:color="auto"/>
      </w:divBdr>
      <w:divsChild>
        <w:div w:id="1380010523">
          <w:marLeft w:val="0"/>
          <w:marRight w:val="0"/>
          <w:marTop w:val="0"/>
          <w:marBottom w:val="0"/>
          <w:divBdr>
            <w:top w:val="none" w:sz="0" w:space="0" w:color="auto"/>
            <w:left w:val="none" w:sz="0" w:space="0" w:color="auto"/>
            <w:bottom w:val="none" w:sz="0" w:space="0" w:color="auto"/>
            <w:right w:val="none" w:sz="0" w:space="0" w:color="auto"/>
          </w:divBdr>
          <w:divsChild>
            <w:div w:id="420806721">
              <w:marLeft w:val="0"/>
              <w:marRight w:val="0"/>
              <w:marTop w:val="0"/>
              <w:marBottom w:val="0"/>
              <w:divBdr>
                <w:top w:val="none" w:sz="0" w:space="0" w:color="auto"/>
                <w:left w:val="none" w:sz="0" w:space="0" w:color="auto"/>
                <w:bottom w:val="none" w:sz="0" w:space="0" w:color="auto"/>
                <w:right w:val="none" w:sz="0" w:space="0" w:color="auto"/>
              </w:divBdr>
              <w:divsChild>
                <w:div w:id="50096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592171">
      <w:bodyDiv w:val="1"/>
      <w:marLeft w:val="0"/>
      <w:marRight w:val="0"/>
      <w:marTop w:val="0"/>
      <w:marBottom w:val="0"/>
      <w:divBdr>
        <w:top w:val="none" w:sz="0" w:space="0" w:color="auto"/>
        <w:left w:val="none" w:sz="0" w:space="0" w:color="auto"/>
        <w:bottom w:val="none" w:sz="0" w:space="0" w:color="auto"/>
        <w:right w:val="none" w:sz="0" w:space="0" w:color="auto"/>
      </w:divBdr>
    </w:div>
    <w:div w:id="667443028">
      <w:bodyDiv w:val="1"/>
      <w:marLeft w:val="0"/>
      <w:marRight w:val="0"/>
      <w:marTop w:val="0"/>
      <w:marBottom w:val="0"/>
      <w:divBdr>
        <w:top w:val="none" w:sz="0" w:space="0" w:color="auto"/>
        <w:left w:val="none" w:sz="0" w:space="0" w:color="auto"/>
        <w:bottom w:val="none" w:sz="0" w:space="0" w:color="auto"/>
        <w:right w:val="none" w:sz="0" w:space="0" w:color="auto"/>
      </w:divBdr>
    </w:div>
    <w:div w:id="820195673">
      <w:bodyDiv w:val="1"/>
      <w:marLeft w:val="0"/>
      <w:marRight w:val="0"/>
      <w:marTop w:val="0"/>
      <w:marBottom w:val="0"/>
      <w:divBdr>
        <w:top w:val="none" w:sz="0" w:space="0" w:color="auto"/>
        <w:left w:val="none" w:sz="0" w:space="0" w:color="auto"/>
        <w:bottom w:val="none" w:sz="0" w:space="0" w:color="auto"/>
        <w:right w:val="none" w:sz="0" w:space="0" w:color="auto"/>
      </w:divBdr>
    </w:div>
    <w:div w:id="963384023">
      <w:bodyDiv w:val="1"/>
      <w:marLeft w:val="0"/>
      <w:marRight w:val="0"/>
      <w:marTop w:val="0"/>
      <w:marBottom w:val="0"/>
      <w:divBdr>
        <w:top w:val="none" w:sz="0" w:space="0" w:color="auto"/>
        <w:left w:val="none" w:sz="0" w:space="0" w:color="auto"/>
        <w:bottom w:val="none" w:sz="0" w:space="0" w:color="auto"/>
        <w:right w:val="none" w:sz="0" w:space="0" w:color="auto"/>
      </w:divBdr>
      <w:divsChild>
        <w:div w:id="46228465">
          <w:marLeft w:val="0"/>
          <w:marRight w:val="0"/>
          <w:marTop w:val="0"/>
          <w:marBottom w:val="0"/>
          <w:divBdr>
            <w:top w:val="none" w:sz="0" w:space="0" w:color="auto"/>
            <w:left w:val="none" w:sz="0" w:space="0" w:color="auto"/>
            <w:bottom w:val="none" w:sz="0" w:space="0" w:color="auto"/>
            <w:right w:val="none" w:sz="0" w:space="0" w:color="auto"/>
          </w:divBdr>
          <w:divsChild>
            <w:div w:id="1077168890">
              <w:marLeft w:val="0"/>
              <w:marRight w:val="0"/>
              <w:marTop w:val="0"/>
              <w:marBottom w:val="0"/>
              <w:divBdr>
                <w:top w:val="none" w:sz="0" w:space="0" w:color="auto"/>
                <w:left w:val="none" w:sz="0" w:space="0" w:color="auto"/>
                <w:bottom w:val="none" w:sz="0" w:space="0" w:color="auto"/>
                <w:right w:val="none" w:sz="0" w:space="0" w:color="auto"/>
              </w:divBdr>
              <w:divsChild>
                <w:div w:id="53458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851738">
      <w:bodyDiv w:val="1"/>
      <w:marLeft w:val="0"/>
      <w:marRight w:val="0"/>
      <w:marTop w:val="0"/>
      <w:marBottom w:val="0"/>
      <w:divBdr>
        <w:top w:val="none" w:sz="0" w:space="0" w:color="auto"/>
        <w:left w:val="none" w:sz="0" w:space="0" w:color="auto"/>
        <w:bottom w:val="none" w:sz="0" w:space="0" w:color="auto"/>
        <w:right w:val="none" w:sz="0" w:space="0" w:color="auto"/>
      </w:divBdr>
    </w:div>
    <w:div w:id="1200894949">
      <w:bodyDiv w:val="1"/>
      <w:marLeft w:val="0"/>
      <w:marRight w:val="0"/>
      <w:marTop w:val="0"/>
      <w:marBottom w:val="0"/>
      <w:divBdr>
        <w:top w:val="none" w:sz="0" w:space="0" w:color="auto"/>
        <w:left w:val="none" w:sz="0" w:space="0" w:color="auto"/>
        <w:bottom w:val="none" w:sz="0" w:space="0" w:color="auto"/>
        <w:right w:val="none" w:sz="0" w:space="0" w:color="auto"/>
      </w:divBdr>
      <w:divsChild>
        <w:div w:id="1775516017">
          <w:marLeft w:val="0"/>
          <w:marRight w:val="0"/>
          <w:marTop w:val="0"/>
          <w:marBottom w:val="0"/>
          <w:divBdr>
            <w:top w:val="none" w:sz="0" w:space="0" w:color="auto"/>
            <w:left w:val="none" w:sz="0" w:space="0" w:color="auto"/>
            <w:bottom w:val="none" w:sz="0" w:space="0" w:color="auto"/>
            <w:right w:val="none" w:sz="0" w:space="0" w:color="auto"/>
          </w:divBdr>
          <w:divsChild>
            <w:div w:id="1360741046">
              <w:marLeft w:val="0"/>
              <w:marRight w:val="0"/>
              <w:marTop w:val="0"/>
              <w:marBottom w:val="0"/>
              <w:divBdr>
                <w:top w:val="none" w:sz="0" w:space="0" w:color="auto"/>
                <w:left w:val="none" w:sz="0" w:space="0" w:color="auto"/>
                <w:bottom w:val="none" w:sz="0" w:space="0" w:color="auto"/>
                <w:right w:val="none" w:sz="0" w:space="0" w:color="auto"/>
              </w:divBdr>
              <w:divsChild>
                <w:div w:id="1432359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056973">
      <w:bodyDiv w:val="1"/>
      <w:marLeft w:val="0"/>
      <w:marRight w:val="0"/>
      <w:marTop w:val="0"/>
      <w:marBottom w:val="0"/>
      <w:divBdr>
        <w:top w:val="none" w:sz="0" w:space="0" w:color="auto"/>
        <w:left w:val="none" w:sz="0" w:space="0" w:color="auto"/>
        <w:bottom w:val="none" w:sz="0" w:space="0" w:color="auto"/>
        <w:right w:val="none" w:sz="0" w:space="0" w:color="auto"/>
      </w:divBdr>
      <w:divsChild>
        <w:div w:id="1653562566">
          <w:marLeft w:val="0"/>
          <w:marRight w:val="0"/>
          <w:marTop w:val="0"/>
          <w:marBottom w:val="0"/>
          <w:divBdr>
            <w:top w:val="none" w:sz="0" w:space="0" w:color="auto"/>
            <w:left w:val="none" w:sz="0" w:space="0" w:color="auto"/>
            <w:bottom w:val="none" w:sz="0" w:space="0" w:color="auto"/>
            <w:right w:val="none" w:sz="0" w:space="0" w:color="auto"/>
          </w:divBdr>
          <w:divsChild>
            <w:div w:id="1629778738">
              <w:marLeft w:val="0"/>
              <w:marRight w:val="0"/>
              <w:marTop w:val="0"/>
              <w:marBottom w:val="0"/>
              <w:divBdr>
                <w:top w:val="none" w:sz="0" w:space="0" w:color="auto"/>
                <w:left w:val="none" w:sz="0" w:space="0" w:color="auto"/>
                <w:bottom w:val="none" w:sz="0" w:space="0" w:color="auto"/>
                <w:right w:val="none" w:sz="0" w:space="0" w:color="auto"/>
              </w:divBdr>
              <w:divsChild>
                <w:div w:id="1442601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426734">
      <w:bodyDiv w:val="1"/>
      <w:marLeft w:val="0"/>
      <w:marRight w:val="0"/>
      <w:marTop w:val="0"/>
      <w:marBottom w:val="0"/>
      <w:divBdr>
        <w:top w:val="none" w:sz="0" w:space="0" w:color="auto"/>
        <w:left w:val="none" w:sz="0" w:space="0" w:color="auto"/>
        <w:bottom w:val="none" w:sz="0" w:space="0" w:color="auto"/>
        <w:right w:val="none" w:sz="0" w:space="0" w:color="auto"/>
      </w:divBdr>
      <w:divsChild>
        <w:div w:id="2023311317">
          <w:marLeft w:val="0"/>
          <w:marRight w:val="0"/>
          <w:marTop w:val="0"/>
          <w:marBottom w:val="0"/>
          <w:divBdr>
            <w:top w:val="none" w:sz="0" w:space="0" w:color="auto"/>
            <w:left w:val="none" w:sz="0" w:space="0" w:color="auto"/>
            <w:bottom w:val="none" w:sz="0" w:space="0" w:color="auto"/>
            <w:right w:val="none" w:sz="0" w:space="0" w:color="auto"/>
          </w:divBdr>
        </w:div>
      </w:divsChild>
    </w:div>
    <w:div w:id="1370376251">
      <w:bodyDiv w:val="1"/>
      <w:marLeft w:val="0"/>
      <w:marRight w:val="0"/>
      <w:marTop w:val="0"/>
      <w:marBottom w:val="0"/>
      <w:divBdr>
        <w:top w:val="none" w:sz="0" w:space="0" w:color="auto"/>
        <w:left w:val="none" w:sz="0" w:space="0" w:color="auto"/>
        <w:bottom w:val="none" w:sz="0" w:space="0" w:color="auto"/>
        <w:right w:val="none" w:sz="0" w:space="0" w:color="auto"/>
      </w:divBdr>
      <w:divsChild>
        <w:div w:id="731393493">
          <w:marLeft w:val="0"/>
          <w:marRight w:val="0"/>
          <w:marTop w:val="0"/>
          <w:marBottom w:val="0"/>
          <w:divBdr>
            <w:top w:val="none" w:sz="0" w:space="0" w:color="auto"/>
            <w:left w:val="none" w:sz="0" w:space="0" w:color="auto"/>
            <w:bottom w:val="none" w:sz="0" w:space="0" w:color="auto"/>
            <w:right w:val="none" w:sz="0" w:space="0" w:color="auto"/>
          </w:divBdr>
        </w:div>
        <w:div w:id="1645042480">
          <w:marLeft w:val="0"/>
          <w:marRight w:val="0"/>
          <w:marTop w:val="0"/>
          <w:marBottom w:val="0"/>
          <w:divBdr>
            <w:top w:val="none" w:sz="0" w:space="0" w:color="auto"/>
            <w:left w:val="none" w:sz="0" w:space="0" w:color="auto"/>
            <w:bottom w:val="none" w:sz="0" w:space="0" w:color="auto"/>
            <w:right w:val="none" w:sz="0" w:space="0" w:color="auto"/>
          </w:divBdr>
        </w:div>
        <w:div w:id="1394503311">
          <w:marLeft w:val="0"/>
          <w:marRight w:val="0"/>
          <w:marTop w:val="0"/>
          <w:marBottom w:val="0"/>
          <w:divBdr>
            <w:top w:val="none" w:sz="0" w:space="0" w:color="auto"/>
            <w:left w:val="none" w:sz="0" w:space="0" w:color="auto"/>
            <w:bottom w:val="none" w:sz="0" w:space="0" w:color="auto"/>
            <w:right w:val="none" w:sz="0" w:space="0" w:color="auto"/>
          </w:divBdr>
        </w:div>
        <w:div w:id="461852569">
          <w:marLeft w:val="0"/>
          <w:marRight w:val="0"/>
          <w:marTop w:val="0"/>
          <w:marBottom w:val="0"/>
          <w:divBdr>
            <w:top w:val="none" w:sz="0" w:space="0" w:color="auto"/>
            <w:left w:val="none" w:sz="0" w:space="0" w:color="auto"/>
            <w:bottom w:val="none" w:sz="0" w:space="0" w:color="auto"/>
            <w:right w:val="none" w:sz="0" w:space="0" w:color="auto"/>
          </w:divBdr>
        </w:div>
        <w:div w:id="924730705">
          <w:marLeft w:val="0"/>
          <w:marRight w:val="0"/>
          <w:marTop w:val="0"/>
          <w:marBottom w:val="0"/>
          <w:divBdr>
            <w:top w:val="none" w:sz="0" w:space="0" w:color="auto"/>
            <w:left w:val="none" w:sz="0" w:space="0" w:color="auto"/>
            <w:bottom w:val="none" w:sz="0" w:space="0" w:color="auto"/>
            <w:right w:val="none" w:sz="0" w:space="0" w:color="auto"/>
          </w:divBdr>
        </w:div>
        <w:div w:id="1534347173">
          <w:marLeft w:val="0"/>
          <w:marRight w:val="0"/>
          <w:marTop w:val="0"/>
          <w:marBottom w:val="0"/>
          <w:divBdr>
            <w:top w:val="none" w:sz="0" w:space="0" w:color="auto"/>
            <w:left w:val="none" w:sz="0" w:space="0" w:color="auto"/>
            <w:bottom w:val="none" w:sz="0" w:space="0" w:color="auto"/>
            <w:right w:val="none" w:sz="0" w:space="0" w:color="auto"/>
          </w:divBdr>
        </w:div>
        <w:div w:id="801460365">
          <w:marLeft w:val="0"/>
          <w:marRight w:val="0"/>
          <w:marTop w:val="0"/>
          <w:marBottom w:val="0"/>
          <w:divBdr>
            <w:top w:val="none" w:sz="0" w:space="0" w:color="auto"/>
            <w:left w:val="none" w:sz="0" w:space="0" w:color="auto"/>
            <w:bottom w:val="none" w:sz="0" w:space="0" w:color="auto"/>
            <w:right w:val="none" w:sz="0" w:space="0" w:color="auto"/>
          </w:divBdr>
        </w:div>
      </w:divsChild>
    </w:div>
    <w:div w:id="1476988320">
      <w:bodyDiv w:val="1"/>
      <w:marLeft w:val="0"/>
      <w:marRight w:val="0"/>
      <w:marTop w:val="0"/>
      <w:marBottom w:val="0"/>
      <w:divBdr>
        <w:top w:val="none" w:sz="0" w:space="0" w:color="auto"/>
        <w:left w:val="none" w:sz="0" w:space="0" w:color="auto"/>
        <w:bottom w:val="none" w:sz="0" w:space="0" w:color="auto"/>
        <w:right w:val="none" w:sz="0" w:space="0" w:color="auto"/>
      </w:divBdr>
      <w:divsChild>
        <w:div w:id="264583324">
          <w:marLeft w:val="0"/>
          <w:marRight w:val="0"/>
          <w:marTop w:val="0"/>
          <w:marBottom w:val="0"/>
          <w:divBdr>
            <w:top w:val="none" w:sz="0" w:space="0" w:color="auto"/>
            <w:left w:val="none" w:sz="0" w:space="0" w:color="auto"/>
            <w:bottom w:val="none" w:sz="0" w:space="0" w:color="auto"/>
            <w:right w:val="none" w:sz="0" w:space="0" w:color="auto"/>
          </w:divBdr>
          <w:divsChild>
            <w:div w:id="1112169475">
              <w:marLeft w:val="0"/>
              <w:marRight w:val="0"/>
              <w:marTop w:val="0"/>
              <w:marBottom w:val="0"/>
              <w:divBdr>
                <w:top w:val="none" w:sz="0" w:space="0" w:color="auto"/>
                <w:left w:val="none" w:sz="0" w:space="0" w:color="auto"/>
                <w:bottom w:val="none" w:sz="0" w:space="0" w:color="auto"/>
                <w:right w:val="none" w:sz="0" w:space="0" w:color="auto"/>
              </w:divBdr>
              <w:divsChild>
                <w:div w:id="44134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490966">
      <w:bodyDiv w:val="1"/>
      <w:marLeft w:val="0"/>
      <w:marRight w:val="0"/>
      <w:marTop w:val="0"/>
      <w:marBottom w:val="0"/>
      <w:divBdr>
        <w:top w:val="none" w:sz="0" w:space="0" w:color="auto"/>
        <w:left w:val="none" w:sz="0" w:space="0" w:color="auto"/>
        <w:bottom w:val="none" w:sz="0" w:space="0" w:color="auto"/>
        <w:right w:val="none" w:sz="0" w:space="0" w:color="auto"/>
      </w:divBdr>
      <w:divsChild>
        <w:div w:id="1827085059">
          <w:marLeft w:val="0"/>
          <w:marRight w:val="0"/>
          <w:marTop w:val="0"/>
          <w:marBottom w:val="0"/>
          <w:divBdr>
            <w:top w:val="none" w:sz="0" w:space="0" w:color="auto"/>
            <w:left w:val="none" w:sz="0" w:space="0" w:color="auto"/>
            <w:bottom w:val="none" w:sz="0" w:space="0" w:color="auto"/>
            <w:right w:val="none" w:sz="0" w:space="0" w:color="auto"/>
          </w:divBdr>
          <w:divsChild>
            <w:div w:id="320424481">
              <w:marLeft w:val="0"/>
              <w:marRight w:val="0"/>
              <w:marTop w:val="0"/>
              <w:marBottom w:val="0"/>
              <w:divBdr>
                <w:top w:val="none" w:sz="0" w:space="0" w:color="auto"/>
                <w:left w:val="none" w:sz="0" w:space="0" w:color="auto"/>
                <w:bottom w:val="none" w:sz="0" w:space="0" w:color="auto"/>
                <w:right w:val="none" w:sz="0" w:space="0" w:color="auto"/>
              </w:divBdr>
              <w:divsChild>
                <w:div w:id="65047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623683">
      <w:bodyDiv w:val="1"/>
      <w:marLeft w:val="0"/>
      <w:marRight w:val="0"/>
      <w:marTop w:val="0"/>
      <w:marBottom w:val="0"/>
      <w:divBdr>
        <w:top w:val="none" w:sz="0" w:space="0" w:color="auto"/>
        <w:left w:val="none" w:sz="0" w:space="0" w:color="auto"/>
        <w:bottom w:val="none" w:sz="0" w:space="0" w:color="auto"/>
        <w:right w:val="none" w:sz="0" w:space="0" w:color="auto"/>
      </w:divBdr>
      <w:divsChild>
        <w:div w:id="828600951">
          <w:marLeft w:val="0"/>
          <w:marRight w:val="0"/>
          <w:marTop w:val="0"/>
          <w:marBottom w:val="0"/>
          <w:divBdr>
            <w:top w:val="none" w:sz="0" w:space="0" w:color="auto"/>
            <w:left w:val="none" w:sz="0" w:space="0" w:color="auto"/>
            <w:bottom w:val="none" w:sz="0" w:space="0" w:color="auto"/>
            <w:right w:val="none" w:sz="0" w:space="0" w:color="auto"/>
          </w:divBdr>
        </w:div>
      </w:divsChild>
    </w:div>
    <w:div w:id="1703090821">
      <w:bodyDiv w:val="1"/>
      <w:marLeft w:val="0"/>
      <w:marRight w:val="0"/>
      <w:marTop w:val="0"/>
      <w:marBottom w:val="0"/>
      <w:divBdr>
        <w:top w:val="none" w:sz="0" w:space="0" w:color="auto"/>
        <w:left w:val="none" w:sz="0" w:space="0" w:color="auto"/>
        <w:bottom w:val="none" w:sz="0" w:space="0" w:color="auto"/>
        <w:right w:val="none" w:sz="0" w:space="0" w:color="auto"/>
      </w:divBdr>
      <w:divsChild>
        <w:div w:id="1294865659">
          <w:marLeft w:val="0"/>
          <w:marRight w:val="0"/>
          <w:marTop w:val="0"/>
          <w:marBottom w:val="0"/>
          <w:divBdr>
            <w:top w:val="none" w:sz="0" w:space="0" w:color="auto"/>
            <w:left w:val="none" w:sz="0" w:space="0" w:color="auto"/>
            <w:bottom w:val="none" w:sz="0" w:space="0" w:color="auto"/>
            <w:right w:val="none" w:sz="0" w:space="0" w:color="auto"/>
          </w:divBdr>
          <w:divsChild>
            <w:div w:id="320280670">
              <w:marLeft w:val="0"/>
              <w:marRight w:val="0"/>
              <w:marTop w:val="0"/>
              <w:marBottom w:val="0"/>
              <w:divBdr>
                <w:top w:val="none" w:sz="0" w:space="0" w:color="auto"/>
                <w:left w:val="none" w:sz="0" w:space="0" w:color="auto"/>
                <w:bottom w:val="none" w:sz="0" w:space="0" w:color="auto"/>
                <w:right w:val="none" w:sz="0" w:space="0" w:color="auto"/>
              </w:divBdr>
              <w:divsChild>
                <w:div w:id="33168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978078">
      <w:bodyDiv w:val="1"/>
      <w:marLeft w:val="0"/>
      <w:marRight w:val="0"/>
      <w:marTop w:val="0"/>
      <w:marBottom w:val="0"/>
      <w:divBdr>
        <w:top w:val="none" w:sz="0" w:space="0" w:color="auto"/>
        <w:left w:val="none" w:sz="0" w:space="0" w:color="auto"/>
        <w:bottom w:val="none" w:sz="0" w:space="0" w:color="auto"/>
        <w:right w:val="none" w:sz="0" w:space="0" w:color="auto"/>
      </w:divBdr>
    </w:div>
    <w:div w:id="1974939931">
      <w:bodyDiv w:val="1"/>
      <w:marLeft w:val="0"/>
      <w:marRight w:val="0"/>
      <w:marTop w:val="0"/>
      <w:marBottom w:val="0"/>
      <w:divBdr>
        <w:top w:val="none" w:sz="0" w:space="0" w:color="auto"/>
        <w:left w:val="none" w:sz="0" w:space="0" w:color="auto"/>
        <w:bottom w:val="none" w:sz="0" w:space="0" w:color="auto"/>
        <w:right w:val="none" w:sz="0" w:space="0" w:color="auto"/>
      </w:divBdr>
      <w:divsChild>
        <w:div w:id="1293904910">
          <w:marLeft w:val="0"/>
          <w:marRight w:val="0"/>
          <w:marTop w:val="0"/>
          <w:marBottom w:val="0"/>
          <w:divBdr>
            <w:top w:val="none" w:sz="0" w:space="0" w:color="auto"/>
            <w:left w:val="none" w:sz="0" w:space="0" w:color="auto"/>
            <w:bottom w:val="none" w:sz="0" w:space="0" w:color="auto"/>
            <w:right w:val="none" w:sz="0" w:space="0" w:color="auto"/>
          </w:divBdr>
          <w:divsChild>
            <w:div w:id="1550335870">
              <w:marLeft w:val="0"/>
              <w:marRight w:val="0"/>
              <w:marTop w:val="0"/>
              <w:marBottom w:val="0"/>
              <w:divBdr>
                <w:top w:val="none" w:sz="0" w:space="0" w:color="auto"/>
                <w:left w:val="none" w:sz="0" w:space="0" w:color="auto"/>
                <w:bottom w:val="none" w:sz="0" w:space="0" w:color="auto"/>
                <w:right w:val="none" w:sz="0" w:space="0" w:color="auto"/>
              </w:divBdr>
              <w:divsChild>
                <w:div w:id="8933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113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F2CF33-7CD8-4652-8769-86B870044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2201</Words>
  <Characters>12546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P</dc:creator>
  <cp:keywords/>
  <dc:description/>
  <cp:lastModifiedBy>Nilesh Nawale</cp:lastModifiedBy>
  <cp:revision>2</cp:revision>
  <dcterms:created xsi:type="dcterms:W3CDTF">2024-07-29T08:41:00Z</dcterms:created>
  <dcterms:modified xsi:type="dcterms:W3CDTF">2024-07-29T08:41:00Z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id="4uBbe2eQ"/&gt;&lt;style id="http://www.zotero.org/styles/chicago-author-date" locale="en-US"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