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7449EBD" w14:textId="77777777" w:rsidR="00124BAA" w:rsidRDefault="00124BAA" w:rsidP="00124BAA">
      <w:pPr>
        <w:pStyle w:val="Heading1"/>
      </w:pPr>
      <w:r>
        <w:t>Supplemental Materials</w:t>
      </w:r>
    </w:p>
    <w:p w14:paraId="5E8A9808" w14:textId="77777777" w:rsidR="00124BAA" w:rsidRDefault="00124BAA" w:rsidP="00124BAA">
      <w:r w:rsidRPr="00274757">
        <w:rPr>
          <w:noProof/>
        </w:rPr>
        <w:lastRenderedPageBreak/>
        <w:drawing>
          <wp:inline distT="0" distB="0" distL="0" distR="0" wp14:anchorId="7EDACE17" wp14:editId="2B21555F">
            <wp:extent cx="4224867" cy="7943461"/>
            <wp:effectExtent l="0" t="0" r="4445" b="0"/>
            <wp:docPr id="18587644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8764499" name=""/>
                    <pic:cNvPicPr/>
                  </pic:nvPicPr>
                  <pic:blipFill>
                    <a:blip r:embed="rId4"/>
                    <a:stretch>
                      <a:fillRect/>
                    </a:stretch>
                  </pic:blipFill>
                  <pic:spPr>
                    <a:xfrm>
                      <a:off x="0" y="0"/>
                      <a:ext cx="4228541" cy="7950369"/>
                    </a:xfrm>
                    <a:prstGeom prst="rect">
                      <a:avLst/>
                    </a:prstGeom>
                  </pic:spPr>
                </pic:pic>
              </a:graphicData>
            </a:graphic>
          </wp:inline>
        </w:drawing>
      </w:r>
    </w:p>
    <w:p w14:paraId="05F76498" w14:textId="77777777" w:rsidR="00124BAA" w:rsidRDefault="00124BAA" w:rsidP="00124BAA">
      <w:r>
        <w:lastRenderedPageBreak/>
        <w:t xml:space="preserve">Table S1: Nutritional information on various Polynesian foods and their analogues. </w:t>
      </w:r>
      <w:r>
        <w:fldChar w:fldCharType="begin"/>
      </w:r>
      <w:r>
        <w:instrText xml:space="preserve"> ADDIN ZOTERO_ITEM CSL_CITATION {"citationID":"dDUeoLKM","properties":{"formattedCitation":"(Ab-Lah et al. 2017; Ann 1999; Arai and Sakai 1952; Barrau 1958; Bradbury and Holloway 1988; Burtenshaw and Harris 2007; Dignan et al. 2004; FAO 2016; Fraser 2001; Haytowitz et al. 2005; Hipsley and Kirk 1965; Huang, Titchenal, and Meilleur 2000; A. M. P. Jones et al. 2011; K. L. Jones and Law 1987; Patrick Vinton Kirch 1994; Massal and Barrau 1955; 1956; McKee 1957; Miller and Pen 1959; Murai, Miller, and Pen 1958; O\\uc0\\u8217{}Hara et al. 2004; Peters 1957; Ragone and Cavaletto 2006; Smith 2011; Thomas 2003; Wills et al. 1983)","plainCitation":"(Ab-Lah et al. 2017; Ann 1999; Arai and Sakai 1952; Barrau 1958; Bradbury and Holloway 1988; Burtenshaw and Harris 2007; Dignan et al. 2004; FAO 2016; Fraser 2001; Haytowitz et al. 2005; Hipsley and Kirk 1965; Huang, Titchenal, and Meilleur 2000; A. M. P. Jones et al. 2011; K. L. Jones and Law 1987; Patrick Vinton Kirch 1994; Massal and Barrau 1955; 1956; McKee 1957; Miller and Pen 1959; Murai, Miller, and Pen 1958; O’Hara et al. 2004; Peters 1957; Ragone and Cavaletto 2006; Smith 2011; Thomas 2003; Wills et al. 1983)","dontUpdate":true,"noteIndex":0},"citationItems":[{"id":231,"uris":["http://zotero.org/users/local/6l88xueb/items/SCI4YNE8"],"itemData":{"id":231,"type":"article-journal","abstract":"Turban snails (family Turbinidae) are gastropod molluscs that are harvested for human consumption yet little is known about the nutritional properties of these snails, particularly from Australian waters. This study compares the proximate composition (ash, moisture, protein, and lipid content), fatty acid profiles, mineral, and trace element content of three species of turbinid snails; Turbo militaris, Lunella undulata, and Lunella torquata from northern New South Wales, Australia. They were all found to have relatively high protein in their flesh (16.0% to 18.5% of the fresh weight). L. torquata had a significantly higher lipid content (8.5% w/w) than L. undulata (5.2% w/w), whereas T. militaris (5.6% w/w) was not significantly different to either. Analysis with gas chromatography showed there was no significant difference in monounsaturated fatty acid (MUFA) content, with an average of approximately 14% of the total fatty acids in all three species. However, saturated fatty acids (SFA) were significantly higher in T. militaris (41%), whereas polyunsaturated fatty acids (PUFA) were significantly higher in L. undulata (46%). The ratio of n−3/n−6 fatty acids ranged from 1.1 in T. militaris to 1.4 in L. torquata, which is good for human health and comparable to other high value gastropods. The results indicate that T. militaris, L. undulata, and L. torquata provide a good source of essential elements such as zinc, selenium, and iron. At the location studied, toxic metals and metalloids were below safe recommended standards for human consumption. Overall, this study confirms the suitability of turban snails as a nutritional food for human consumption.","container-title":"Food Science &amp; Nutrition","DOI":"10.1002/fsn3.360","ISSN":"2048-7177, 2048-7177","issue":"1","journalAbbreviation":"Food Science &amp; Nutrition","language":"en","license":"http://creativecommons.org/licenses/by/4.0/","page":"14-30","source":"DOI.org (Crossref)","title":"Investigation of nutritional properties of three species of marine turban snails for human consumption","volume":"5","author":[{"family":"Ab-Lah","given":"Roslizawati"},{"family":"Smith","given":"Joshua"},{"family":"Savins","given":"Dale"},{"family":"Dowell","given":"Ashley"},{"family":"Bucher","given":"Daniel"},{"family":"Benkendorff","given":"Kirsten"}],"issued":{"date-parts":[["2017",1]]}}},{"id":195,"uris":["http://zotero.org/users/local/6l88xueb/items/GAB2TABR"],"itemData":{"id":195,"type":"article-journal","container-title":"Korean Journal of Food and Nutrition","issue":"4","page":"397–408","source":"Google Scholar","title":"Dog meat foods in Korea","volume":"12","author":[{"family":"Ann","given":"Yong-Geun"}],"issued":{"date-parts":[["1999"]]}}},{"id":196,"uris":["http://zotero.org/users/local/6l88xueb/items/XCKGTMJN"],"itemData":{"id":196,"type":"article-journal","container-title":"The Scientific Reports of the Whales Research institute","page":"51-67","title":"Whale meat in nutrition","volume":"7","author":[{"family":"Arai","given":"Yoro"},{"family":"Sakai","given":"Shigeru"}],"issued":{"date-parts":[["1952"]]}}},{"id":218,"uris":["http://zotero.org/users/local/6l88xueb/items/UC4W74XN"],"itemData":{"id":218,"type":"book","collection-number":"219","collection-title":"Bulletin","event-place":"Honolulu","number-of-pages":"111","publisher":"Bernice P. Bishop Museum","publisher-place":"Honolulu","source":"Google Scholar","title":"Subsistence agriculture in Melanesia","URL":"https://cir.nii.ac.jp/crid/1570009750817146624","author":[{"family":"Barrau","given":"Jacques"}],"accessed":{"date-parts":[["2024",5,25]]},"issued":{"date-parts":[["1958"]]}}},{"id":208,"uris":["http://zotero.org/users/local/6l88xueb/items/S8C8HLTD"],"itemData":{"id":208,"type":"book","collection-number":"6","collection-title":"ACIAR Monographs","event-place":"Canberra","number-of-pages":"201","publisher":"Australian Centre for International Agricultural Research","publisher-place":"Canberra","source":"Google Scholar","title":"Chemistry of tropical root crops: significance for nutrition and agriculture in the Pacific","title-short":"Chemistry of tropical root crops","URL":"https://ageconsearch.umn.edu/record/118050/files/6.pdf","author":[{"family":"Bradbury","given":"J. Howard"},{"family":"Holloway","given":"Warren D."}],"accessed":{"date-parts":[["2024",5,25]]},"issued":{"date-parts":[["1988"]]}}},{"id":214,"uris":["http://zotero.org/users/local/6l88xueb/items/GU5HQHSV"],"itemData":{"id":214,"type":"article-journal","container-title":"Economic Botany","DOI":"10.1663/0013-0001(2007)61[235:EAGATP]2.0.CO;2","ISSN":"0013-0001","issue":"3","journalAbbreviation":"Economic Botany","language":"en","page":"235-245","source":"DOI.org (Crossref)","title":"Experimental Archaeology Gardens Assessing the Productivity of Ancient Māori Cultivars of Sweet Potato, Ipomoea batatas [L.] Lam. in New Zealand","volume":"61","author":[{"family":"Burtenshaw","given":"Mike"},{"family":"Harris","given":"Graham"}],"issued":{"date-parts":[["2007",9]]}}},{"id":193,"uris":["http://zotero.org/users/local/6l88xueb/items/DPWBJNSP"],"itemData":{"id":193,"type":"book","collection-number":"Ed. 2","publisher":"Food and Agriculture Organization of the United Nations (FAO)","source":"Google Scholar","title":"The Pacific Islands food composition tables.","URL":"https://www.cabdirect.org/cabdirect/abstract/20043191618","author":[{"family":"Dignan","given":"Cecily"},{"family":"Burlingame","given":"Barbara"},{"family":"Kumar","given":"Shailesh"},{"family":"Aalbersberg","given":"William"}],"accessed":{"date-parts":[["2024",5,21]]},"issued":{"date-parts":[["2004"]]}}},{"id":225,"uris":["http://zotero.org/users/local/6l88xueb/items/CVKRHB5Y"],"itemData":{"id":225,"type":"report","event-place":"Rome, Italy","publisher-place":"Rome, Italy","source":"Google Scholar","title":"INFOODS Global Food Composition Database for Fish and Shellfish Version 1.0-uFiSh1. 0","URL":"https://www.fao.org/3/a-i6655e.pdf","author":[{"family":"FAO","given":""}],"issued":{"date-parts":[["2016"]]}}},{"id":103,"uris":["http://zotero.org/users/local/6l88xueb/items/7SRJNB6P"],"itemData":{"id":103,"type":"article-journal","abstract":"Abstract\n            The archaeological evidence from Pacific faunal assemblages held in the Museum of New Zealand, Te Papa Tongarewa, is reviewed. An emphasis on inshore fish and fishing is demonstrated, while evidence for offshore fish, such as tuna, is slight. Yet ethnographic accounts of fishing in the Pacific often contain detailed descriptions of offshore fishing expeditions to catch pelagic fish, including tuna, and these fish continue to occupy a significant place in the cultural life of many Pacific island communities. The uneven representation of tuna in archaeological sites is not thought to derive from any known taphonomic process, but fairly represents the relative abundance of tuna in catches throughout the Pacific. Discontinuities in catch frequency do not follow any known variations in natural abundance, and the preferred explanation is cultural choice. Moreover, in sites where tuna were a major component of the catch, there appears to be a small but consistent decline in their relative abundance, again believed to reflect cultural–historical, rather than natural, processes. It is suggested that the social importance, as well as economic aspects of tuna fishing, need to be incorporated in explanations for the presence of tuna in archaeological sites. Copyright © 2001 John Wiley &amp; Sons, Ltd.","container-title":"International Journal of Osteoarchaeology","DOI":"10.1002/oa.551","ISSN":"1047-482X, 1099-1212","issue":"1-2","journalAbbreviation":"Intl J of Osteoarchaeology","language":"en","page":"127-135","source":"DOI.org (Crossref)","title":"Variation in tuna fish catches in pacific prehistory","volume":"11","author":[{"family":"Fraser","given":"K.L."}],"issued":{"date-parts":[["2001",1]]}}},{"id":77,"uris":["http://zotero.org/users/local/6l88xueb/items/QW6ETD3G"],"itemData":{"id":77,"type":"dataset","abstract":"[Note: Integrated as part of FoodData Central, April 2019.]\nThe USDA National Nutrient Database for Standard Reference (SR) is the major source of food composition data in the United States and provides the foundation for most food composition databases in the public and private sectors.  This is the last release of the database in its current format.  SR-Legacy will continue its preeminent role as a stand-alone food composition resource and will be available in the new modernized system currently under development. SR-Legacy contains data on 7,793 food items and up to 150 food components that were reported in SR28 (2015), with selected corrections and updates. This release supersedes all previous releases.","DOI":"10.15482/USDA.ADC/1529216","publisher":"Nutrient Data Laboratory, Beltsville Human Nutrition Research Center, ARS, USDA","source":"DOI.org (Datacite)","title":"USDA National Nutrient Database for Standard Reference, Legacy Release","URL":"https://data.nal.usda.gov/node/20911","author":[{"family":"Haytowitz","given":"David"},{"family":"Ahuja","given":"Jaspreet"},{"family":"Wu","given":"Xianli"},{"family":"Somanchi","given":"Meena"},{"family":"Nickle","given":"Melissa"},{"family":"Nguyen","given":"Quyen"},{"family":"Roseland","given":"Janet"},{"family":"Williams","given":"Juhi"},{"family":"Patterson","given":"Kristine"},{"family":"Li","given":"Ying"},{"family":"Pehrsson","given":"Pamela"}],"accessed":{"date-parts":[["2017",12,1]]},"issued":{"date-parts":[["2005"]]}}},{"id":219,"uris":["http://zotero.org/users/local/6l88xueb/items/JWWM3A9R"],"itemData":{"id":219,"type":"book","collection-number":"147","collection-title":"Technical paper","event-place":"Noumea, New Caledonia","number-of-pages":"158","publisher":"South Pacific Commission","publisher-place":"Noumea, New Caledonia","source":"Google Scholar","title":"Studies of Dietary Intake and the Expenditure of Energy by New Guineans.","URL":"https://www.cabidigitallibrary.org/doi/full/10.5555/19662900948","author":[{"family":"Hipsley","given":"Eben H."},{"family":"Kirk","given":"Nancy E."}],"accessed":{"date-parts":[["2024",5,25]]},"issued":{"date-parts":[["1965"]]}}},{"id":205,"uris":["http://zotero.org/users/local/6l88xueb/items/43T7G9SS"],"itemData":{"id":205,"type":"article-journal","container-title":"Journal of food composition and analysis","issue":"5","note":"publisher: Elsevier","page":"859–864","source":"Google Scholar","title":"Nutrient composition of taro corms and breadfruit","volume":"13","author":[{"family":"Huang","given":"A. S."},{"family":"Titchenal","given":"C. A."},{"family":"Meilleur","given":"B. A."}],"issued":{"date-parts":[["2000"]]}}},{"id":210,"uris":["http://zotero.org/users/local/6l88xueb/items/GUAPT3R7"],"itemData":{"id":210,"type":"article-journal","note":"publisher: University of Hawaii at Manoa","source":"Google Scholar","title":"Beyond the Bounty: Breadfruit (&lt;i&gt;Artocarpus altilis&lt;/i&gt;) for food security and novel foods in the 21st Century","title-short":"Beyond the Bounty","URL":"https://scholarspace.manoa.hawaii.edu/handle/10125/21022","author":[{"family":"Jones","given":"Andrew Maxwell Phineas"},{"family":"Ragone","given":"Diane"},{"family":"Tavana","given":"NuG"},{"family":"Bernotas","given":"D. W."},{"family":"Murch","given":"Susan J."}],"accessed":{"date-parts":[["2024",5,25]]},"issued":{"date-parts":[["2011"]]}}},{"id":216,"uris":["http://zotero.org/users/local/6l88xueb/items/HYLJPK2U"],"itemData":{"id":216,"type":"article-journal","container-title":"New Zealand Journal of Archaeology","note":"publisher: New Zealand Archaeological Association","page":"81–114","source":"Google Scholar","title":"Prehistoric population estimates for the Tolaga Bay vicinity, east coast, North Island, New Zealand","volume":"9","author":[{"family":"Jones","given":"Kevin L."},{"family":"Law","given":"R. Garry"}],"issued":{"date-parts":[["1987"]]}}},{"id":66,"uris":["http://zotero.org/users/local/6l88xueb/items/9SJ2UCPW"],"itemData":{"id":66,"type":"book","abstract":"Scholars and researchers have long believed that the ability to irrigate is crucial to the development of civilizations. In this book, archaeologist Patrick Kirch challenges this \"hydraulic hypothesis\" and provides a more accurate and detailed account of the role of \"wet\" and \"dry\" cultivation systems in the development of complex sociopolitical structures.  Examining research on cultural adaptation and ecology in Western Polynesia and utilizing extensive data from a variety of important South Pacific sites, Kirch not only reveals how particular systems of production developed within the constraints imposed by environmental conditions, but also explores the tension that arises between contrasting productive systems with differential abilities to produce surplus. He shows that the near total neglect of short-fallow dryland cultivation, as well as arboriculture, or tree-cropping, has seriously distorted the picture that archaeologists and anthropologists have of agricultural intensification and its relation to complex social structure.  This work, likely to become a classic, will be central to all future discussions of the ecology and politics of agricultural intensification.","ISBN":"978-0-226-43749-1","language":"en","note":"Google-Books-ID: WSPxe0S6fS8C","number-of-pages":"424","publisher":"University of Chicago Press","source":"Google Books","title":"The Wet and the Dry: Irrigation and Agricultural Intensification in Polynesia","title-short":"The Wet and the Dry","author":[{"family":"Kirch","given":"Patrick Vinton"}],"issued":{"date-parts":[["1994"]]}}},{"id":235,"uris":["http://zotero.org/users/local/6l88xueb/items/DSWL74R9"],"itemData":{"id":235,"type":"chapter","collection-number":"5","collection-title":"Bulletin","container-title":"Pacific subsistence crops","page":"10-14","publisher":"South Pacific Commission","title":"Sweet potato","author":[{"family":"Massal","given":"Emile"},{"family":"Barrau","given":"Jacques"}],"issued":{"date-parts":[["1955"]]}}},{"id":78,"uris":["http://zotero.org/users/local/6l88xueb/items/Z9BTZZPE"],"itemData":{"id":78,"type":"book","event-place":"Noumea, New Caledonia","publisher":"South Pacific Commission","publisher-place":"Noumea, New Caledonia","source":"Google Scholar","title":"Food plants of the South Sea islands","URL":"https://library.wur.nl/WebQuery/titel/446787","volume":"94","author":[{"family":"Massal","given":"Emile"},{"family":"Barrau","given":"Jacques"}],"accessed":{"date-parts":[["2024",1,10]]},"issued":{"date-parts":[["1956"]]}}},{"id":224,"uris":["http://zotero.org/users/local/6l88xueb/items/D777PV78"],"itemData":{"id":224,"type":"book","collection-number":"106","collection-title":"Technical Paper","event-place":"Noumea, New Caledonia","number-of-pages":"46","publisher":"South Pacific Commission","publisher-place":"Noumea, New Caledonia","source":"Google Scholar","title":"Some food problems in the Pacific islands","URL":"https://library.wur.nl/WebQuery/titel/401355","author":[{"family":"McKee","given":"Hugh Shaw"}],"accessed":{"date-parts":[["2024",5,25]]},"issued":{"date-parts":[["1957"]]}}},{"id":233,"uris":["http://zotero.org/users/local/6l88xueb/items/GNCV2MIA"],"itemData":{"id":233,"type":"article-journal","container-title":"Pacific Science","note":"publisher: University of Hawai'i Press","page":"191-194","source":"Google Scholar","title":"Composition and nutritive value of Palolo (&lt;i&gt;Palola siciliensis Grube&lt;/i&gt;)","volume":"13","author":[{"family":"Miller","given":"Carey D."},{"family":"Pen","given":"Florence"}],"issued":{"date-parts":[["1959"]]}}},{"id":209,"uris":["http://zotero.org/users/local/6l88xueb/items/8ELI3TY3"],"itemData":{"id":209,"type":"book","event-place":"Honolulu","ISBN":"978-0-87022-550-5","language":"eng","note":"OCLC: 660881","number-of-pages":"159","publisher":"Univ. of Hawaii Press","publisher-place":"Honolulu","source":"Open WorldCat","title":"Some tropical South Pacific island foods; description, history, use, composition, and nutritive value","author":[{"family":"Murai","given":"Mary"},{"family":"Miller","given":"Carey D."},{"family":"Pen","given":"Florence"}],"issued":{"date-parts":[["1958"]]}}},{"id":198,"uris":["http://zotero.org/users/local/6l88xueb/items/APKDDVXQ"],"itemData":{"id":198,"type":"article-journal","abstract":"Worldwide the consumption of marine mammals by humans occurred for many centuries. Many island and coastal Alaskan communities still depend on marine mammals for nutritional, cultural, health, medicinal, economic, and spiritual well being. These communities know these benefits exist but in most cases a well designed quantitative assessment of nutrient values has been lacking. This study focuses on bowhead whales (Balaena mysticetus) landed during subsistence hunts. We assess tissues that are consumed to quantify the nutritional composition and relate this to well documented nutritional “daily requirements.” We evaluate the uncooked or unprocessed nutritional value of many bowhead whale-based foods. Based on a person eating 100 grams (3 ounces) of food we determined what percent of the daily requirement is met (e.g., 50%, means that this 100 g portion of food provides half of the specific nutrient required for a day for an adult male). As for most tissues studied epidermis (“skin”) is a poor source of carbohydrates (&lt;5%) and sugars, vitamin C, and beta carotene but represents a good source for protein (42%), dietary fiber (21%), vitamin E (12%), and many elements. Blubber, a component of maktak (a food comprised of the epidermis and underlying blubber), is rarely eaten alone and offers 8% of needed vitamin A, 10% protein and little carbohydrate (&lt;4%), but is a very good source of polyunsaturated fatty acids (PUFAs) (189%) and many elements. Skeletal muscle (meat) is a poor (&lt;5%) source of fat, PUFAs, dietary fiber, and carbohydrate. However, it provides approximately 45% of needed protein and &gt; 10% for some of the Vitamin B compounds and many elements. Kidney is a good source of fat (11%) and protein (28%) but not carbohydrate (2%). Kidney provides nearly 16% of the needed PUFAs and is an excellent source of many elements. Heart is a good source of protein (40%) and many elements. Tongue is a good source of fat (82%), PUFAs (161%), protein (27%), calories (30%), vitamin A (16%), and some elements. Intestinal tissue is a good source of protein (37%) and many elements. Many important essential fatty acids (omega-3 class) are present in these tissues and are known to be important in prevention of heart disease and diabetes; and are essential for neonatal development (i.e., neural tube). These data clearly indicate that important nutrients are provided by bowhead whale tissues (uncooked) to human consumers.","container-title":"International Whaling Commission Scientific Committee Report SC/56 E","page":"1–19","source":"Google Scholar","title":"A preliminary assessment of the nutritive value of select tissues from the bowhead whale based on suggested nutrient daily intakes","volume":"2","author":[{"family":"O’Hara","given":"Todd M."},{"family":"Hoekstra","given":"Paul"},{"family":"Hanns","given":"Cyd"},{"family":"Muir","given":"Derek"},{"family":"Wetzel","given":"Dana"},{"family":"Reynolds","given":"John"}],"issued":{"date-parts":[["2004"]]}}},{"id":220,"uris":["http://zotero.org/users/local/6l88xueb/items/2HDS4HRJ"],"itemData":{"id":220,"type":"book","collection-number":"100","collection-title":"Technical Paper","event-place":"Noumea, New Caledonia","language":"en","note":"Google-Books-ID: 08Zpue3Yd0YC","number-of-pages":"126","publisher":"South Pacific Commission","publisher-place":"Noumea, New Caledonia","source":"Google Books","title":"Chemical Composition of South Pacific Foods: An Annotated Bibliography","title-short":"Chemical Composition of South Pacific Foods","author":[{"family":"Peters","given":"F. E."}],"issued":{"date-parts":[["1957"]]}}},{"id":212,"uris":["http://zotero.org/users/local/6l88xueb/items/KHT9FSL6"],"itemData":{"id":212,"type":"article-journal","container-title":"Economic Botany","DOI":"10.1663/0013-0001(2006)60[335:SEOFQA]2.0.CO;2","ISSN":"0013-0001","issue":"4","journalAbbreviation":"Economic Botany","language":"en","page":"335-346","source":"DOI.org (Crossref)","title":"Sensory Evaluation of Fruit Quality and Nutritional Composition of 20 Breadfruit (&lt;i&gt;Artocarpus, Moraceae&lt;/i&gt;) Cultivars","volume":"60","author":[{"family":"Ragone","given":"Diane"},{"family":"Cavaletto","given":"Catherine G."}],"issued":{"date-parts":[["2006",12]]}}},{"id":116,"uris":["http://zotero.org/users/local/6l88xueb/items/XZI2YNNT"],"itemData":{"id":116,"type":"report","publisher":"Department of Anthropology &amp; Archaeology; University of Otago","source":"Google Scholar","title":"Meat weight, nutritional and energy yield values for New Zealand archaeofauna","URL":"https://ourarchive.otago.ac.nz/bitstream/handle/10523/5942/OALR_No8.pdf?sequence=1","author":[{"family":"Smith","given":"Ian"}],"accessed":{"date-parts":[["2024",1,21]]},"issued":{"date-parts":[["2011"]]}}},{"id":227,"uris":["http://zotero.org/users/local/6l88xueb/items/B44Q3QJ5"],"itemData":{"id":227,"type":"article-journal","container-title":"Ecology of Food and Nutrition","DOI":"10.1080/03670240390202246","ISSN":"0367-0244","issue":"2","note":"publisher: Routledge","page":"91-127","source":"tandfonline.com (Atypon)","title":"Shellfish gathering in Kiribati,Micronesia: Nutritional,microbiological, and toxicological aspects","title-short":"Shellfish gathering in Kiribati,Micronesia","volume":"42","author":[{"family":"Thomas","given":"Frank R."}],"issued":{"date-parts":[["2003",3]]}}},{"id":203,"uris":["http://zotero.org/users/local/6l88xueb/items/LHVFUBFL"],"itemData":{"id":203,"type":"article-journal","abstract":"Abstract\n            \n              Taro samples were analysed for water, protein, fat, fructose, glucose, sucrose, maltose, starch, organic acids, dietary fibre, ash, sodium, potassium, iron, calcium, magnesium and zinc and the energy content was calculated. The composition of ‘Yaguat’ taro was determined at various intervals during growth. The most marked changes were in immature corms with a decrease in water content and an increase in starch and energy content. There were minimal changes in composition of taro from slightly immature to over‐mature stages. The composition of 36 samples of mature taro from 22 cultivars grown in four districts was determined. There was a large range in proximate composition between cultivars for most nutrients; for example, water ranged from 55.8 to 74.4 g 100 g\n              −1\n              , starch 20.0 to 35.1 g 100 g\n              −1\n              protein 0.5 to 2.1 g 100 g\n              −1\n              , dietary fibre 1.4 to 5.4 g 100 g\n              −1\n              and energy 403 to 672 kJ 100 g\n              −1\n              . However the same cultivar grown in two districts tended to have a similar composition. Mineral levels were variable between samples but the greatest variation was with zinc which varied widely between districts.","container-title":"Journal of the Science of Food and Agriculture","DOI":"10.1002/jsfa.2740341015","ISSN":"0022-5142, 1097-0010","issue":"10","journalAbbreviation":"J Sci Food Agric","language":"en","page":"1137-1142","source":"DOI.org (Crossref)","title":"Nutrient composition of taro (&lt;i&gt;Colocasia esculenta&lt;/i&gt;) cultivars from the Papua New Guinea highlands","volume":"34","author":[{"family":"Wills","given":"Ron B. H."},{"family":"Lim","given":"Jessie S. K."},{"family":"Greenfield","given":"Heather"},{"family":"Bayliss‐Smith","given":"Tim"}],"issued":{"date-parts":[["1983",10]]}}}],"schema":"https://github.com/citation-style-language/schema/raw/master/csl-citation.json"} </w:instrText>
      </w:r>
      <w:r>
        <w:fldChar w:fldCharType="separate"/>
      </w:r>
      <w:r w:rsidRPr="00274757">
        <w:rPr>
          <w:rFonts w:ascii="Calibri" w:cs="Calibri"/>
        </w:rPr>
        <w:t>(Ab-Lah et al. 2017; Ann 1999; Arai and Sakai 1952; Barrau 1958; Bradbury and Holloway 1988; Burtenshaw and Harris 2007; Dignan et al. 2004; FAO 2016; Fraser 2001; Haytowitz et al. 2005; Hipsley and Kirk 1965; Huang, Titchenal, and Meilleur 2000; A. M. P. Jones et al. 2011; K. L. Jones and Law 1987; Kirch 1994; Massal and Barrau 1955; 1956; McKee 1957; Miller and Pen 1959; Murai, Miller, and Pen 1958; O</w:t>
      </w:r>
      <w:r w:rsidRPr="00274757">
        <w:rPr>
          <w:rFonts w:ascii="Calibri" w:cs="Calibri"/>
        </w:rPr>
        <w:t>’</w:t>
      </w:r>
      <w:r w:rsidRPr="00274757">
        <w:rPr>
          <w:rFonts w:ascii="Calibri" w:cs="Calibri"/>
        </w:rPr>
        <w:t>Hara et al. 2004; Peters 1957; Ragone and Cavaletto 2006; Smith 2011; Thomas 2003; Wills et al. 1983)</w:t>
      </w:r>
      <w:r>
        <w:fldChar w:fldCharType="end"/>
      </w:r>
    </w:p>
    <w:p w14:paraId="18C309CB" w14:textId="77777777" w:rsidR="004634B1" w:rsidRDefault="004634B1"/>
    <w:sectPr w:rsidR="004634B1" w:rsidSect="00124BAA">
      <w:headerReference w:type="default" r:id="rId5"/>
      <w:footerReference w:type="default" r:id="rId6"/>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E6C4D9" w14:textId="77777777" w:rsidR="00000000" w:rsidRDefault="0000000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D4F1A8" w14:textId="77777777" w:rsidR="00000000" w:rsidRDefault="0000000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4BAA"/>
    <w:rsid w:val="00124BAA"/>
    <w:rsid w:val="002B57B8"/>
    <w:rsid w:val="004634B1"/>
    <w:rsid w:val="009F30D7"/>
    <w:rsid w:val="00B34C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E91AC2"/>
  <w15:chartTrackingRefBased/>
  <w15:docId w15:val="{08E601D1-9700-4BA0-81AD-D6E71FF83F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4BAA"/>
    <w:pPr>
      <w:spacing w:after="0" w:line="240" w:lineRule="auto"/>
    </w:pPr>
    <w:rPr>
      <w:kern w:val="0"/>
      <w14:ligatures w14:val="none"/>
    </w:rPr>
  </w:style>
  <w:style w:type="paragraph" w:styleId="Heading1">
    <w:name w:val="heading 1"/>
    <w:basedOn w:val="Normal"/>
    <w:next w:val="Normal"/>
    <w:link w:val="Heading1Char"/>
    <w:uiPriority w:val="9"/>
    <w:qFormat/>
    <w:rsid w:val="00124BAA"/>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124BAA"/>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124BAA"/>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124BAA"/>
    <w:pPr>
      <w:keepNext/>
      <w:keepLines/>
      <w:spacing w:before="80" w:after="40" w:line="278" w:lineRule="auto"/>
      <w:outlineLvl w:val="3"/>
    </w:pPr>
    <w:rPr>
      <w:rFonts w:eastAsiaTheme="majorEastAsia"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124BAA"/>
    <w:pPr>
      <w:keepNext/>
      <w:keepLines/>
      <w:spacing w:before="80" w:after="40" w:line="278" w:lineRule="auto"/>
      <w:outlineLvl w:val="4"/>
    </w:pPr>
    <w:rPr>
      <w:rFonts w:eastAsiaTheme="majorEastAsia"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124BAA"/>
    <w:pPr>
      <w:keepNext/>
      <w:keepLines/>
      <w:spacing w:before="40" w:line="278" w:lineRule="auto"/>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124BAA"/>
    <w:pPr>
      <w:keepNext/>
      <w:keepLines/>
      <w:spacing w:before="40" w:line="278" w:lineRule="auto"/>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124BAA"/>
    <w:pPr>
      <w:keepNext/>
      <w:keepLines/>
      <w:spacing w:line="278" w:lineRule="auto"/>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124BAA"/>
    <w:pPr>
      <w:keepNext/>
      <w:keepLines/>
      <w:spacing w:line="278" w:lineRule="auto"/>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24BA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24BA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24BA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24BA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24BA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24BA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24BA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24BA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24BAA"/>
    <w:rPr>
      <w:rFonts w:eastAsiaTheme="majorEastAsia" w:cstheme="majorBidi"/>
      <w:color w:val="272727" w:themeColor="text1" w:themeTint="D8"/>
    </w:rPr>
  </w:style>
  <w:style w:type="paragraph" w:styleId="Title">
    <w:name w:val="Title"/>
    <w:basedOn w:val="Normal"/>
    <w:next w:val="Normal"/>
    <w:link w:val="TitleChar"/>
    <w:uiPriority w:val="10"/>
    <w:qFormat/>
    <w:rsid w:val="00124BAA"/>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124BA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24BAA"/>
    <w:pPr>
      <w:numPr>
        <w:ilvl w:val="1"/>
      </w:numPr>
      <w:spacing w:after="160"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124BA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24BAA"/>
    <w:pPr>
      <w:spacing w:before="160" w:after="160" w:line="278" w:lineRule="auto"/>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124BAA"/>
    <w:rPr>
      <w:i/>
      <w:iCs/>
      <w:color w:val="404040" w:themeColor="text1" w:themeTint="BF"/>
    </w:rPr>
  </w:style>
  <w:style w:type="paragraph" w:styleId="ListParagraph">
    <w:name w:val="List Paragraph"/>
    <w:basedOn w:val="Normal"/>
    <w:uiPriority w:val="34"/>
    <w:qFormat/>
    <w:rsid w:val="00124BAA"/>
    <w:pPr>
      <w:spacing w:after="160" w:line="278" w:lineRule="auto"/>
      <w:ind w:left="720"/>
      <w:contextualSpacing/>
    </w:pPr>
    <w:rPr>
      <w:kern w:val="2"/>
      <w14:ligatures w14:val="standardContextual"/>
    </w:rPr>
  </w:style>
  <w:style w:type="character" w:styleId="IntenseEmphasis">
    <w:name w:val="Intense Emphasis"/>
    <w:basedOn w:val="DefaultParagraphFont"/>
    <w:uiPriority w:val="21"/>
    <w:qFormat/>
    <w:rsid w:val="00124BAA"/>
    <w:rPr>
      <w:i/>
      <w:iCs/>
      <w:color w:val="0F4761" w:themeColor="accent1" w:themeShade="BF"/>
    </w:rPr>
  </w:style>
  <w:style w:type="paragraph" w:styleId="IntenseQuote">
    <w:name w:val="Intense Quote"/>
    <w:basedOn w:val="Normal"/>
    <w:next w:val="Normal"/>
    <w:link w:val="IntenseQuoteChar"/>
    <w:uiPriority w:val="30"/>
    <w:qFormat/>
    <w:rsid w:val="00124BAA"/>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124BAA"/>
    <w:rPr>
      <w:i/>
      <w:iCs/>
      <w:color w:val="0F4761" w:themeColor="accent1" w:themeShade="BF"/>
    </w:rPr>
  </w:style>
  <w:style w:type="character" w:styleId="IntenseReference">
    <w:name w:val="Intense Reference"/>
    <w:basedOn w:val="DefaultParagraphFont"/>
    <w:uiPriority w:val="32"/>
    <w:qFormat/>
    <w:rsid w:val="00124BAA"/>
    <w:rPr>
      <w:b/>
      <w:bCs/>
      <w:smallCaps/>
      <w:color w:val="0F4761" w:themeColor="accent1" w:themeShade="BF"/>
      <w:spacing w:val="5"/>
    </w:rPr>
  </w:style>
  <w:style w:type="paragraph" w:styleId="Header">
    <w:name w:val="header"/>
    <w:basedOn w:val="Normal"/>
    <w:link w:val="HeaderChar"/>
    <w:uiPriority w:val="99"/>
    <w:unhideWhenUsed/>
    <w:rsid w:val="00124BAA"/>
    <w:pPr>
      <w:tabs>
        <w:tab w:val="center" w:pos="4680"/>
        <w:tab w:val="right" w:pos="9360"/>
      </w:tabs>
    </w:pPr>
  </w:style>
  <w:style w:type="character" w:customStyle="1" w:styleId="HeaderChar">
    <w:name w:val="Header Char"/>
    <w:basedOn w:val="DefaultParagraphFont"/>
    <w:link w:val="Header"/>
    <w:uiPriority w:val="99"/>
    <w:rsid w:val="00124BAA"/>
    <w:rPr>
      <w:kern w:val="0"/>
      <w14:ligatures w14:val="none"/>
    </w:rPr>
  </w:style>
  <w:style w:type="paragraph" w:styleId="Footer">
    <w:name w:val="footer"/>
    <w:basedOn w:val="Normal"/>
    <w:link w:val="FooterChar"/>
    <w:uiPriority w:val="99"/>
    <w:unhideWhenUsed/>
    <w:rsid w:val="00124BAA"/>
    <w:pPr>
      <w:tabs>
        <w:tab w:val="center" w:pos="4680"/>
        <w:tab w:val="right" w:pos="9360"/>
      </w:tabs>
    </w:pPr>
  </w:style>
  <w:style w:type="character" w:customStyle="1" w:styleId="FooterChar">
    <w:name w:val="Footer Char"/>
    <w:basedOn w:val="DefaultParagraphFont"/>
    <w:link w:val="Footer"/>
    <w:uiPriority w:val="99"/>
    <w:rsid w:val="00124BAA"/>
    <w:rPr>
      <w:kern w:val="0"/>
      <w14:ligatures w14:val="none"/>
    </w:rPr>
  </w:style>
  <w:style w:type="character" w:styleId="LineNumber">
    <w:name w:val="line number"/>
    <w:basedOn w:val="DefaultParagraphFont"/>
    <w:uiPriority w:val="99"/>
    <w:semiHidden/>
    <w:unhideWhenUsed/>
    <w:rsid w:val="00124B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3848</Words>
  <Characters>21936</Characters>
  <Application>Microsoft Office Word</Application>
  <DocSecurity>0</DocSecurity>
  <Lines>182</Lines>
  <Paragraphs>51</Paragraphs>
  <ScaleCrop>false</ScaleCrop>
  <Company>SpringerNature</Company>
  <LinksUpToDate>false</LinksUpToDate>
  <CharactersWithSpaces>25733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2</cp:revision>
  <dcterms:created xsi:type="dcterms:W3CDTF">2024-07-29T08:39:00Z</dcterms:created>
  <dcterms:modified xsi:type="dcterms:W3CDTF">2024-07-29T08:39:00Z</dcterms:modified>
</cp:coreProperties>
</file>