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Deep learning to estimate response of concurrent chemoradiotherapy in non-small-cell lung carcinoma</w:t>
      </w:r>
    </w:p>
    <w:p>
      <w:pPr>
        <w:pStyle w:val="2"/>
        <w:spacing w:line="360" w:lineRule="auto"/>
        <w:rPr>
          <w:rFonts w:ascii="Times New Roman" w:hAnsi="Times New Roman" w:cs="Times New Roman"/>
          <w:color w:val="000000"/>
          <w:sz w:val="24"/>
          <w:szCs w:val="24"/>
          <w:lang w:val="en-US" w:bidi="en-US"/>
        </w:rPr>
      </w:pPr>
      <w:r>
        <w:rPr>
          <w:rFonts w:ascii="Times New Roman" w:hAnsi="Times New Roman" w:cs="Times New Roman"/>
          <w:sz w:val="24"/>
          <w:szCs w:val="24"/>
          <w:lang w:val="en-US"/>
        </w:rPr>
        <w:t xml:space="preserve">Supplemental Materials and Methods, </w:t>
      </w:r>
      <w:r>
        <w:rPr>
          <w:rFonts w:ascii="Times New Roman" w:hAnsi="Times New Roman" w:cs="Times New Roman"/>
          <w:sz w:val="24"/>
          <w:szCs w:val="24"/>
          <w:lang w:val="en-US" w:bidi="en-US"/>
        </w:rPr>
        <w:t xml:space="preserve">Additional file </w:t>
      </w:r>
      <w:r>
        <w:rPr>
          <w:rFonts w:ascii="Times New Roman" w:hAnsi="Times New Roman" w:cs="Times New Roman"/>
          <w:bCs/>
          <w:sz w:val="24"/>
          <w:szCs w:val="24"/>
          <w:lang w:val="en-US" w:bidi="en-US"/>
        </w:rPr>
        <w:t>2</w:t>
      </w:r>
    </w:p>
    <w:p>
      <w:pPr>
        <w:pStyle w:val="3"/>
        <w:spacing w:line="360" w:lineRule="auto"/>
        <w:rPr>
          <w:rFonts w:ascii="Times New Roman" w:hAnsi="Times New Roman" w:cs="Times New Roman"/>
          <w:sz w:val="24"/>
          <w:szCs w:val="24"/>
        </w:rPr>
      </w:pPr>
      <w:r>
        <w:rPr>
          <w:rFonts w:ascii="Times New Roman" w:hAnsi="Times New Roman" w:cs="Times New Roman"/>
          <w:sz w:val="24"/>
          <w:szCs w:val="24"/>
        </w:rPr>
        <w:t xml:space="preserve">ResNet50 model </w: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ResNet50, with its distinctive skip-connection technique integrating residual blocks, effectively promotes direct information flow, addressing the common issues of gradient vanishing and limited expressive capacity in deep networks. In ResNet50, each residual block consists of multiple convolutional layers, and these blocks are stacked together to form the entire network. This stacking structure enables the model to progressively extract and learn abstract representations of the data, thereby better capturing complex features in the images. Each residual block contains a non-linear mapping, denoted as </w:t>
      </w:r>
      <w:r>
        <w:rPr>
          <w:rFonts w:ascii="Times New Roman" w:hAnsi="Times New Roman" w:cs="Times New Roman"/>
          <w:i/>
          <w:iCs/>
          <w:sz w:val="24"/>
          <w:szCs w:val="24"/>
          <w:lang w:val="en-US"/>
        </w:rPr>
        <w:t>F</w:t>
      </w:r>
      <w:r>
        <w:rPr>
          <w:rFonts w:ascii="Times New Roman" w:hAnsi="Times New Roman" w:cs="Times New Roman"/>
          <w:sz w:val="24"/>
          <w:szCs w:val="24"/>
          <w:lang w:val="en-US"/>
        </w:rPr>
        <w:t>(</w:t>
      </w:r>
      <w:r>
        <w:rPr>
          <w:rFonts w:ascii="Times New Roman" w:hAnsi="Times New Roman" w:cs="Times New Roman"/>
          <w:i/>
          <w:iCs/>
          <w:sz w:val="24"/>
          <w:szCs w:val="24"/>
          <w:lang w:val="en-US"/>
        </w:rPr>
        <w:t>x</w:t>
      </w:r>
      <w:r>
        <w:rPr>
          <w:rFonts w:ascii="Times New Roman" w:hAnsi="Times New Roman" w:cs="Times New Roman"/>
          <w:sz w:val="24"/>
          <w:szCs w:val="24"/>
          <w:lang w:val="en-US"/>
        </w:rPr>
        <w:t>, {</w:t>
      </w:r>
      <w:r>
        <w:rPr>
          <w:rFonts w:ascii="Times New Roman" w:hAnsi="Times New Roman" w:cs="Times New Roman"/>
          <w:i/>
          <w:iCs/>
          <w:sz w:val="24"/>
          <w:szCs w:val="24"/>
          <w:lang w:val="en-US"/>
        </w:rPr>
        <w:t>W</w:t>
      </w:r>
      <w:r>
        <w:rPr>
          <w:rFonts w:ascii="Times New Roman" w:hAnsi="Times New Roman" w:cs="Times New Roman"/>
          <w:i/>
          <w:iCs/>
          <w:sz w:val="24"/>
          <w:szCs w:val="24"/>
          <w:vertAlign w:val="subscript"/>
          <w:lang w:val="en-US"/>
        </w:rPr>
        <w:t>i</w:t>
      </w:r>
      <w:r>
        <w:rPr>
          <w:rFonts w:ascii="Times New Roman" w:hAnsi="Times New Roman" w:cs="Times New Roman"/>
          <w:sz w:val="24"/>
          <w:szCs w:val="24"/>
          <w:lang w:val="en-US"/>
        </w:rPr>
        <w:t xml:space="preserve">}), representing the learning process from input feature map </w:t>
      </w:r>
      <w:r>
        <w:rPr>
          <w:rFonts w:ascii="Times New Roman" w:hAnsi="Times New Roman" w:cs="Times New Roman"/>
          <w:i/>
          <w:iCs/>
          <w:sz w:val="24"/>
          <w:szCs w:val="24"/>
          <w:lang w:val="en-US"/>
        </w:rPr>
        <w:t xml:space="preserve">x </w:t>
      </w:r>
      <w:r>
        <w:rPr>
          <w:rFonts w:ascii="Times New Roman" w:hAnsi="Times New Roman" w:cs="Times New Roman"/>
          <w:sz w:val="24"/>
          <w:szCs w:val="24"/>
          <w:lang w:val="en-US"/>
        </w:rPr>
        <w:t xml:space="preserve">to output feature map </w:t>
      </w:r>
      <w:r>
        <w:rPr>
          <w:rFonts w:ascii="Times New Roman" w:hAnsi="Times New Roman" w:cs="Times New Roman"/>
          <w:i/>
          <w:iCs/>
          <w:sz w:val="24"/>
          <w:szCs w:val="24"/>
          <w:lang w:val="en-US"/>
        </w:rPr>
        <w:t>y</w:t>
      </w:r>
      <w:r>
        <w:rPr>
          <w:rFonts w:ascii="Times New Roman" w:hAnsi="Times New Roman" w:cs="Times New Roman"/>
          <w:sz w:val="24"/>
          <w:szCs w:val="24"/>
          <w:lang w:val="en-US"/>
        </w:rPr>
        <w:t xml:space="preserve">. By incorporating such mappings, the model can capture non-linear relationships within the data at various levels, thereby augmenting its comprehension of complex patterns. Ultimately, the output feature map </w:t>
      </w:r>
      <w:r>
        <w:rPr>
          <w:rFonts w:ascii="Times New Roman" w:hAnsi="Times New Roman" w:cs="Times New Roman"/>
          <w:i/>
          <w:iCs/>
          <w:sz w:val="24"/>
          <w:szCs w:val="24"/>
          <w:lang w:val="en-US"/>
        </w:rPr>
        <w:t>y</w:t>
      </w:r>
      <w:r>
        <w:rPr>
          <w:rFonts w:ascii="Times New Roman" w:hAnsi="Times New Roman" w:cs="Times New Roman"/>
          <w:sz w:val="24"/>
          <w:szCs w:val="24"/>
          <w:lang w:val="en-US"/>
        </w:rPr>
        <w:t xml:space="preserve"> of the residual block can be precisely expressed through a mathematical formula, deepening our insights into the model’s internal operations. The superiority of this structure lies in its capacity to address challenges encountered by many deep learning (DL) models when handling large-scale datasets, providing enhanced modeling capabilities for our prediction task. The output feature map y of a residual block, can be mathematically expressed as follows:</w:t>
      </w:r>
    </w:p>
    <w:p>
      <w:pPr>
        <w:spacing w:line="360" w:lineRule="auto"/>
        <w:jc w:val="center"/>
        <w:rPr>
          <w:rFonts w:ascii="Times New Roman" w:hAnsi="Times New Roman" w:cs="Times New Roman"/>
          <w:sz w:val="24"/>
          <w:szCs w:val="24"/>
          <w:lang w:val="en-US"/>
        </w:rPr>
      </w:pPr>
      <w:r>
        <w:rPr>
          <w:rFonts w:ascii="Times New Roman" w:hAnsi="Times New Roman" w:cs="Times New Roman"/>
          <w:i/>
          <w:iCs/>
          <w:sz w:val="24"/>
          <w:szCs w:val="24"/>
          <w:lang w:val="en-US"/>
        </w:rPr>
        <w:t>y</w:t>
      </w:r>
      <w:r>
        <w:rPr>
          <w:rFonts w:ascii="Times New Roman" w:hAnsi="Times New Roman" w:cs="Times New Roman"/>
          <w:sz w:val="24"/>
          <w:szCs w:val="24"/>
          <w:lang w:val="en-US"/>
        </w:rPr>
        <w:t xml:space="preserve"> = </w:t>
      </w:r>
      <w:r>
        <w:rPr>
          <w:rFonts w:ascii="Times New Roman" w:hAnsi="Times New Roman" w:cs="Times New Roman"/>
          <w:i/>
          <w:iCs/>
          <w:sz w:val="24"/>
          <w:szCs w:val="24"/>
          <w:lang w:val="en-US"/>
        </w:rPr>
        <w:t>F</w:t>
      </w:r>
      <w:r>
        <w:rPr>
          <w:rFonts w:ascii="Times New Roman" w:hAnsi="Times New Roman" w:cs="Times New Roman"/>
          <w:sz w:val="24"/>
          <w:szCs w:val="24"/>
          <w:lang w:val="en-US"/>
        </w:rPr>
        <w:t>(</w:t>
      </w:r>
      <w:r>
        <w:rPr>
          <w:rFonts w:ascii="Times New Roman" w:hAnsi="Times New Roman" w:cs="Times New Roman"/>
          <w:i/>
          <w:iCs/>
          <w:sz w:val="24"/>
          <w:szCs w:val="24"/>
          <w:lang w:val="en-US"/>
        </w:rPr>
        <w:t>x</w:t>
      </w:r>
      <w:r>
        <w:rPr>
          <w:rFonts w:ascii="Times New Roman" w:hAnsi="Times New Roman" w:cs="Times New Roman"/>
          <w:sz w:val="24"/>
          <w:szCs w:val="24"/>
          <w:lang w:val="en-US"/>
        </w:rPr>
        <w:t>, {</w:t>
      </w:r>
      <w:r>
        <w:rPr>
          <w:rFonts w:ascii="Times New Roman" w:hAnsi="Times New Roman" w:cs="Times New Roman"/>
          <w:i/>
          <w:iCs/>
          <w:sz w:val="24"/>
          <w:szCs w:val="24"/>
          <w:lang w:val="en-US"/>
        </w:rPr>
        <w:t>W</w:t>
      </w:r>
      <w:r>
        <w:rPr>
          <w:rFonts w:ascii="Times New Roman" w:hAnsi="Times New Roman" w:cs="Times New Roman"/>
          <w:i/>
          <w:iCs/>
          <w:sz w:val="24"/>
          <w:szCs w:val="24"/>
          <w:vertAlign w:val="subscript"/>
          <w:lang w:val="en-US"/>
        </w:rPr>
        <w:t>i</w:t>
      </w:r>
      <w:r>
        <w:rPr>
          <w:rFonts w:ascii="Times New Roman" w:hAnsi="Times New Roman" w:cs="Times New Roman"/>
          <w:sz w:val="24"/>
          <w:szCs w:val="24"/>
          <w:lang w:val="en-US"/>
        </w:rPr>
        <w:t>}) +</w:t>
      </w:r>
      <w:r>
        <w:rPr>
          <w:rFonts w:ascii="Times New Roman" w:hAnsi="Times New Roman" w:cs="Times New Roman"/>
          <w:i/>
          <w:iCs/>
          <w:sz w:val="24"/>
          <w:szCs w:val="24"/>
          <w:lang w:val="en-US"/>
        </w:rPr>
        <w:t xml:space="preserve"> x</w: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 this explanation, {</w:t>
      </w:r>
      <w:r>
        <w:rPr>
          <w:rFonts w:ascii="Times New Roman" w:hAnsi="Times New Roman" w:cs="Times New Roman"/>
          <w:i/>
          <w:iCs/>
          <w:sz w:val="24"/>
          <w:szCs w:val="24"/>
          <w:lang w:val="en-US"/>
        </w:rPr>
        <w:t>W</w:t>
      </w:r>
      <w:r>
        <w:rPr>
          <w:rFonts w:ascii="Times New Roman" w:hAnsi="Times New Roman" w:cs="Times New Roman"/>
          <w:i/>
          <w:iCs/>
          <w:sz w:val="24"/>
          <w:szCs w:val="24"/>
          <w:vertAlign w:val="subscript"/>
          <w:lang w:val="en-US"/>
        </w:rPr>
        <w:t>i</w:t>
      </w:r>
      <w:r>
        <w:rPr>
          <w:rFonts w:ascii="Times New Roman" w:hAnsi="Times New Roman" w:cs="Times New Roman"/>
          <w:sz w:val="24"/>
          <w:szCs w:val="24"/>
          <w:lang w:val="en-US"/>
        </w:rPr>
        <w:t>} represents the weights of the residual block. The clever utilization of skip connections achieves the direct propagation of residual information, where residual information denotes the difference between the input and output feature maps of the residual block. By adding the output of the residual block to the input, the network effectively captures residual information, thereby enhancing optimization during the learning process. This mechanism enables the model to more precisely learn and discern subtle differences in the input data, improving the network's capacity to represent complex features and infusing stronger learning capabilities for ultimate predictive performance. The model’s architecture comprises convolutional and classification modules, accomplished through three crucial steps: 1) establishing a seamless connection between a linear classifier and the convolutional network to create an efficient feature extractor; 2) freezing the convolutional network and connecting it to a fully connected network with 1,024 hidden nodes, facilitating the integration of high-dimensional features for a high-precision classifier; and 3) unfreezing all network parameters to implement an end-to-end training approach with a reduced learning rate.</w:t>
      </w:r>
    </w:p>
    <w:p>
      <w:pPr>
        <w:pStyle w:val="3"/>
        <w:spacing w:line="360" w:lineRule="auto"/>
        <w:rPr>
          <w:rFonts w:ascii="Times New Roman" w:hAnsi="Times New Roman" w:cs="Times New Roman"/>
          <w:sz w:val="24"/>
          <w:szCs w:val="24"/>
        </w:rPr>
      </w:pPr>
      <w:r>
        <w:rPr>
          <w:rFonts w:ascii="Times New Roman" w:hAnsi="Times New Roman" w:eastAsia="华文楷体" w:cs="Times New Roman"/>
          <w:color w:val="000000"/>
          <w:kern w:val="2"/>
          <w:sz w:val="24"/>
          <w:lang w:eastAsia="zh-CN"/>
        </w:rPr>
        <w:t>Gradient-weighted class activation mapping</w:t>
      </w:r>
      <w:r>
        <w:rPr>
          <w:rFonts w:ascii="Times New Roman" w:hAnsi="Times New Roman" w:cs="Times New Roman"/>
          <w:bCs/>
          <w:color w:val="000000"/>
          <w:sz w:val="24"/>
          <w:lang w:bidi="en-US"/>
        </w:rPr>
        <w:t xml:space="preserve"> (</w:t>
      </w:r>
      <w:r>
        <w:rPr>
          <w:rFonts w:ascii="Times New Roman" w:hAnsi="Times New Roman" w:cs="Times New Roman"/>
          <w:sz w:val="24"/>
          <w:szCs w:val="24"/>
        </w:rPr>
        <w:t>Grad-CAM) visualization</w: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core principle of Grad-CAM lies in quantifying the correlation between category predictions and feature maps from convolutional layers, ultimately generating class activation maps. This technique accurately identifies crucial features and regions in the decision-making process of DL models, providing a powerful tool for model interpretability. Integrated with the previously described ResNet50 architecture, we further optimize the interpretability of the model. In the Grad-CAM framework, the initial steps involve executing forward propagation through a deep neural network to generate predictions for the target category. This step, working in tandem with the ResNet50 model described earlier, collectively forms a more robust and comprehensive DL system. Subsequently, the backpropagation algorithm extracts the gradients of the target category with respect to the intermediate feature maps, denoted by the symbol “c,” encompassing fundamental gradient information. The introduction of this step in Grad-CAM plays a crucial role, enabling a deeper understanding of the model's decision rationale for the target category. These gradient details complement the skip-connection technique in ResNet50, collectively building a comprehensive understanding of the internal operations of the model. Through this organic integration, we achieved more in-depth and accurate results in interpreting model decisions and visualizing essential features. This holistic approach not only enhances the interpretability capabilities of Grad-CAM but also further highlights the superiority of ResNet50 as the underlying architecture, providing more reliable and comprehensive interpretative support for the application of DL models. These gradients are denoted as “c” and represent essential gradient information:</w:t>
      </w:r>
    </w:p>
    <w:p>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object>
          <v:shape id="_x0000_i1025" o:spt="75" type="#_x0000_t75" style="height:37.5pt;width:26.2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where the variables </w:t>
      </w:r>
      <w:r>
        <w:rPr>
          <w:rFonts w:ascii="Times New Roman" w:hAnsi="Times New Roman" w:cs="Times New Roman"/>
          <w:b/>
          <w:i/>
          <w:iCs/>
          <w:sz w:val="24"/>
          <w:szCs w:val="24"/>
          <w:lang w:val="en-US"/>
        </w:rPr>
        <w:t>y</w:t>
      </w:r>
      <w:r>
        <w:rPr>
          <w:rFonts w:ascii="Times New Roman" w:hAnsi="Times New Roman" w:cs="Times New Roman"/>
          <w:b/>
          <w:i/>
          <w:iCs/>
          <w:sz w:val="24"/>
          <w:szCs w:val="24"/>
          <w:vertAlign w:val="subscript"/>
          <w:lang w:val="en-US"/>
        </w:rPr>
        <w:t>c</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and</w:t>
      </w:r>
      <w:r>
        <w:rPr>
          <w:rFonts w:ascii="Times New Roman" w:hAnsi="Times New Roman" w:cs="Times New Roman"/>
          <w:sz w:val="24"/>
          <w:szCs w:val="24"/>
          <w:vertAlign w:val="subscript"/>
          <w:lang w:val="en-US"/>
        </w:rPr>
        <w:t xml:space="preserve"> </w:t>
      </w:r>
      <w:r>
        <w:rPr>
          <w:rFonts w:ascii="Times New Roman" w:hAnsi="Times New Roman" w:cs="Times New Roman"/>
          <w:b/>
          <w:i/>
          <w:iCs/>
          <w:sz w:val="24"/>
          <w:szCs w:val="24"/>
          <w:lang w:val="en-US"/>
        </w:rPr>
        <w:t>A</w:t>
      </w:r>
      <w:r>
        <w:rPr>
          <w:rFonts w:ascii="Times New Roman" w:hAnsi="Times New Roman" w:cs="Times New Roman"/>
          <w:b/>
          <w:i/>
          <w:iCs/>
          <w:sz w:val="24"/>
          <w:szCs w:val="24"/>
          <w:vertAlign w:val="superscript"/>
          <w:lang w:val="en-US"/>
        </w:rPr>
        <w:t>k</w:t>
      </w:r>
      <w:r>
        <w:rPr>
          <w:rFonts w:ascii="Times New Roman" w:hAnsi="Times New Roman" w:cs="Times New Roman"/>
          <w:sz w:val="24"/>
          <w:szCs w:val="24"/>
          <w:lang w:val="en-US"/>
        </w:rPr>
        <w:t xml:space="preserve"> represent the predicted score of the target class c and the feature map of the k-th channel, respectively. The gradient values reflect the significance of different regions in the feature maps for the target class. Subsequently, we performed global average pooling on each channel of the feature maps to convert them into channel weights based on the following computation:</w:t>
      </w:r>
    </w:p>
    <w:p>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object>
          <v:shape id="_x0000_i1026" o:spt="75" type="#_x0000_t75" style="height:30.75pt;width:83.25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this context, </w:t>
      </w:r>
      <w:r>
        <w:rPr>
          <w:rFonts w:ascii="Times New Roman" w:hAnsi="Times New Roman" w:cs="Times New Roman"/>
          <w:strike/>
          <w:position w:val="-12"/>
          <w:sz w:val="24"/>
          <w:szCs w:val="24"/>
          <w:lang w:val="en-US"/>
        </w:rPr>
        <w:object>
          <v:shape id="_x0000_i1027" o:spt="75" type="#_x0000_t75" style="height:22.5pt;width:18.7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ascii="Times New Roman" w:hAnsi="Times New Roman" w:cs="Times New Roman"/>
          <w:sz w:val="24"/>
          <w:szCs w:val="24"/>
          <w:lang w:val="en-US"/>
        </w:rPr>
        <w:t xml:space="preserve"> represents the channel weight and denotes a pixel in the feature map. The normalization constant Z is considered as well. Building upon the insights gained from evaluating the gradient weights in conjunction with the ResNet50 architecture, we derived the weights for individual channels, revealing the significance of different channels in predicting the target class. Higher weights assigned to specific channels indicate their substantial contributions to the prediction of the target class. To generate the definitive class activation map, we multiplied the gradient weights with their corresponding feature maps and conducted a channel-wise summation. This process, enriched by the interplay of Grad-CAM and ResNet50, leads to a comprehensive understanding of the model's decision-making process. The resulting map can be succinctly expressed as follows:</w:t>
      </w:r>
    </w:p>
    <w:p>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object>
          <v:shape id="_x0000_i1028" o:spt="75" type="#_x0000_t75" style="height:22.5pt;width:166.5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Here, </w:t>
      </w:r>
      <w:r>
        <w:rPr>
          <w:rFonts w:ascii="Times New Roman" w:hAnsi="Times New Roman" w:cs="Times New Roman"/>
          <w:position w:val="-12"/>
          <w:sz w:val="24"/>
          <w:szCs w:val="24"/>
          <w:lang w:val="en-US"/>
        </w:rPr>
        <w:object>
          <v:shape id="_x0000_i1029" o:spt="75" type="#_x0000_t75" style="height:22.5pt;width:53.25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ascii="Times New Roman" w:hAnsi="Times New Roman" w:cs="Times New Roman"/>
          <w:sz w:val="24"/>
          <w:szCs w:val="24"/>
          <w:lang w:val="en-US"/>
        </w:rPr>
        <w:t xml:space="preserve"> represents the class activation map for the target class “c,” whereas ReLU denotes the activation function. </w:t>
      </w:r>
    </w:p>
    <w:p>
      <w:pPr>
        <w:spacing w:line="360" w:lineRule="auto"/>
        <w:rPr>
          <w:rFonts w:ascii="Times New Roman" w:hAnsi="Times New Roman" w:cs="Times New Roman"/>
          <w:sz w:val="24"/>
          <w:szCs w:val="24"/>
          <w:lang w:val="en-US"/>
        </w:rPr>
        <w:sectPr>
          <w:pgSz w:w="11906" w:h="16838"/>
          <w:pgMar w:top="1440" w:right="1440" w:bottom="1440" w:left="1440" w:header="851" w:footer="992" w:gutter="0"/>
          <w:cols w:space="425" w:num="1"/>
          <w:docGrid w:type="lines" w:linePitch="312" w:charSpace="0"/>
        </w:sectPr>
      </w:pPr>
    </w:p>
    <w:p>
      <w:pPr>
        <w:pStyle w:val="2"/>
        <w:spacing w:line="360" w:lineRule="auto"/>
        <w:rPr>
          <w:rFonts w:ascii="Times New Roman" w:hAnsi="Times New Roman" w:eastAsia="宋体" w:cs="Times New Roman"/>
          <w:sz w:val="24"/>
          <w:szCs w:val="24"/>
          <w:lang w:val="en-US"/>
        </w:rPr>
      </w:pPr>
      <w:r>
        <w:rPr>
          <w:rFonts w:ascii="Times New Roman" w:hAnsi="Times New Roman" w:cs="Times New Roman"/>
          <w:sz w:val="24"/>
          <w:szCs w:val="24"/>
          <w:lang w:val="en-US"/>
        </w:rPr>
        <w:t>Supplementary Tables</w:t>
      </w:r>
      <w:r>
        <w:rPr>
          <w:rFonts w:ascii="Times New Roman" w:hAnsi="Times New Roman" w:eastAsia="宋体" w:cs="Times New Roman"/>
          <w:sz w:val="24"/>
          <w:szCs w:val="24"/>
          <w:lang w:val="en-US"/>
        </w:rPr>
        <w:t xml:space="preserve"> </w:t>
      </w:r>
    </w:p>
    <w:p>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Table 1,</w:t>
      </w:r>
      <w:r>
        <w:rPr>
          <w:rFonts w:ascii="Times New Roman" w:hAnsi="Times New Roman" w:eastAsia="Calibri" w:cs="Times New Roman"/>
          <w:b/>
          <w:bCs/>
          <w:sz w:val="24"/>
          <w:szCs w:val="24"/>
          <w:lang w:val="en-US" w:bidi="ar-SA"/>
        </w:rPr>
        <w:t xml:space="preserve"> </w:t>
      </w:r>
      <w:r>
        <w:rPr>
          <w:rFonts w:ascii="Times New Roman" w:hAnsi="Times New Roman" w:cs="Times New Roman"/>
          <w:b/>
          <w:bCs/>
          <w:sz w:val="24"/>
          <w:szCs w:val="24"/>
          <w:lang w:val="en-US"/>
        </w:rPr>
        <w:t>Additional file 4:</w:t>
      </w:r>
      <w:r>
        <w:rPr>
          <w:rFonts w:ascii="Times New Roman" w:hAnsi="Times New Roman" w:cs="Times New Roman"/>
          <w:sz w:val="24"/>
          <w:szCs w:val="24"/>
          <w:lang w:val="en-US"/>
        </w:rPr>
        <w:t xml:space="preserve"> Selected radiomics associated with response in patients who received </w:t>
      </w:r>
      <w:r>
        <w:rPr>
          <w:rFonts w:ascii="Times New Roman" w:hAnsi="Times New Roman" w:cs="Times New Roman"/>
          <w:bCs/>
          <w:sz w:val="24"/>
          <w:szCs w:val="24"/>
        </w:rPr>
        <w:t>concurrent chemoradiotherapy</w:t>
      </w:r>
    </w:p>
    <w:tbl>
      <w:tblPr>
        <w:tblStyle w:val="10"/>
        <w:tblW w:w="8285"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2"/>
        <w:gridCol w:w="6073"/>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2212" w:type="dxa"/>
            <w:tcBorders>
              <w:top w:val="single" w:color="auto" w:sz="8" w:space="0"/>
              <w:bottom w:val="single" w:color="auto" w:sz="8" w:space="0"/>
              <w:tl2br w:val="nil"/>
              <w:tr2bl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Group</w:t>
            </w:r>
          </w:p>
        </w:tc>
        <w:tc>
          <w:tcPr>
            <w:tcW w:w="6073" w:type="dxa"/>
            <w:tcBorders>
              <w:top w:val="single" w:color="auto" w:sz="8" w:space="0"/>
              <w:bottom w:val="single" w:color="auto" w:sz="8" w:space="0"/>
              <w:tl2br w:val="nil"/>
              <w:tr2bl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Selected radiomics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12" w:type="dxa"/>
            <w:tcBorders>
              <w:top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Training</w:t>
            </w:r>
            <w:r>
              <w:rPr>
                <w:rFonts w:ascii="Times New Roman" w:hAnsi="Times New Roman" w:eastAsia="Calibri" w:cs="Times New Roman"/>
                <w:sz w:val="24"/>
                <w:szCs w:val="24"/>
                <w:lang w:val="en-US"/>
              </w:rPr>
              <w:t xml:space="preserve"> cohort</w:t>
            </w:r>
            <w:r>
              <w:rPr>
                <w:rFonts w:ascii="Times New Roman" w:hAnsi="Times New Roman" w:cs="Times New Roman"/>
                <w:sz w:val="24"/>
                <w:szCs w:val="24"/>
                <w:lang w:val="en-US"/>
              </w:rPr>
              <w:t xml:space="preserve"> </w:t>
            </w:r>
          </w:p>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(Radiomics, n = 3)</w:t>
            </w:r>
          </w:p>
        </w:tc>
        <w:tc>
          <w:tcPr>
            <w:tcW w:w="6073" w:type="dxa"/>
            <w:tcBorders>
              <w:top w:val="single" w:color="auto" w:sz="4" w:space="0"/>
            </w:tcBorders>
            <w:vAlign w:val="center"/>
          </w:tcPr>
          <w:p>
            <w:pPr>
              <w:spacing w:line="360" w:lineRule="auto"/>
              <w:rPr>
                <w:rFonts w:ascii="Times New Roman" w:hAnsi="Times New Roman" w:eastAsia="Calibri" w:cs="Times New Roman"/>
                <w:sz w:val="24"/>
                <w:szCs w:val="24"/>
                <w:shd w:val="clear" w:color="auto" w:fill="FFFFFF"/>
                <w:lang w:val="en-US"/>
              </w:rPr>
            </w:pPr>
            <w:r>
              <w:rPr>
                <w:rFonts w:ascii="Times New Roman" w:hAnsi="Times New Roman" w:cs="Times New Roman"/>
                <w:sz w:val="24"/>
                <w:szCs w:val="24"/>
                <w:shd w:val="clear" w:color="auto" w:fill="FFFFFF"/>
                <w:lang w:val="en-US"/>
              </w:rPr>
              <w:t>gradient_gldm_LargeDependenceHighGrayLevelEmphasis lbp-3D-k_gldm_LargeDependenceLowGrayLevelEmphasis wavelet-LLL_glcm_DifferenceVariance</w:t>
            </w:r>
          </w:p>
        </w:tc>
      </w:tr>
    </w:tbl>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Table 2, Additional file 6:</w:t>
      </w:r>
      <w:r>
        <w:rPr>
          <w:rFonts w:ascii="Times New Roman" w:hAnsi="Times New Roman" w:cs="Times New Roman"/>
          <w:sz w:val="24"/>
          <w:szCs w:val="24"/>
          <w:lang w:val="en-US"/>
        </w:rPr>
        <w:t xml:space="preserve"> Univariate and multivariate analyses for the response in the training cohort</w:t>
      </w:r>
    </w:p>
    <w:tbl>
      <w:tblPr>
        <w:tblStyle w:val="10"/>
        <w:tblW w:w="544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1"/>
        <w:gridCol w:w="2078"/>
        <w:gridCol w:w="1184"/>
        <w:gridCol w:w="2158"/>
        <w:gridCol w:w="137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Merge w:val="restart"/>
            <w:tcBorders>
              <w:top w:val="single" w:color="auto" w:sz="4" w:space="0"/>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Variable </w:t>
            </w:r>
          </w:p>
        </w:tc>
        <w:tc>
          <w:tcPr>
            <w:tcW w:w="1622" w:type="pct"/>
            <w:gridSpan w:val="2"/>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Univariate analysis</w:t>
            </w:r>
          </w:p>
        </w:tc>
        <w:tc>
          <w:tcPr>
            <w:tcW w:w="1756" w:type="pct"/>
            <w:gridSpan w:val="2"/>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Multivariate analysis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Merge w:val="continue"/>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p>
        </w:tc>
        <w:tc>
          <w:tcPr>
            <w:tcW w:w="1033" w:type="pct"/>
            <w:tcBorders>
              <w:top w:val="single" w:color="auto" w:sz="8"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OR (95% CI)</w:t>
            </w:r>
          </w:p>
        </w:tc>
        <w:tc>
          <w:tcPr>
            <w:tcW w:w="588" w:type="pct"/>
            <w:tcBorders>
              <w:top w:val="single" w:color="auto" w:sz="8"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i/>
                <w:sz w:val="24"/>
                <w:szCs w:val="24"/>
                <w:lang w:val="en-US"/>
              </w:rPr>
              <w:t>P-</w:t>
            </w:r>
            <w:r>
              <w:rPr>
                <w:rFonts w:ascii="Times New Roman" w:hAnsi="Times New Roman" w:cs="Times New Roman"/>
                <w:sz w:val="24"/>
                <w:szCs w:val="24"/>
                <w:lang w:val="en-US"/>
              </w:rPr>
              <w:t>value</w:t>
            </w:r>
          </w:p>
        </w:tc>
        <w:tc>
          <w:tcPr>
            <w:tcW w:w="1073" w:type="pct"/>
            <w:tcBorders>
              <w:top w:val="single" w:color="auto" w:sz="8" w:space="0"/>
              <w:bottom w:val="single" w:color="auto" w:sz="8" w:space="0"/>
            </w:tcBorders>
            <w:vAlign w:val="center"/>
          </w:tcPr>
          <w:p>
            <w:pPr>
              <w:spacing w:line="360" w:lineRule="auto"/>
              <w:rPr>
                <w:rFonts w:ascii="Times New Roman" w:hAnsi="Times New Roman" w:cs="Times New Roman"/>
                <w:iCs/>
                <w:sz w:val="24"/>
                <w:szCs w:val="24"/>
                <w:lang w:val="en-US"/>
              </w:rPr>
            </w:pPr>
            <w:r>
              <w:rPr>
                <w:rFonts w:ascii="Times New Roman" w:hAnsi="Times New Roman" w:cs="Times New Roman"/>
                <w:sz w:val="24"/>
                <w:szCs w:val="24"/>
                <w:lang w:val="en-US"/>
              </w:rPr>
              <w:t>OR (95% CI)</w:t>
            </w:r>
          </w:p>
        </w:tc>
        <w:tc>
          <w:tcPr>
            <w:tcW w:w="683" w:type="pct"/>
            <w:tcBorders>
              <w:top w:val="single" w:color="auto" w:sz="8" w:space="0"/>
              <w:bottom w:val="single" w:color="auto" w:sz="8" w:space="0"/>
            </w:tcBorders>
            <w:vAlign w:val="center"/>
          </w:tcPr>
          <w:p>
            <w:pPr>
              <w:spacing w:line="360" w:lineRule="auto"/>
              <w:rPr>
                <w:rFonts w:ascii="Times New Roman" w:hAnsi="Times New Roman" w:cs="Times New Roman"/>
                <w:i/>
                <w:sz w:val="24"/>
                <w:szCs w:val="24"/>
                <w:lang w:val="en-US"/>
              </w:rPr>
            </w:pPr>
            <w:r>
              <w:rPr>
                <w:rFonts w:ascii="Times New Roman" w:hAnsi="Times New Roman" w:cs="Times New Roman"/>
                <w:i/>
                <w:sz w:val="24"/>
                <w:szCs w:val="24"/>
                <w:lang w:val="en-US"/>
              </w:rPr>
              <w:t>P-</w:t>
            </w:r>
            <w:r>
              <w:rPr>
                <w:rFonts w:ascii="Times New Roman" w:hAnsi="Times New Roman" w:cs="Times New Roman"/>
                <w:sz w:val="24"/>
                <w:szCs w:val="24"/>
                <w:lang w:val="en-US"/>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620"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Sex (female</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male)</w:t>
            </w:r>
          </w:p>
        </w:tc>
        <w:tc>
          <w:tcPr>
            <w:tcW w:w="1033" w:type="pct"/>
            <w:vAlign w:val="center"/>
          </w:tcPr>
          <w:p>
            <w:pPr>
              <w:spacing w:line="360" w:lineRule="auto"/>
              <w:rPr>
                <w:rFonts w:ascii="Times New Roman" w:hAnsi="Times New Roman" w:eastAsia="Times New Roman" w:cs="Times New Roman"/>
                <w:kern w:val="2"/>
                <w:sz w:val="24"/>
                <w:szCs w:val="24"/>
                <w:lang w:val="en-US"/>
              </w:rPr>
            </w:pPr>
            <w:r>
              <w:rPr>
                <w:rFonts w:hint="eastAsia" w:cs="Times New Roman"/>
                <w:sz w:val="24"/>
                <w:szCs w:val="24"/>
                <w:lang w:val="en-US" w:eastAsia="zh-CN"/>
              </w:rPr>
              <w:t>1.05</w:t>
            </w:r>
            <w:r>
              <w:rPr>
                <w:rFonts w:ascii="Times New Roman" w:hAnsi="Times New Roman" w:cs="Times New Roman"/>
                <w:sz w:val="24"/>
                <w:szCs w:val="24"/>
                <w:lang w:val="en-US"/>
              </w:rPr>
              <w:t xml:space="preserve"> (0</w:t>
            </w:r>
            <w:r>
              <w:rPr>
                <w:rFonts w:hint="eastAsia" w:cs="Times New Roman"/>
                <w:sz w:val="24"/>
                <w:szCs w:val="24"/>
                <w:lang w:val="en-US" w:eastAsia="zh-CN"/>
              </w:rPr>
              <w:t>.68</w:t>
            </w:r>
            <w:r>
              <w:rPr>
                <w:rFonts w:ascii="Times New Roman" w:hAnsi="Times New Roman" w:cs="Times New Roman"/>
                <w:sz w:val="24"/>
                <w:szCs w:val="24"/>
                <w:lang w:val="en-US"/>
              </w:rPr>
              <w:t>–1</w:t>
            </w:r>
            <w:r>
              <w:rPr>
                <w:rFonts w:hint="eastAsia" w:cs="Times New Roman"/>
                <w:sz w:val="24"/>
                <w:szCs w:val="24"/>
                <w:lang w:val="en-US" w:eastAsia="zh-CN"/>
              </w:rPr>
              <w:t>.62</w:t>
            </w:r>
            <w:r>
              <w:rPr>
                <w:rFonts w:ascii="Times New Roman" w:hAnsi="Times New Roman" w:cs="Times New Roman"/>
                <w:sz w:val="24"/>
                <w:szCs w:val="24"/>
                <w:lang w:val="en-US"/>
              </w:rPr>
              <w:t>)</w:t>
            </w:r>
          </w:p>
        </w:tc>
        <w:tc>
          <w:tcPr>
            <w:tcW w:w="588" w:type="pct"/>
            <w:vAlign w:val="center"/>
          </w:tcPr>
          <w:p>
            <w:pPr>
              <w:spacing w:line="360" w:lineRule="auto"/>
              <w:rPr>
                <w:rFonts w:hint="default" w:ascii="Times New Roman" w:hAnsi="Times New Roman" w:eastAsia="宋体" w:cs="Times New Roman"/>
                <w:kern w:val="2"/>
                <w:sz w:val="24"/>
                <w:szCs w:val="24"/>
                <w:lang w:val="en-US" w:eastAsia="zh-CN"/>
              </w:rPr>
            </w:pPr>
            <w:r>
              <w:rPr>
                <w:rFonts w:ascii="Times New Roman" w:hAnsi="Times New Roman" w:cs="Times New Roman"/>
                <w:sz w:val="24"/>
                <w:szCs w:val="24"/>
                <w:lang w:val="en-US"/>
              </w:rPr>
              <w:t>0</w:t>
            </w:r>
            <w:r>
              <w:rPr>
                <w:rFonts w:hint="eastAsia" w:cs="Times New Roman"/>
                <w:sz w:val="24"/>
                <w:szCs w:val="24"/>
                <w:lang w:val="en-US" w:eastAsia="zh-CN"/>
              </w:rPr>
              <w:t>.809</w:t>
            </w:r>
            <w:bookmarkStart w:id="1" w:name="_GoBack"/>
            <w:bookmarkEnd w:id="1"/>
          </w:p>
        </w:tc>
        <w:tc>
          <w:tcPr>
            <w:tcW w:w="1073"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 xml:space="preserve">Age (years) (≤ </w:t>
            </w:r>
            <w:r>
              <w:rPr>
                <w:rFonts w:ascii="Times New Roman" w:hAnsi="Times New Roman" w:cs="Times New Roman"/>
                <w:sz w:val="24"/>
                <w:szCs w:val="24"/>
                <w:shd w:val="clear" w:color="auto" w:fill="FFFFFF"/>
                <w:lang w:val="en-US"/>
              </w:rPr>
              <w:t>60</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&gt; 60)</w:t>
            </w:r>
          </w:p>
        </w:tc>
        <w:tc>
          <w:tcPr>
            <w:tcW w:w="1033"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0·56 (0·28–1·10)</w:t>
            </w:r>
          </w:p>
        </w:tc>
        <w:tc>
          <w:tcPr>
            <w:tcW w:w="588"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0·096</w:t>
            </w:r>
          </w:p>
        </w:tc>
        <w:tc>
          <w:tcPr>
            <w:tcW w:w="107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Smoking status (smoker</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non-smoker)</w:t>
            </w:r>
          </w:p>
        </w:tc>
        <w:tc>
          <w:tcPr>
            <w:tcW w:w="103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0·84 (0·42–1·66)</w:t>
            </w:r>
          </w:p>
        </w:tc>
        <w:tc>
          <w:tcPr>
            <w:tcW w:w="588"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0·630</w:t>
            </w:r>
          </w:p>
        </w:tc>
        <w:tc>
          <w:tcPr>
            <w:tcW w:w="107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jc w:val="center"/>
        </w:trPr>
        <w:tc>
          <w:tcPr>
            <w:tcW w:w="1620"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Histology (squamous carcinoma</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non-</w:t>
            </w:r>
            <w:r>
              <w:rPr>
                <w:rFonts w:ascii="Times New Roman" w:hAnsi="Times New Roman" w:eastAsia="微软雅黑" w:cs="Times New Roman"/>
                <w:kern w:val="2"/>
                <w:sz w:val="24"/>
                <w:szCs w:val="24"/>
                <w:lang w:val="en-US"/>
              </w:rPr>
              <w:t>squamous carcinoma</w:t>
            </w:r>
            <w:r>
              <w:rPr>
                <w:rFonts w:ascii="Times New Roman" w:hAnsi="Times New Roman" w:cs="Times New Roman"/>
                <w:sz w:val="24"/>
                <w:szCs w:val="24"/>
                <w:lang w:val="en-US"/>
              </w:rPr>
              <w:t>)</w:t>
            </w:r>
          </w:p>
        </w:tc>
        <w:tc>
          <w:tcPr>
            <w:tcW w:w="103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0·97 (0·54–1·79)</w:t>
            </w:r>
          </w:p>
        </w:tc>
        <w:tc>
          <w:tcPr>
            <w:tcW w:w="588"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0·943</w:t>
            </w:r>
          </w:p>
        </w:tc>
        <w:tc>
          <w:tcPr>
            <w:tcW w:w="107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CEA (ng/mL) (</w:t>
            </w:r>
            <w:r>
              <w:rPr>
                <w:rFonts w:ascii="Times New Roman" w:hAnsi="Times New Roman" w:cs="Times New Roman"/>
                <w:sz w:val="24"/>
                <w:szCs w:val="24"/>
                <w:shd w:val="clear" w:color="auto" w:fill="FFFFFF"/>
                <w:lang w:val="en-US"/>
              </w:rPr>
              <w:t>≤</w:t>
            </w:r>
            <w:r>
              <w:rPr>
                <w:rFonts w:ascii="Times New Roman" w:hAnsi="Times New Roman" w:cs="Times New Roman"/>
                <w:sz w:val="24"/>
                <w:szCs w:val="24"/>
                <w:lang w:val="en-US"/>
              </w:rPr>
              <w:t xml:space="preserve"> 20 vs. &gt; 20)</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0·99 (0·99–1·00)</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0·507</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 stage (T3–4 vs. T1–2)</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4·80 (2·36–10·00)</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&lt; 0·001</w:t>
            </w:r>
            <w:r>
              <w:rPr>
                <w:rFonts w:ascii="Times New Roman" w:hAnsi="Times New Roman" w:eastAsia="AdvOTdaafad64" w:cs="Times New Roman"/>
                <w:sz w:val="24"/>
                <w:szCs w:val="24"/>
                <w:lang w:val="en-US"/>
              </w:rPr>
              <w:t>*</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6·70 (2·49–20·28)</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&lt; 0·001</w:t>
            </w:r>
            <w:r>
              <w:rPr>
                <w:rFonts w:ascii="Times New Roman" w:hAnsi="Times New Roman" w:eastAsia="AdvOTdaafad64"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 stage (N0–1 vs. N2–3)</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0·72 (0·29–1·67)</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0·457</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 stage (M0 vs</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M1)</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1·03 (0·47–2·34)</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0·926</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DLS (high vs. low)</w:t>
            </w:r>
          </w:p>
        </w:tc>
        <w:tc>
          <w:tcPr>
            <w:tcW w:w="103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0·01 (0·00–0·01)</w:t>
            </w:r>
          </w:p>
        </w:tc>
        <w:tc>
          <w:tcPr>
            <w:tcW w:w="588"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&lt; 0·001*</w:t>
            </w:r>
          </w:p>
        </w:tc>
        <w:tc>
          <w:tcPr>
            <w:tcW w:w="107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0·01 (00·00–0·01)</w:t>
            </w:r>
          </w:p>
        </w:tc>
        <w:tc>
          <w:tcPr>
            <w:tcW w:w="68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&lt; 0·001</w:t>
            </w:r>
            <w:r>
              <w:rPr>
                <w:rFonts w:ascii="Times New Roman" w:hAnsi="Times New Roman" w:eastAsia="AdvOTdaafad64" w:cs="Times New Roman"/>
                <w:sz w:val="24"/>
                <w:szCs w:val="24"/>
                <w:lang w:val="en-US"/>
              </w:rPr>
              <w:t>*</w:t>
            </w:r>
          </w:p>
        </w:tc>
      </w:tr>
    </w:tbl>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CEA, carcinoembryonic antigen; DLS, deep learning score; N, lymph node; M, metastasis; T, tumor; OR, odds ratio; CI, confidence interval</w:t>
      </w:r>
    </w:p>
    <w:p>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Table 3, Additional file 8:</w:t>
      </w:r>
      <w:r>
        <w:rPr>
          <w:rFonts w:ascii="Times New Roman" w:hAnsi="Times New Roman" w:cs="Times New Roman"/>
          <w:sz w:val="24"/>
          <w:szCs w:val="24"/>
          <w:lang w:val="en-US"/>
        </w:rPr>
        <w:t xml:space="preserve"> Univariate and multivariate analyses for the overall survival in the training cohort</w:t>
      </w:r>
    </w:p>
    <w:tbl>
      <w:tblPr>
        <w:tblStyle w:val="10"/>
        <w:tblW w:w="544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1"/>
        <w:gridCol w:w="2078"/>
        <w:gridCol w:w="1184"/>
        <w:gridCol w:w="2158"/>
        <w:gridCol w:w="137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12" w:hRule="atLeast"/>
          <w:jc w:val="center"/>
        </w:trPr>
        <w:tc>
          <w:tcPr>
            <w:tcW w:w="1620" w:type="pct"/>
            <w:vMerge w:val="restart"/>
            <w:tcBorders>
              <w:top w:val="single" w:color="auto" w:sz="4" w:space="0"/>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Variable </w:t>
            </w:r>
          </w:p>
        </w:tc>
        <w:tc>
          <w:tcPr>
            <w:tcW w:w="1622" w:type="pct"/>
            <w:gridSpan w:val="2"/>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Univariate analysis</w:t>
            </w:r>
          </w:p>
        </w:tc>
        <w:tc>
          <w:tcPr>
            <w:tcW w:w="1756" w:type="pct"/>
            <w:gridSpan w:val="2"/>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Multivariate analysis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Merge w:val="continue"/>
            <w:tcBorders>
              <w:top w:val="single" w:color="auto" w:sz="4" w:space="0"/>
              <w:bottom w:val="single" w:color="auto" w:sz="8" w:space="0"/>
            </w:tcBorders>
            <w:vAlign w:val="center"/>
          </w:tcPr>
          <w:p>
            <w:pPr>
              <w:spacing w:line="360" w:lineRule="auto"/>
              <w:rPr>
                <w:rFonts w:ascii="Times New Roman" w:hAnsi="Times New Roman" w:cs="Times New Roman"/>
                <w:sz w:val="24"/>
                <w:szCs w:val="24"/>
                <w:lang w:val="en-US"/>
              </w:rPr>
            </w:pPr>
          </w:p>
        </w:tc>
        <w:tc>
          <w:tcPr>
            <w:tcW w:w="1033" w:type="pct"/>
            <w:tcBorders>
              <w:top w:val="single" w:color="auto" w:sz="8"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HR (95% CI)</w:t>
            </w:r>
          </w:p>
        </w:tc>
        <w:tc>
          <w:tcPr>
            <w:tcW w:w="588" w:type="pct"/>
            <w:tcBorders>
              <w:top w:val="single" w:color="auto" w:sz="8" w:space="0"/>
              <w:bottom w:val="single" w:color="auto" w:sz="8"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i/>
                <w:sz w:val="24"/>
                <w:szCs w:val="24"/>
                <w:lang w:val="en-US"/>
              </w:rPr>
              <w:t>P-</w:t>
            </w:r>
            <w:r>
              <w:rPr>
                <w:rFonts w:ascii="Times New Roman" w:hAnsi="Times New Roman" w:cs="Times New Roman"/>
                <w:sz w:val="24"/>
                <w:szCs w:val="24"/>
                <w:lang w:val="en-US"/>
              </w:rPr>
              <w:t>value</w:t>
            </w:r>
          </w:p>
        </w:tc>
        <w:tc>
          <w:tcPr>
            <w:tcW w:w="1073" w:type="pct"/>
            <w:tcBorders>
              <w:top w:val="single" w:color="auto" w:sz="8" w:space="0"/>
              <w:bottom w:val="single" w:color="auto" w:sz="8" w:space="0"/>
            </w:tcBorders>
            <w:vAlign w:val="center"/>
          </w:tcPr>
          <w:p>
            <w:pPr>
              <w:spacing w:line="360" w:lineRule="auto"/>
              <w:rPr>
                <w:rFonts w:ascii="Times New Roman" w:hAnsi="Times New Roman" w:cs="Times New Roman"/>
                <w:iCs/>
                <w:sz w:val="24"/>
                <w:szCs w:val="24"/>
                <w:lang w:val="en-US"/>
              </w:rPr>
            </w:pPr>
            <w:r>
              <w:rPr>
                <w:rFonts w:ascii="Times New Roman" w:hAnsi="Times New Roman" w:cs="Times New Roman"/>
                <w:sz w:val="24"/>
                <w:szCs w:val="24"/>
                <w:lang w:val="en-US"/>
              </w:rPr>
              <w:t>HR (95% CI)</w:t>
            </w:r>
          </w:p>
        </w:tc>
        <w:tc>
          <w:tcPr>
            <w:tcW w:w="683" w:type="pct"/>
            <w:tcBorders>
              <w:top w:val="single" w:color="auto" w:sz="8" w:space="0"/>
              <w:bottom w:val="single" w:color="auto" w:sz="8" w:space="0"/>
            </w:tcBorders>
            <w:vAlign w:val="center"/>
          </w:tcPr>
          <w:p>
            <w:pPr>
              <w:spacing w:line="360" w:lineRule="auto"/>
              <w:rPr>
                <w:rFonts w:ascii="Times New Roman" w:hAnsi="Times New Roman" w:cs="Times New Roman"/>
                <w:i/>
                <w:sz w:val="24"/>
                <w:szCs w:val="24"/>
                <w:lang w:val="en-US"/>
              </w:rPr>
            </w:pPr>
            <w:r>
              <w:rPr>
                <w:rFonts w:ascii="Times New Roman" w:hAnsi="Times New Roman" w:cs="Times New Roman"/>
                <w:i/>
                <w:sz w:val="24"/>
                <w:szCs w:val="24"/>
                <w:lang w:val="en-US"/>
              </w:rPr>
              <w:t>P-</w:t>
            </w:r>
            <w:r>
              <w:rPr>
                <w:rFonts w:ascii="Times New Roman" w:hAnsi="Times New Roman" w:cs="Times New Roman"/>
                <w:sz w:val="24"/>
                <w:szCs w:val="24"/>
                <w:lang w:val="en-US"/>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620"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Sex (female</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male)</w:t>
            </w:r>
          </w:p>
        </w:tc>
        <w:tc>
          <w:tcPr>
            <w:tcW w:w="1033" w:type="pct"/>
            <w:vAlign w:val="center"/>
          </w:tcPr>
          <w:p>
            <w:pPr>
              <w:spacing w:line="360" w:lineRule="auto"/>
              <w:rPr>
                <w:rFonts w:ascii="Times New Roman" w:hAnsi="Times New Roman" w:eastAsia="Times New Roman" w:cs="Times New Roman"/>
                <w:kern w:val="2"/>
                <w:sz w:val="24"/>
                <w:szCs w:val="24"/>
                <w:lang w:val="en-US"/>
              </w:rPr>
            </w:pPr>
            <w:r>
              <w:rPr>
                <w:rFonts w:ascii="Times New Roman" w:hAnsi="Times New Roman" w:cs="Times New Roman"/>
                <w:sz w:val="24"/>
                <w:szCs w:val="24"/>
                <w:lang w:val="en-US"/>
              </w:rPr>
              <w:t>0·56 (0·32–0·98)</w:t>
            </w:r>
          </w:p>
        </w:tc>
        <w:tc>
          <w:tcPr>
            <w:tcW w:w="588"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0·086</w:t>
            </w:r>
          </w:p>
        </w:tc>
        <w:tc>
          <w:tcPr>
            <w:tcW w:w="1073"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Age (years) (</w:t>
            </w:r>
            <w:r>
              <w:rPr>
                <w:rFonts w:ascii="Times New Roman" w:hAnsi="Times New Roman" w:cs="Times New Roman"/>
                <w:sz w:val="24"/>
                <w:szCs w:val="24"/>
                <w:shd w:val="clear" w:color="auto" w:fill="FFFFFF"/>
                <w:lang w:val="en-US"/>
              </w:rPr>
              <w:t>≤ 60</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&gt; 60)</w:t>
            </w:r>
          </w:p>
        </w:tc>
        <w:tc>
          <w:tcPr>
            <w:tcW w:w="1033" w:type="pct"/>
            <w:vAlign w:val="center"/>
          </w:tcPr>
          <w:p>
            <w:pPr>
              <w:spacing w:line="360" w:lineRule="auto"/>
              <w:rPr>
                <w:rFonts w:ascii="Times New Roman" w:hAnsi="Times New Roman" w:cs="Times New Roman" w:eastAsiaTheme="minorEastAsia"/>
                <w:kern w:val="2"/>
                <w:sz w:val="24"/>
                <w:szCs w:val="24"/>
                <w:lang w:val="en-US"/>
              </w:rPr>
            </w:pPr>
            <w:r>
              <w:rPr>
                <w:rFonts w:ascii="Times New Roman" w:hAnsi="Times New Roman" w:cs="Times New Roman"/>
                <w:sz w:val="24"/>
                <w:szCs w:val="24"/>
                <w:lang w:val="en-US"/>
              </w:rPr>
              <w:t>1·31 (0·85–2·03)</w:t>
            </w:r>
          </w:p>
        </w:tc>
        <w:tc>
          <w:tcPr>
            <w:tcW w:w="588"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0·208</w:t>
            </w:r>
          </w:p>
        </w:tc>
        <w:tc>
          <w:tcPr>
            <w:tcW w:w="107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kern w:val="2"/>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Smoking status (smoker</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non-smoker)</w:t>
            </w:r>
          </w:p>
        </w:tc>
        <w:tc>
          <w:tcPr>
            <w:tcW w:w="103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0·75 (0·48–1·18)</w:t>
            </w:r>
          </w:p>
        </w:tc>
        <w:tc>
          <w:tcPr>
            <w:tcW w:w="588"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0·231</w:t>
            </w:r>
          </w:p>
        </w:tc>
        <w:tc>
          <w:tcPr>
            <w:tcW w:w="107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jc w:val="center"/>
        </w:trPr>
        <w:tc>
          <w:tcPr>
            <w:tcW w:w="1620"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Histology (squamous carcinoma</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vs.</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non-</w:t>
            </w:r>
            <w:r>
              <w:rPr>
                <w:rFonts w:ascii="Times New Roman" w:hAnsi="Times New Roman" w:eastAsia="微软雅黑" w:cs="Times New Roman"/>
                <w:kern w:val="2"/>
                <w:sz w:val="24"/>
                <w:szCs w:val="24"/>
                <w:lang w:val="en-US"/>
              </w:rPr>
              <w:t>squamous carcinoma</w:t>
            </w:r>
            <w:r>
              <w:rPr>
                <w:rFonts w:ascii="Times New Roman" w:hAnsi="Times New Roman" w:cs="Times New Roman"/>
                <w:sz w:val="24"/>
                <w:szCs w:val="24"/>
                <w:lang w:val="en-US"/>
              </w:rPr>
              <w:t>)</w:t>
            </w:r>
          </w:p>
        </w:tc>
        <w:tc>
          <w:tcPr>
            <w:tcW w:w="103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1·22 (0·78–1·90)</w:t>
            </w:r>
          </w:p>
        </w:tc>
        <w:tc>
          <w:tcPr>
            <w:tcW w:w="588"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0·370</w:t>
            </w:r>
          </w:p>
        </w:tc>
        <w:tc>
          <w:tcPr>
            <w:tcW w:w="107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CEA (ng/mL) (</w:t>
            </w:r>
            <w:r>
              <w:rPr>
                <w:rFonts w:ascii="Times New Roman" w:hAnsi="Times New Roman" w:cs="Times New Roman"/>
                <w:sz w:val="24"/>
                <w:szCs w:val="24"/>
                <w:shd w:val="clear" w:color="auto" w:fill="FFFFFF"/>
                <w:lang w:val="en-US"/>
              </w:rPr>
              <w:t>≤</w:t>
            </w:r>
            <w:r>
              <w:rPr>
                <w:rFonts w:ascii="Times New Roman" w:hAnsi="Times New Roman" w:cs="Times New Roman"/>
                <w:sz w:val="24"/>
                <w:szCs w:val="24"/>
                <w:lang w:val="en-US"/>
              </w:rPr>
              <w:t xml:space="preserve"> 20 vs. &gt; 20)</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1.·05 (0·57–1·92)</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0·850</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 stage (T3–4 vs. T1–2)</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1.·04 (0·65–1·66)</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0·848</w:t>
            </w:r>
          </w:p>
        </w:tc>
        <w:tc>
          <w:tcPr>
            <w:tcW w:w="1991" w:type="dxa"/>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67" w:type="dxa"/>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 stage (N2–3 vs. N0–1)</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2.·95 (2·08–8·08)</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0·034*</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3·06 (1·10–8·50)</w:t>
            </w:r>
          </w:p>
        </w:tc>
        <w:tc>
          <w:tcPr>
            <w:tcW w:w="683" w:type="pct"/>
            <w:tcBorders>
              <w:bottom w:val="nil"/>
            </w:tcBorders>
            <w:vAlign w:val="center"/>
          </w:tcPr>
          <w:p>
            <w:pPr>
              <w:spacing w:line="360" w:lineRule="auto"/>
              <w:rPr>
                <w:rFonts w:ascii="Times New Roman" w:hAnsi="Times New Roman" w:cs="Times New Roman"/>
                <w:b/>
                <w:bCs/>
                <w:sz w:val="24"/>
                <w:szCs w:val="24"/>
                <w:lang w:val="en-US"/>
              </w:rPr>
            </w:pPr>
            <w:r>
              <w:rPr>
                <w:rFonts w:ascii="Times New Roman" w:hAnsi="Times New Roman" w:cs="Times New Roman"/>
                <w:sz w:val="24"/>
                <w:szCs w:val="24"/>
                <w:lang w:val="en-US"/>
              </w:rPr>
              <w:t>0·031</w:t>
            </w:r>
            <w:r>
              <w:rPr>
                <w:rFonts w:ascii="Times New Roman" w:hAnsi="Times New Roman" w:eastAsia="AdvOTdaafad64"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M stage (M1 vs. M0)</w:t>
            </w:r>
          </w:p>
        </w:tc>
        <w:tc>
          <w:tcPr>
            <w:tcW w:w="103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1.·81 (1·13–2·89)</w:t>
            </w:r>
          </w:p>
        </w:tc>
        <w:tc>
          <w:tcPr>
            <w:tcW w:w="588"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0·013*</w:t>
            </w:r>
          </w:p>
        </w:tc>
        <w:tc>
          <w:tcPr>
            <w:tcW w:w="107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1·96 (1·22–3·16)</w:t>
            </w:r>
          </w:p>
        </w:tc>
        <w:tc>
          <w:tcPr>
            <w:tcW w:w="683" w:type="pct"/>
            <w:tcBorders>
              <w:bottom w:val="nil"/>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0·005</w:t>
            </w:r>
            <w:r>
              <w:rPr>
                <w:rFonts w:ascii="Times New Roman" w:hAnsi="Times New Roman" w:eastAsia="AdvOTdaafad64" w:cs="Times New Roman"/>
                <w:sz w:val="24"/>
                <w:szCs w:val="24"/>
                <w:lang w:val="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20"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DLS (high vs. low)</w:t>
            </w:r>
          </w:p>
        </w:tc>
        <w:tc>
          <w:tcPr>
            <w:tcW w:w="103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0.·44 (0·28–0·68)</w:t>
            </w:r>
          </w:p>
        </w:tc>
        <w:tc>
          <w:tcPr>
            <w:tcW w:w="588"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&lt; 0·001</w:t>
            </w:r>
            <w:bookmarkStart w:id="0" w:name="OLE_LINK1"/>
            <w:r>
              <w:rPr>
                <w:rFonts w:ascii="Times New Roman" w:hAnsi="Times New Roman" w:cs="Times New Roman"/>
                <w:sz w:val="24"/>
                <w:szCs w:val="24"/>
                <w:lang w:val="en-US"/>
              </w:rPr>
              <w:t>*</w:t>
            </w:r>
            <w:bookmarkEnd w:id="0"/>
          </w:p>
        </w:tc>
        <w:tc>
          <w:tcPr>
            <w:tcW w:w="107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0·49 (0·30–0·78)</w:t>
            </w:r>
          </w:p>
        </w:tc>
        <w:tc>
          <w:tcPr>
            <w:tcW w:w="683" w:type="pct"/>
            <w:tcBorders>
              <w:bottom w:val="single" w:color="auto" w:sz="4" w:space="0"/>
            </w:tcBorders>
            <w:vAlign w:val="center"/>
          </w:tcPr>
          <w:p>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0·003</w:t>
            </w:r>
            <w:r>
              <w:rPr>
                <w:rFonts w:ascii="Times New Roman" w:hAnsi="Times New Roman" w:eastAsia="AdvOTdaafad64" w:cs="Times New Roman"/>
                <w:sz w:val="24"/>
                <w:szCs w:val="24"/>
                <w:lang w:val="en-US"/>
              </w:rPr>
              <w:t>*</w:t>
            </w:r>
          </w:p>
        </w:tc>
      </w:tr>
    </w:tbl>
    <w:p>
      <w:pPr>
        <w:spacing w:line="360" w:lineRule="auto"/>
        <w:rPr>
          <w:sz w:val="24"/>
          <w:szCs w:val="24"/>
          <w:lang w:val="en-US"/>
        </w:rPr>
        <w:sectPr>
          <w:pgSz w:w="11906" w:h="16838"/>
          <w:pgMar w:top="1440" w:right="1440" w:bottom="1440" w:left="1440" w:header="851" w:footer="992" w:gutter="0"/>
          <w:cols w:space="425" w:num="1"/>
          <w:docGrid w:type="lines" w:linePitch="312" w:charSpace="0"/>
        </w:sectPr>
      </w:pPr>
      <w:r>
        <w:rPr>
          <w:rFonts w:ascii="Times New Roman" w:hAnsi="Times New Roman" w:cs="Times New Roman"/>
          <w:sz w:val="24"/>
          <w:szCs w:val="24"/>
          <w:lang w:val="en-US"/>
        </w:rPr>
        <w:t>CEA, carcinoembryonic antigen; DLS, deep learning score; N, lymph node; M, metastasis; T, tumor; HR, hazard ratio; CI, confidence interval</w:t>
      </w:r>
    </w:p>
    <w:p>
      <w:pPr>
        <w:pStyle w:val="2"/>
        <w:numPr>
          <w:ilvl w:val="0"/>
          <w:numId w:val="0"/>
        </w:numPr>
        <w:spacing w:line="36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en-US"/>
        </w:rPr>
        <w:tab/>
      </w:r>
      <w:r>
        <w:rPr>
          <w:rFonts w:ascii="Times New Roman" w:hAnsi="Times New Roman" w:cs="Times New Roman"/>
          <w:sz w:val="24"/>
          <w:szCs w:val="24"/>
          <w:lang w:val="en-US"/>
        </w:rPr>
        <w:t>Supplementary Figures</w:t>
      </w:r>
    </w:p>
    <w:p>
      <w:pPr>
        <w:rPr>
          <w:sz w:val="24"/>
          <w:szCs w:val="24"/>
          <w:lang w:val="en-US" w:bidi="ar-SA"/>
        </w:rPr>
      </w:pPr>
    </w:p>
    <w:p>
      <w:pPr>
        <w:spacing w:line="360" w:lineRule="auto"/>
        <w:jc w:val="center"/>
        <w:rPr>
          <w:rFonts w:ascii="Times New Roman" w:hAnsi="Times New Roman" w:cs="Times New Roman"/>
          <w:b/>
          <w:bCs/>
          <w:sz w:val="24"/>
          <w:szCs w:val="24"/>
          <w:lang w:val="en-US"/>
        </w:rPr>
      </w:pPr>
      <w:r>
        <w:rPr>
          <w:rFonts w:ascii="Times New Roman" w:hAnsi="Times New Roman" w:cs="Times New Roman"/>
          <w:sz w:val="24"/>
          <w:szCs w:val="24"/>
          <w:lang w:eastAsia="en-GB" w:bidi="ar-SA"/>
        </w:rPr>
        <w:drawing>
          <wp:inline distT="0" distB="0" distL="114300" distR="114300">
            <wp:extent cx="5267325" cy="2962910"/>
            <wp:effectExtent l="0" t="0" r="9525" b="8890"/>
            <wp:docPr id="1" name="图片 1" descr="2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_00"/>
                    <pic:cNvPicPr>
                      <a:picLocks noChangeAspect="1"/>
                    </pic:cNvPicPr>
                  </pic:nvPicPr>
                  <pic:blipFill>
                    <a:blip r:embed="rId15"/>
                    <a:stretch>
                      <a:fillRect/>
                    </a:stretch>
                  </pic:blipFill>
                  <pic:spPr>
                    <a:xfrm>
                      <a:off x="0" y="0"/>
                      <a:ext cx="5267325" cy="2962910"/>
                    </a:xfrm>
                    <a:prstGeom prst="rect">
                      <a:avLst/>
                    </a:prstGeom>
                  </pic:spPr>
                </pic:pic>
              </a:graphicData>
            </a:graphic>
          </wp:inline>
        </w:drawing>
      </w:r>
    </w:p>
    <w:p>
      <w:pPr>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Supplementary Figure 1, </w:t>
      </w:r>
      <w:r>
        <w:rPr>
          <w:rFonts w:ascii="Times New Roman" w:hAnsi="Times New Roman" w:eastAsia="宋体" w:cs="Times New Roman"/>
          <w:b/>
          <w:bCs/>
          <w:sz w:val="24"/>
          <w:szCs w:val="24"/>
          <w:lang w:val="en-US"/>
        </w:rPr>
        <w:t>Additional file</w:t>
      </w:r>
      <w:r>
        <w:rPr>
          <w:rFonts w:hint="eastAsia" w:cs="Times New Roman"/>
          <w:b/>
          <w:bCs/>
          <w:sz w:val="24"/>
          <w:szCs w:val="24"/>
          <w:lang w:val="en-US" w:eastAsia="zh-CN"/>
        </w:rPr>
        <w:t xml:space="preserve"> </w:t>
      </w:r>
      <w:r>
        <w:rPr>
          <w:rFonts w:ascii="Times New Roman" w:hAnsi="Times New Roman" w:eastAsia="宋体" w:cs="Times New Roman"/>
          <w:b/>
          <w:bCs/>
          <w:sz w:val="24"/>
          <w:szCs w:val="24"/>
          <w:lang w:val="en-US"/>
        </w:rPr>
        <w:t>1:</w:t>
      </w:r>
      <w:r>
        <w:rPr>
          <w:rFonts w:ascii="Times New Roman" w:hAnsi="Times New Roman" w:eastAsia="宋体" w:cs="Times New Roman"/>
          <w:b/>
          <w:bCs/>
          <w:sz w:val="24"/>
          <w:szCs w:val="24"/>
        </w:rPr>
        <w:t xml:space="preserve"> </w:t>
      </w:r>
      <w:r>
        <w:rPr>
          <w:rFonts w:ascii="Times New Roman" w:hAnsi="Times New Roman" w:eastAsia="宋体" w:cs="Times New Roman"/>
          <w:sz w:val="24"/>
          <w:szCs w:val="24"/>
        </w:rPr>
        <w:t>Flowchart of the recruited patients</w:t>
      </w:r>
    </w:p>
    <w:p>
      <w:pPr>
        <w:spacing w:line="360" w:lineRule="auto"/>
        <w:rPr>
          <w:rFonts w:ascii="Times New Roman" w:hAnsi="Times New Roman" w:cs="Times New Roman"/>
          <w:b/>
          <w:bCs/>
          <w:sz w:val="24"/>
          <w:szCs w:val="24"/>
          <w:lang w:val="en-US"/>
        </w:rPr>
        <w:sectPr>
          <w:pgSz w:w="11906" w:h="16838"/>
          <w:pgMar w:top="1440" w:right="1440" w:bottom="1440" w:left="1440" w:header="851" w:footer="992" w:gutter="0"/>
          <w:cols w:space="425" w:num="1"/>
          <w:docGrid w:type="lines" w:linePitch="312" w:charSpace="0"/>
        </w:sectPr>
      </w:pPr>
    </w:p>
    <w:p>
      <w:pPr>
        <w:spacing w:line="360" w:lineRule="auto"/>
        <w:jc w:val="center"/>
        <w:rPr>
          <w:rFonts w:ascii="Times New Roman" w:hAnsi="Times New Roman" w:cs="Times New Roman"/>
          <w:sz w:val="24"/>
          <w:szCs w:val="24"/>
          <w:lang w:eastAsia="en-GB" w:bidi="ar-SA"/>
        </w:rPr>
      </w:pPr>
      <w:r>
        <w:rPr>
          <w:rFonts w:ascii="Times New Roman" w:hAnsi="Times New Roman" w:cs="Times New Roman"/>
          <w:sz w:val="24"/>
          <w:szCs w:val="24"/>
          <w:lang w:eastAsia="en-GB" w:bidi="ar-SA"/>
        </w:rPr>
        <w:drawing>
          <wp:inline distT="0" distB="0" distL="114300" distR="114300">
            <wp:extent cx="3207385" cy="3207385"/>
            <wp:effectExtent l="0" t="0" r="12065" b="12065"/>
            <wp:docPr id="3" name="图片 3" descr="LASSO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ASSO_00"/>
                    <pic:cNvPicPr>
                      <a:picLocks noChangeAspect="1"/>
                    </pic:cNvPicPr>
                  </pic:nvPicPr>
                  <pic:blipFill>
                    <a:blip r:embed="rId16"/>
                    <a:stretch>
                      <a:fillRect/>
                    </a:stretch>
                  </pic:blipFill>
                  <pic:spPr>
                    <a:xfrm>
                      <a:off x="0" y="0"/>
                      <a:ext cx="3207385" cy="3207385"/>
                    </a:xfrm>
                    <a:prstGeom prst="rect">
                      <a:avLst/>
                    </a:prstGeom>
                  </pic:spPr>
                </pic:pic>
              </a:graphicData>
            </a:graphic>
          </wp:inline>
        </w:drawing>
      </w:r>
    </w:p>
    <w:p>
      <w:pPr>
        <w:spacing w:line="360" w:lineRule="auto"/>
        <w:rPr>
          <w:rFonts w:ascii="Times New Roman" w:hAnsi="Times New Roman" w:eastAsia="宋体" w:cs="Times New Roman"/>
          <w:sz w:val="24"/>
          <w:szCs w:val="24"/>
          <w:lang w:val="en-US"/>
        </w:rPr>
      </w:pPr>
      <w:r>
        <w:rPr>
          <w:rFonts w:ascii="Times New Roman" w:hAnsi="Times New Roman" w:eastAsia="宋体" w:cs="Times New Roman"/>
          <w:b/>
          <w:bCs/>
          <w:sz w:val="24"/>
          <w:szCs w:val="24"/>
          <w:lang w:val="en-US"/>
        </w:rPr>
        <w:t xml:space="preserve">Supplementary Figure 2, Additional file 3: </w:t>
      </w:r>
      <w:r>
        <w:rPr>
          <w:rFonts w:ascii="Times New Roman" w:hAnsi="Times New Roman" w:eastAsia="宋体" w:cs="Times New Roman"/>
          <w:sz w:val="24"/>
          <w:szCs w:val="24"/>
          <w:lang w:val="en-US"/>
        </w:rPr>
        <w:t>Least absolute shrinkage and selection operator was used to select features and construct the radiomics model</w:t>
      </w:r>
    </w:p>
    <w:p>
      <w:pPr>
        <w:spacing w:line="360" w:lineRule="auto"/>
        <w:jc w:val="center"/>
        <w:rPr>
          <w:rFonts w:ascii="Times New Roman" w:hAnsi="Times New Roman" w:cs="Times New Roman"/>
          <w:sz w:val="24"/>
          <w:szCs w:val="24"/>
          <w:lang w:val="en-US" w:eastAsia="en-GB" w:bidi="ar-SA"/>
        </w:rPr>
      </w:pPr>
    </w:p>
    <w:p>
      <w:pPr>
        <w:spacing w:line="360" w:lineRule="auto"/>
        <w:rPr>
          <w:rFonts w:ascii="Times New Roman" w:hAnsi="Times New Roman" w:cs="Times New Roman"/>
          <w:sz w:val="24"/>
          <w:szCs w:val="24"/>
          <w:lang w:val="en-US"/>
        </w:rPr>
      </w:pPr>
    </w:p>
    <w:p>
      <w:pPr>
        <w:spacing w:line="360" w:lineRule="auto"/>
        <w:jc w:val="center"/>
        <w:rPr>
          <w:rFonts w:hint="default" w:eastAsia="宋体"/>
          <w:lang w:val="en-US" w:eastAsia="zh-CN"/>
        </w:rPr>
      </w:pPr>
      <w:r>
        <w:rPr>
          <w:rFonts w:hint="default" w:eastAsia="宋体"/>
          <w:lang w:val="en-US" w:eastAsia="zh-CN"/>
        </w:rPr>
        <w:drawing>
          <wp:inline distT="0" distB="0" distL="114300" distR="114300">
            <wp:extent cx="5267325" cy="2453005"/>
            <wp:effectExtent l="0" t="0" r="9525" b="4445"/>
            <wp:docPr id="5" name="图片 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
                    <pic:cNvPicPr>
                      <a:picLocks noChangeAspect="1"/>
                    </pic:cNvPicPr>
                  </pic:nvPicPr>
                  <pic:blipFill>
                    <a:blip r:embed="rId17"/>
                    <a:stretch>
                      <a:fillRect/>
                    </a:stretch>
                  </pic:blipFill>
                  <pic:spPr>
                    <a:xfrm>
                      <a:off x="0" y="0"/>
                      <a:ext cx="5267325" cy="2453005"/>
                    </a:xfrm>
                    <a:prstGeom prst="rect">
                      <a:avLst/>
                    </a:prstGeom>
                  </pic:spPr>
                </pic:pic>
              </a:graphicData>
            </a:graphic>
          </wp:inline>
        </w:drawing>
      </w:r>
    </w:p>
    <w:p>
      <w:pPr>
        <w:spacing w:line="360" w:lineRule="auto"/>
        <w:rPr>
          <w:rFonts w:ascii="Times New Roman" w:hAnsi="Times New Roman" w:eastAsia="宋体" w:cs="Times New Roman"/>
          <w:b/>
          <w:bCs/>
          <w:sz w:val="24"/>
          <w:szCs w:val="24"/>
          <w:lang w:val="en-US"/>
        </w:rPr>
      </w:pPr>
      <w:r>
        <w:rPr>
          <w:rFonts w:ascii="Times New Roman" w:hAnsi="Times New Roman" w:eastAsia="宋体" w:cs="Times New Roman"/>
          <w:b/>
          <w:bCs/>
          <w:sz w:val="24"/>
          <w:szCs w:val="24"/>
          <w:lang w:val="en-US"/>
        </w:rPr>
        <w:t xml:space="preserve">Supplementary Figure 3, Additional file 5: </w:t>
      </w:r>
      <w:r>
        <w:rPr>
          <w:rFonts w:ascii="Times New Roman" w:hAnsi="Times New Roman" w:eastAsia="宋体" w:cs="Times New Roman"/>
          <w:sz w:val="24"/>
          <w:szCs w:val="24"/>
          <w:lang w:val="en-US"/>
        </w:rPr>
        <w:t xml:space="preserve">Comparison between the deep learning model and T stage for response prediction of </w:t>
      </w:r>
      <w:r>
        <w:rPr>
          <w:rFonts w:ascii="Times New Roman" w:hAnsi="Times New Roman" w:eastAsia="宋体" w:cs="Times New Roman"/>
          <w:bCs/>
          <w:sz w:val="24"/>
          <w:szCs w:val="24"/>
        </w:rPr>
        <w:t>concurrent chemoradiotherapy</w:t>
      </w:r>
    </w:p>
    <w:p>
      <w:pPr>
        <w:spacing w:line="360" w:lineRule="auto"/>
        <w:jc w:val="center"/>
        <w:rPr>
          <w:rFonts w:hint="default" w:eastAsia="宋体"/>
          <w:lang w:val="en-US" w:eastAsia="zh-CN"/>
        </w:rPr>
      </w:pPr>
    </w:p>
    <w:p>
      <w:pPr>
        <w:spacing w:line="360" w:lineRule="auto"/>
        <w:rPr>
          <w:rFonts w:ascii="Times New Roman" w:hAnsi="Times New Roman" w:cs="Times New Roman"/>
          <w:sz w:val="24"/>
          <w:szCs w:val="24"/>
          <w:lang w:val="en-US"/>
        </w:rPr>
      </w:pPr>
      <w:r>
        <w:rPr>
          <w:rFonts w:hint="eastAsia" w:eastAsia="宋体"/>
          <w:lang w:val="en-US" w:eastAsia="zh-CN"/>
        </w:rPr>
        <w:drawing>
          <wp:inline distT="0" distB="0" distL="114300" distR="114300">
            <wp:extent cx="5271770" cy="2153285"/>
            <wp:effectExtent l="0" t="0" r="5080" b="18415"/>
            <wp:docPr id="2" name="图片 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
                    <pic:cNvPicPr>
                      <a:picLocks noChangeAspect="1"/>
                    </pic:cNvPicPr>
                  </pic:nvPicPr>
                  <pic:blipFill>
                    <a:blip r:embed="rId18"/>
                    <a:stretch>
                      <a:fillRect/>
                    </a:stretch>
                  </pic:blipFill>
                  <pic:spPr>
                    <a:xfrm>
                      <a:off x="0" y="0"/>
                      <a:ext cx="5271770" cy="2153285"/>
                    </a:xfrm>
                    <a:prstGeom prst="rect">
                      <a:avLst/>
                    </a:prstGeom>
                  </pic:spPr>
                </pic:pic>
              </a:graphicData>
            </a:graphic>
          </wp:inline>
        </w:drawing>
      </w:r>
    </w:p>
    <w:p>
      <w:pPr>
        <w:spacing w:line="360" w:lineRule="auto"/>
        <w:rPr>
          <w:rFonts w:ascii="Times New Roman" w:hAnsi="Times New Roman" w:eastAsia="宋体" w:cs="Times New Roman"/>
          <w:sz w:val="24"/>
          <w:szCs w:val="24"/>
          <w:lang w:val="en-US"/>
        </w:rPr>
      </w:pPr>
      <w:r>
        <w:rPr>
          <w:rFonts w:ascii="Times New Roman" w:hAnsi="Times New Roman" w:eastAsia="宋体" w:cs="Times New Roman"/>
          <w:b/>
          <w:bCs/>
          <w:sz w:val="24"/>
          <w:szCs w:val="24"/>
          <w:lang w:val="en-US"/>
        </w:rPr>
        <w:t xml:space="preserve">Supplementary Figure 4, Additional file 7: </w:t>
      </w:r>
      <w:r>
        <w:rPr>
          <w:rFonts w:ascii="Times New Roman" w:hAnsi="Times New Roman" w:eastAsia="宋体" w:cs="Times New Roman"/>
          <w:sz w:val="24"/>
          <w:szCs w:val="24"/>
          <w:lang w:val="en-US"/>
        </w:rPr>
        <w:t>Analysis of PFS and OS in DLS-low patients in both groups (A) Comparison of PFS between the CCRT-alone and combination (CCRT+ICI) groups (B) Comparison of OS between the CCRT-alone and combination (CCRT+ICI) groups</w:t>
      </w:r>
    </w:p>
    <w:p>
      <w:pPr>
        <w:spacing w:line="360" w:lineRule="auto"/>
        <w:rPr>
          <w:rFonts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 xml:space="preserve">ICI, immune checkpoint inhibitor; </w:t>
      </w:r>
      <w:r>
        <w:rPr>
          <w:rFonts w:ascii="Times New Roman" w:hAnsi="Times New Roman" w:eastAsia="宋体" w:cs="Times New Roman"/>
          <w:sz w:val="24"/>
          <w:szCs w:val="24"/>
          <w:lang w:val="en-US"/>
        </w:rPr>
        <w:t>CCRT,</w:t>
      </w:r>
      <w:r>
        <w:rPr>
          <w:rFonts w:ascii="Times New Roman" w:hAnsi="Times New Roman" w:eastAsia="宋体" w:cs="Times New Roman"/>
          <w:bCs/>
          <w:sz w:val="24"/>
          <w:szCs w:val="24"/>
        </w:rPr>
        <w:t xml:space="preserve"> concurrent chemoradiotherapy; PFS, progression-</w:t>
      </w:r>
      <w:r>
        <w:rPr>
          <w:rFonts w:hint="default" w:ascii="Times New Roman" w:hAnsi="Times New Roman" w:eastAsia="宋体" w:cs="Times New Roman"/>
          <w:bCs/>
          <w:sz w:val="24"/>
          <w:szCs w:val="24"/>
          <w:lang w:val="en-US"/>
        </w:rPr>
        <w:t xml:space="preserve"> </w:t>
      </w:r>
      <w:r>
        <w:rPr>
          <w:rFonts w:ascii="Times New Roman" w:hAnsi="Times New Roman" w:eastAsia="宋体" w:cs="Times New Roman"/>
          <w:bCs/>
          <w:sz w:val="24"/>
          <w:szCs w:val="24"/>
        </w:rPr>
        <w:t>free survival; OS, overall survival; DLS, deep learning score; HR, hazard ratio; CI, confidence interval</w:t>
      </w: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b/>
          <w:bCs/>
          <w:sz w:val="24"/>
          <w:szCs w:val="24"/>
          <w:lang w:val="en-US"/>
        </w:rPr>
      </w:pPr>
    </w:p>
    <w:p>
      <w:pPr>
        <w:spacing w:line="360" w:lineRule="auto"/>
        <w:rPr>
          <w:rFonts w:ascii="Times New Roman" w:hAnsi="Times New Roman" w:cs="Times New Roman"/>
          <w:sz w:val="24"/>
          <w:szCs w:val="24"/>
          <w:lang w:val="en-US"/>
        </w:rPr>
      </w:pPr>
    </w:p>
    <w:p>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eastAsia="en-GB" w:bidi="ar-SA"/>
        </w:rPr>
        <w:drawing>
          <wp:inline distT="0" distB="0" distL="114300" distR="114300">
            <wp:extent cx="4444365" cy="5297170"/>
            <wp:effectExtent l="0" t="0" r="13335" b="17780"/>
            <wp:docPr id="4" name="图片 4" descr="热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热图_00"/>
                    <pic:cNvPicPr>
                      <a:picLocks noChangeAspect="1"/>
                    </pic:cNvPicPr>
                  </pic:nvPicPr>
                  <pic:blipFill>
                    <a:blip r:embed="rId19"/>
                    <a:stretch>
                      <a:fillRect/>
                    </a:stretch>
                  </pic:blipFill>
                  <pic:spPr>
                    <a:xfrm>
                      <a:off x="0" y="0"/>
                      <a:ext cx="4444365" cy="5297170"/>
                    </a:xfrm>
                    <a:prstGeom prst="rect">
                      <a:avLst/>
                    </a:prstGeom>
                  </pic:spPr>
                </pic:pic>
              </a:graphicData>
            </a:graphic>
          </wp:inline>
        </w:drawing>
      </w:r>
    </w:p>
    <w:p>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Figure 5, Additional file 9: </w:t>
      </w:r>
      <w:r>
        <w:rPr>
          <w:rFonts w:ascii="Times New Roman" w:hAnsi="Times New Roman" w:cs="Times New Roman"/>
          <w:sz w:val="24"/>
          <w:szCs w:val="24"/>
          <w:lang w:val="en-US"/>
        </w:rPr>
        <w:t>Heatmap presenting the differentially expressed genes in predictive response (sample group 1) vs. predictive no-response (sample group 0) groups</w:t>
      </w:r>
    </w:p>
    <w:p>
      <w:pPr>
        <w:spacing w:line="360" w:lineRule="auto"/>
        <w:rPr>
          <w:rFonts w:ascii="Times New Roman" w:hAnsi="Times New Roman" w:cs="Times New Roman"/>
          <w:sz w:val="24"/>
          <w:szCs w:val="24"/>
          <w:lang w:val="en-US"/>
        </w:rPr>
      </w:pPr>
    </w:p>
    <w:p>
      <w:pPr>
        <w:spacing w:line="360" w:lineRule="auto"/>
        <w:rPr>
          <w:rFonts w:ascii="Times New Roman" w:hAnsi="Times New Roman" w:cs="Times New Roman"/>
          <w:sz w:val="24"/>
          <w:szCs w:val="24"/>
          <w:lang w:val="en-US"/>
        </w:rPr>
      </w:pPr>
    </w:p>
    <w:p>
      <w:pPr>
        <w:spacing w:line="360" w:lineRule="auto"/>
        <w:rPr>
          <w:rFonts w:ascii="Times New Roman" w:hAnsi="Times New Roman" w:cs="Times New Roman"/>
          <w:sz w:val="24"/>
          <w:szCs w:val="24"/>
          <w:lang w:val="en-US"/>
        </w:rPr>
      </w:pP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dvOTdaafad64">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708"/>
        </w:tabs>
        <w:ind w:left="708" w:hanging="567"/>
      </w:pPr>
      <w:rPr>
        <w:rFonts w:hint="default"/>
      </w:rPr>
    </w:lvl>
    <w:lvl w:ilvl="1" w:tentative="0">
      <w:start w:val="1"/>
      <w:numFmt w:val="decimal"/>
      <w:pStyle w:val="3"/>
      <w:lvlText w:val="%1.%2"/>
      <w:lvlJc w:val="left"/>
      <w:pPr>
        <w:tabs>
          <w:tab w:val="left" w:pos="850"/>
        </w:tabs>
        <w:ind w:left="850"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371F6657"/>
    <w:multiLevelType w:val="multilevel"/>
    <w:tmpl w:val="371F6657"/>
    <w:lvl w:ilvl="0" w:tentative="0">
      <w:start w:val="1"/>
      <w:numFmt w:val="decimal"/>
      <w:pStyle w:val="7"/>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I2NTKxMDc2MDIyNzNT0lEKTi0uzszPAykwrAUAsSBklywAAAA="/>
    <w:docVar w:name="commondata" w:val="eyJoZGlkIjoiOTIzYjgxYjU2OTk3OThjYWExY2Y2MTY5ODNkNDc3MjMifQ=="/>
  </w:docVars>
  <w:rsids>
    <w:rsidRoot w:val="00D13DCE"/>
    <w:rsid w:val="000000EC"/>
    <w:rsid w:val="000427FA"/>
    <w:rsid w:val="00045EDC"/>
    <w:rsid w:val="000939B4"/>
    <w:rsid w:val="000967E3"/>
    <w:rsid w:val="00096E6A"/>
    <w:rsid w:val="000B26E1"/>
    <w:rsid w:val="000B32CF"/>
    <w:rsid w:val="000B4E39"/>
    <w:rsid w:val="000D32F8"/>
    <w:rsid w:val="000F1493"/>
    <w:rsid w:val="000F3DFE"/>
    <w:rsid w:val="000F613D"/>
    <w:rsid w:val="000F656C"/>
    <w:rsid w:val="00157F10"/>
    <w:rsid w:val="00161EB3"/>
    <w:rsid w:val="0016343F"/>
    <w:rsid w:val="00172904"/>
    <w:rsid w:val="00175F43"/>
    <w:rsid w:val="001A2806"/>
    <w:rsid w:val="001B0074"/>
    <w:rsid w:val="001C70A0"/>
    <w:rsid w:val="001D0B0F"/>
    <w:rsid w:val="001D6F01"/>
    <w:rsid w:val="00207391"/>
    <w:rsid w:val="0022587D"/>
    <w:rsid w:val="00242ECF"/>
    <w:rsid w:val="00293769"/>
    <w:rsid w:val="002A5003"/>
    <w:rsid w:val="002C4D26"/>
    <w:rsid w:val="002F671E"/>
    <w:rsid w:val="0031767D"/>
    <w:rsid w:val="00323F4A"/>
    <w:rsid w:val="00343B89"/>
    <w:rsid w:val="0036067D"/>
    <w:rsid w:val="00362F84"/>
    <w:rsid w:val="003B5DEC"/>
    <w:rsid w:val="003D1D88"/>
    <w:rsid w:val="003F5D70"/>
    <w:rsid w:val="00411628"/>
    <w:rsid w:val="00461C2A"/>
    <w:rsid w:val="00470C48"/>
    <w:rsid w:val="00474AB5"/>
    <w:rsid w:val="00485936"/>
    <w:rsid w:val="00491F0B"/>
    <w:rsid w:val="004A34D2"/>
    <w:rsid w:val="004B296D"/>
    <w:rsid w:val="004B789C"/>
    <w:rsid w:val="004C60FB"/>
    <w:rsid w:val="004F4267"/>
    <w:rsid w:val="004F732B"/>
    <w:rsid w:val="005179FF"/>
    <w:rsid w:val="00581169"/>
    <w:rsid w:val="0058157A"/>
    <w:rsid w:val="00585CD9"/>
    <w:rsid w:val="00590A7D"/>
    <w:rsid w:val="00593A94"/>
    <w:rsid w:val="005A373C"/>
    <w:rsid w:val="005B2095"/>
    <w:rsid w:val="005C07E4"/>
    <w:rsid w:val="005C6F24"/>
    <w:rsid w:val="005F442E"/>
    <w:rsid w:val="0061154D"/>
    <w:rsid w:val="00620816"/>
    <w:rsid w:val="00624B4E"/>
    <w:rsid w:val="00640EAC"/>
    <w:rsid w:val="00642ADE"/>
    <w:rsid w:val="006464EC"/>
    <w:rsid w:val="00675032"/>
    <w:rsid w:val="00681F75"/>
    <w:rsid w:val="006863D3"/>
    <w:rsid w:val="00690367"/>
    <w:rsid w:val="006A2486"/>
    <w:rsid w:val="006C4738"/>
    <w:rsid w:val="006E4720"/>
    <w:rsid w:val="006F423D"/>
    <w:rsid w:val="00727F5D"/>
    <w:rsid w:val="00731624"/>
    <w:rsid w:val="0074483D"/>
    <w:rsid w:val="00751C39"/>
    <w:rsid w:val="00752AD6"/>
    <w:rsid w:val="00766051"/>
    <w:rsid w:val="007802E4"/>
    <w:rsid w:val="007A230F"/>
    <w:rsid w:val="007D7ADE"/>
    <w:rsid w:val="007F160B"/>
    <w:rsid w:val="007F29E5"/>
    <w:rsid w:val="00817D70"/>
    <w:rsid w:val="00836BD9"/>
    <w:rsid w:val="00847E35"/>
    <w:rsid w:val="008522EC"/>
    <w:rsid w:val="00860478"/>
    <w:rsid w:val="00862D73"/>
    <w:rsid w:val="00866A16"/>
    <w:rsid w:val="00891345"/>
    <w:rsid w:val="008A24B4"/>
    <w:rsid w:val="008A6DB9"/>
    <w:rsid w:val="008C12B4"/>
    <w:rsid w:val="008D6AE1"/>
    <w:rsid w:val="008F3B20"/>
    <w:rsid w:val="008F6FA7"/>
    <w:rsid w:val="0090353C"/>
    <w:rsid w:val="009266A0"/>
    <w:rsid w:val="009474FE"/>
    <w:rsid w:val="00966C87"/>
    <w:rsid w:val="009831C9"/>
    <w:rsid w:val="009920B3"/>
    <w:rsid w:val="009B709E"/>
    <w:rsid w:val="009C60CC"/>
    <w:rsid w:val="009D46CD"/>
    <w:rsid w:val="009D5F18"/>
    <w:rsid w:val="009E5E96"/>
    <w:rsid w:val="009F56C2"/>
    <w:rsid w:val="00A12B8C"/>
    <w:rsid w:val="00A35895"/>
    <w:rsid w:val="00A456C5"/>
    <w:rsid w:val="00A55315"/>
    <w:rsid w:val="00A5741A"/>
    <w:rsid w:val="00A644D7"/>
    <w:rsid w:val="00AB5B63"/>
    <w:rsid w:val="00AE0D0D"/>
    <w:rsid w:val="00B03A93"/>
    <w:rsid w:val="00B07EFB"/>
    <w:rsid w:val="00B5159C"/>
    <w:rsid w:val="00B56C82"/>
    <w:rsid w:val="00B65969"/>
    <w:rsid w:val="00B72113"/>
    <w:rsid w:val="00B73C7F"/>
    <w:rsid w:val="00B75FC7"/>
    <w:rsid w:val="00B76BDF"/>
    <w:rsid w:val="00B962E6"/>
    <w:rsid w:val="00BA4A7D"/>
    <w:rsid w:val="00BD032F"/>
    <w:rsid w:val="00BE0CA3"/>
    <w:rsid w:val="00C107EB"/>
    <w:rsid w:val="00C34058"/>
    <w:rsid w:val="00C37035"/>
    <w:rsid w:val="00C512DA"/>
    <w:rsid w:val="00C879F8"/>
    <w:rsid w:val="00CB6ABE"/>
    <w:rsid w:val="00CC2A3C"/>
    <w:rsid w:val="00CC4E23"/>
    <w:rsid w:val="00CC6FD4"/>
    <w:rsid w:val="00CE1330"/>
    <w:rsid w:val="00CE2D90"/>
    <w:rsid w:val="00CE6707"/>
    <w:rsid w:val="00D04D49"/>
    <w:rsid w:val="00D13DCE"/>
    <w:rsid w:val="00D20B20"/>
    <w:rsid w:val="00D34B12"/>
    <w:rsid w:val="00D44CE3"/>
    <w:rsid w:val="00D47827"/>
    <w:rsid w:val="00D6652D"/>
    <w:rsid w:val="00D67335"/>
    <w:rsid w:val="00D82135"/>
    <w:rsid w:val="00D86524"/>
    <w:rsid w:val="00DB0AD6"/>
    <w:rsid w:val="00DB51B0"/>
    <w:rsid w:val="00DD16B8"/>
    <w:rsid w:val="00DD3568"/>
    <w:rsid w:val="00DE0015"/>
    <w:rsid w:val="00E109DA"/>
    <w:rsid w:val="00E23FF3"/>
    <w:rsid w:val="00E314C3"/>
    <w:rsid w:val="00E46A67"/>
    <w:rsid w:val="00E55C4D"/>
    <w:rsid w:val="00E80C60"/>
    <w:rsid w:val="00E8773D"/>
    <w:rsid w:val="00E95B74"/>
    <w:rsid w:val="00EB0C07"/>
    <w:rsid w:val="00EB3099"/>
    <w:rsid w:val="00EC0729"/>
    <w:rsid w:val="00EF78AD"/>
    <w:rsid w:val="00F05AC7"/>
    <w:rsid w:val="00F20C25"/>
    <w:rsid w:val="00F44D7D"/>
    <w:rsid w:val="00F54F93"/>
    <w:rsid w:val="00F743E6"/>
    <w:rsid w:val="00F770D1"/>
    <w:rsid w:val="00F83414"/>
    <w:rsid w:val="00F8734A"/>
    <w:rsid w:val="00F920A6"/>
    <w:rsid w:val="00F958A7"/>
    <w:rsid w:val="00FA4476"/>
    <w:rsid w:val="00FA7618"/>
    <w:rsid w:val="00FD1B3F"/>
    <w:rsid w:val="00FD44E6"/>
    <w:rsid w:val="00FF248E"/>
    <w:rsid w:val="00FF59DF"/>
    <w:rsid w:val="011D2710"/>
    <w:rsid w:val="052E176E"/>
    <w:rsid w:val="07B76CEE"/>
    <w:rsid w:val="091733CE"/>
    <w:rsid w:val="0C5C1C12"/>
    <w:rsid w:val="0FE97C61"/>
    <w:rsid w:val="0FF35B9B"/>
    <w:rsid w:val="0FFD1F38"/>
    <w:rsid w:val="10412EC2"/>
    <w:rsid w:val="1298717A"/>
    <w:rsid w:val="12B21BE1"/>
    <w:rsid w:val="132905ED"/>
    <w:rsid w:val="13CC4A82"/>
    <w:rsid w:val="14E050DC"/>
    <w:rsid w:val="15F24C64"/>
    <w:rsid w:val="163E0FB2"/>
    <w:rsid w:val="16F413C5"/>
    <w:rsid w:val="19243431"/>
    <w:rsid w:val="1B695059"/>
    <w:rsid w:val="1C5337F7"/>
    <w:rsid w:val="1C9C32A6"/>
    <w:rsid w:val="1FAE3FE5"/>
    <w:rsid w:val="1FDD44D2"/>
    <w:rsid w:val="22CE51C0"/>
    <w:rsid w:val="24765B0F"/>
    <w:rsid w:val="249C2517"/>
    <w:rsid w:val="26393E42"/>
    <w:rsid w:val="26920BFA"/>
    <w:rsid w:val="26B97EE2"/>
    <w:rsid w:val="28954226"/>
    <w:rsid w:val="2900272D"/>
    <w:rsid w:val="2AEF332D"/>
    <w:rsid w:val="2B9940A6"/>
    <w:rsid w:val="2CC37269"/>
    <w:rsid w:val="2CFB4040"/>
    <w:rsid w:val="30082B32"/>
    <w:rsid w:val="30EE5E45"/>
    <w:rsid w:val="33857B1D"/>
    <w:rsid w:val="33923B5F"/>
    <w:rsid w:val="348079A8"/>
    <w:rsid w:val="369D6F2B"/>
    <w:rsid w:val="371A57EC"/>
    <w:rsid w:val="371F49FB"/>
    <w:rsid w:val="39B06F76"/>
    <w:rsid w:val="39BE68E4"/>
    <w:rsid w:val="3B822852"/>
    <w:rsid w:val="3B9C29ED"/>
    <w:rsid w:val="3CF33136"/>
    <w:rsid w:val="3E5500EC"/>
    <w:rsid w:val="3F632CDC"/>
    <w:rsid w:val="3FA7706D"/>
    <w:rsid w:val="40A241FC"/>
    <w:rsid w:val="40AF05B0"/>
    <w:rsid w:val="42010CB6"/>
    <w:rsid w:val="436F274E"/>
    <w:rsid w:val="46B10CF6"/>
    <w:rsid w:val="475850D6"/>
    <w:rsid w:val="49B303BC"/>
    <w:rsid w:val="49D05E84"/>
    <w:rsid w:val="4A7C0F7F"/>
    <w:rsid w:val="4CA442DF"/>
    <w:rsid w:val="4D9329DF"/>
    <w:rsid w:val="4E5F6114"/>
    <w:rsid w:val="50D37CC2"/>
    <w:rsid w:val="52E87329"/>
    <w:rsid w:val="534239E1"/>
    <w:rsid w:val="559063D7"/>
    <w:rsid w:val="5A775533"/>
    <w:rsid w:val="5C401F83"/>
    <w:rsid w:val="5F121FCF"/>
    <w:rsid w:val="6063033A"/>
    <w:rsid w:val="608E7C29"/>
    <w:rsid w:val="60962F91"/>
    <w:rsid w:val="6200468F"/>
    <w:rsid w:val="620426B5"/>
    <w:rsid w:val="62740F21"/>
    <w:rsid w:val="65A13123"/>
    <w:rsid w:val="688A4CB2"/>
    <w:rsid w:val="6B3D0B24"/>
    <w:rsid w:val="6BC55102"/>
    <w:rsid w:val="6DC54022"/>
    <w:rsid w:val="6F22524D"/>
    <w:rsid w:val="6FE82CCC"/>
    <w:rsid w:val="703A4766"/>
    <w:rsid w:val="70671D7D"/>
    <w:rsid w:val="712B7E20"/>
    <w:rsid w:val="722D0E15"/>
    <w:rsid w:val="748C654D"/>
    <w:rsid w:val="74F91BAA"/>
    <w:rsid w:val="76B54311"/>
    <w:rsid w:val="771C6B98"/>
    <w:rsid w:val="77373A1B"/>
    <w:rsid w:val="7B384652"/>
    <w:rsid w:val="7DFF4A38"/>
    <w:rsid w:val="7EE12CFA"/>
    <w:rsid w:val="7FCC1EB2"/>
    <w:rsid w:val="7FF478B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120" w:after="240"/>
      <w:jc w:val="both"/>
    </w:pPr>
    <w:rPr>
      <w:rFonts w:ascii="Times New Roman" w:hAnsi="Times New Roman" w:eastAsia="宋体" w:cs="Times New Roman"/>
      <w:color w:val="000000"/>
      <w:lang w:val="en-GB" w:eastAsia="zh-CN" w:bidi="en-US"/>
    </w:rPr>
  </w:style>
  <w:style w:type="paragraph" w:styleId="2">
    <w:name w:val="heading 1"/>
    <w:next w:val="1"/>
    <w:autoRedefine/>
    <w:qFormat/>
    <w:uiPriority w:val="2"/>
    <w:pPr>
      <w:numPr>
        <w:ilvl w:val="0"/>
        <w:numId w:val="1"/>
      </w:numPr>
      <w:spacing w:before="360" w:after="360"/>
      <w:contextualSpacing/>
      <w:outlineLvl w:val="0"/>
    </w:pPr>
    <w:rPr>
      <w:rFonts w:ascii="Times New Roman" w:hAnsi="Times New Roman" w:eastAsia="Cambria" w:cs="Times New Roman"/>
      <w:b/>
      <w:szCs w:val="24"/>
      <w:lang w:val="en-GB" w:eastAsia="zh-CN" w:bidi="ar-SA"/>
    </w:rPr>
  </w:style>
  <w:style w:type="paragraph" w:styleId="3">
    <w:name w:val="heading 2"/>
    <w:next w:val="1"/>
    <w:autoRedefine/>
    <w:qFormat/>
    <w:uiPriority w:val="2"/>
    <w:pPr>
      <w:numPr>
        <w:ilvl w:val="1"/>
        <w:numId w:val="1"/>
      </w:numPr>
      <w:spacing w:before="240" w:after="200"/>
      <w:contextualSpacing/>
      <w:outlineLvl w:val="1"/>
    </w:pPr>
    <w:rPr>
      <w:rFonts w:ascii="Times New Roman" w:hAnsi="Times New Roman" w:eastAsia="Cambria" w:cs="Times New Roman"/>
      <w:b/>
      <w:szCs w:val="24"/>
      <w:lang w:val="en-US" w:eastAsia="en-US" w:bidi="ar-SA"/>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alloon Text"/>
    <w:basedOn w:val="1"/>
    <w:link w:val="27"/>
    <w:qFormat/>
    <w:uiPriority w:val="0"/>
    <w:pPr>
      <w:spacing w:before="0" w:after="0"/>
    </w:pPr>
    <w:rPr>
      <w:rFonts w:ascii="Segoe UI" w:hAnsi="Segoe UI" w:cs="Segoe UI"/>
      <w:sz w:val="18"/>
      <w:szCs w:val="18"/>
    </w:rPr>
  </w:style>
  <w:style w:type="paragraph" w:styleId="6">
    <w:name w:val="footer"/>
    <w:basedOn w:val="1"/>
    <w:link w:val="24"/>
    <w:qFormat/>
    <w:uiPriority w:val="0"/>
    <w:pPr>
      <w:tabs>
        <w:tab w:val="center" w:pos="4513"/>
        <w:tab w:val="right" w:pos="9026"/>
      </w:tabs>
      <w:spacing w:before="0" w:after="0"/>
    </w:pPr>
  </w:style>
  <w:style w:type="paragraph" w:styleId="7">
    <w:name w:val="header"/>
    <w:basedOn w:val="1"/>
    <w:link w:val="21"/>
    <w:qFormat/>
    <w:uiPriority w:val="0"/>
    <w:pPr>
      <w:numPr>
        <w:ilvl w:val="0"/>
        <w:numId w:val="2"/>
      </w:numPr>
      <w:tabs>
        <w:tab w:val="center" w:pos="4680"/>
        <w:tab w:val="right" w:pos="9360"/>
      </w:tabs>
      <w:spacing w:before="0" w:after="0"/>
    </w:pPr>
    <w:rPr>
      <w:b/>
    </w:rPr>
  </w:style>
  <w:style w:type="paragraph" w:styleId="8">
    <w:name w:val="Title"/>
    <w:next w:val="1"/>
    <w:qFormat/>
    <w:uiPriority w:val="0"/>
    <w:pPr>
      <w:suppressLineNumbers/>
      <w:spacing w:before="240" w:after="360"/>
      <w:jc w:val="center"/>
    </w:pPr>
    <w:rPr>
      <w:rFonts w:ascii="Times New Roman" w:hAnsi="Times New Roman" w:eastAsia="Calibri" w:cs="Times New Roman"/>
      <w:b/>
      <w:sz w:val="32"/>
      <w:szCs w:val="32"/>
      <w:lang w:val="en-US" w:eastAsia="en-US" w:bidi="ar-SA"/>
    </w:rPr>
  </w:style>
  <w:style w:type="paragraph" w:styleId="9">
    <w:name w:val="annotation subject"/>
    <w:basedOn w:val="4"/>
    <w:next w:val="4"/>
    <w:link w:val="19"/>
    <w:qFormat/>
    <w:uiPriority w:val="0"/>
    <w:rPr>
      <w:b/>
      <w:bCs/>
    </w:rPr>
  </w:style>
  <w:style w:type="table" w:styleId="11">
    <w:name w:val="Table Grid"/>
    <w:basedOn w:val="10"/>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unhideWhenUsed/>
    <w:qFormat/>
    <w:uiPriority w:val="99"/>
    <w:rPr>
      <w:color w:val="0000FF"/>
      <w:u w:val="single"/>
    </w:rPr>
  </w:style>
  <w:style w:type="character" w:styleId="14">
    <w:name w:val="annotation reference"/>
    <w:basedOn w:val="12"/>
    <w:qFormat/>
    <w:uiPriority w:val="99"/>
    <w:rPr>
      <w:sz w:val="16"/>
      <w:szCs w:val="16"/>
    </w:rPr>
  </w:style>
  <w:style w:type="paragraph" w:customStyle="1" w:styleId="15">
    <w:name w:val="Supplementary Material"/>
    <w:next w:val="8"/>
    <w:autoRedefine/>
    <w:qFormat/>
    <w:uiPriority w:val="0"/>
    <w:pPr>
      <w:suppressLineNumbers/>
      <w:spacing w:before="240" w:after="120"/>
    </w:pPr>
    <w:rPr>
      <w:rFonts w:ascii="Arial" w:hAnsi="Arial" w:eastAsia="Calibri" w:cs="Arial"/>
      <w:b/>
      <w:iCs/>
      <w:sz w:val="22"/>
      <w:szCs w:val="22"/>
      <w:lang w:val="en-GB" w:eastAsia="en-US" w:bidi="ar-SA"/>
    </w:rPr>
  </w:style>
  <w:style w:type="paragraph" w:styleId="16">
    <w:name w:val="List Paragraph"/>
    <w:autoRedefine/>
    <w:qFormat/>
    <w:uiPriority w:val="3"/>
    <w:pPr>
      <w:numPr>
        <w:ilvl w:val="0"/>
        <w:numId w:val="3"/>
      </w:numPr>
      <w:spacing w:before="120" w:after="240"/>
      <w:contextualSpacing/>
    </w:pPr>
    <w:rPr>
      <w:rFonts w:ascii="Times New Roman" w:hAnsi="Times New Roman" w:eastAsia="Cambria" w:cs="Times New Roman"/>
      <w:sz w:val="24"/>
      <w:szCs w:val="24"/>
      <w:lang w:val="en-US" w:eastAsia="en-US" w:bidi="ar-SA"/>
    </w:rPr>
  </w:style>
  <w:style w:type="paragraph" w:customStyle="1" w:styleId="17">
    <w:name w:val="Revision1"/>
    <w:hidden/>
    <w:unhideWhenUsed/>
    <w:qFormat/>
    <w:uiPriority w:val="99"/>
    <w:rPr>
      <w:rFonts w:ascii="Times New Roman" w:hAnsi="Times New Roman" w:eastAsiaTheme="minorHAnsi" w:cstheme="minorBidi"/>
      <w:sz w:val="24"/>
      <w:szCs w:val="22"/>
      <w:lang w:val="en-US" w:eastAsia="en-US" w:bidi="ar-SA"/>
    </w:rPr>
  </w:style>
  <w:style w:type="character" w:customStyle="1" w:styleId="18">
    <w:name w:val="Comment Text Char"/>
    <w:basedOn w:val="12"/>
    <w:link w:val="4"/>
    <w:qFormat/>
    <w:uiPriority w:val="0"/>
    <w:rPr>
      <w:rFonts w:ascii="Times New Roman" w:hAnsi="Times New Roman" w:eastAsiaTheme="minorHAnsi"/>
    </w:rPr>
  </w:style>
  <w:style w:type="character" w:customStyle="1" w:styleId="19">
    <w:name w:val="Comment Subject Char"/>
    <w:basedOn w:val="18"/>
    <w:link w:val="9"/>
    <w:qFormat/>
    <w:uiPriority w:val="0"/>
    <w:rPr>
      <w:rFonts w:ascii="Times New Roman" w:hAnsi="Times New Roman" w:eastAsiaTheme="minorHAnsi"/>
      <w:b/>
      <w:bCs/>
    </w:rPr>
  </w:style>
  <w:style w:type="paragraph" w:customStyle="1" w:styleId="20">
    <w:name w:val="修订1"/>
    <w:hidden/>
    <w:unhideWhenUsed/>
    <w:qFormat/>
    <w:uiPriority w:val="99"/>
    <w:rPr>
      <w:rFonts w:ascii="Times New Roman" w:hAnsi="Times New Roman" w:eastAsiaTheme="minorHAnsi" w:cstheme="minorBidi"/>
      <w:sz w:val="24"/>
      <w:szCs w:val="22"/>
      <w:lang w:val="en-US" w:eastAsia="en-US" w:bidi="ar-SA"/>
    </w:rPr>
  </w:style>
  <w:style w:type="character" w:customStyle="1" w:styleId="21">
    <w:name w:val="Header Char"/>
    <w:basedOn w:val="12"/>
    <w:link w:val="7"/>
    <w:qFormat/>
    <w:uiPriority w:val="0"/>
    <w:rPr>
      <w:rFonts w:ascii="Times New Roman" w:hAnsi="Times New Roman" w:eastAsiaTheme="minorHAnsi"/>
      <w:b/>
      <w:szCs w:val="22"/>
      <w:lang w:val="en-US"/>
    </w:rPr>
  </w:style>
  <w:style w:type="paragraph" w:customStyle="1" w:styleId="22">
    <w:name w:val="Revision2"/>
    <w:hidden/>
    <w:unhideWhenUsed/>
    <w:qFormat/>
    <w:uiPriority w:val="99"/>
    <w:rPr>
      <w:rFonts w:ascii="Times New Roman" w:hAnsi="Times New Roman" w:eastAsia="宋体" w:cs="Times New Roman"/>
      <w:color w:val="000000"/>
      <w:lang w:val="en-GB" w:eastAsia="zh-CN" w:bidi="en-US"/>
    </w:rPr>
  </w:style>
  <w:style w:type="paragraph" w:customStyle="1" w:styleId="23">
    <w:name w:val="Revision3"/>
    <w:hidden/>
    <w:unhideWhenUsed/>
    <w:qFormat/>
    <w:uiPriority w:val="99"/>
    <w:rPr>
      <w:rFonts w:ascii="Times New Roman" w:hAnsi="Times New Roman" w:eastAsia="宋体" w:cs="Times New Roman"/>
      <w:color w:val="000000"/>
      <w:lang w:val="en-GB" w:eastAsia="zh-CN" w:bidi="en-US"/>
    </w:rPr>
  </w:style>
  <w:style w:type="character" w:customStyle="1" w:styleId="24">
    <w:name w:val="Footer Char"/>
    <w:basedOn w:val="12"/>
    <w:link w:val="6"/>
    <w:qFormat/>
    <w:uiPriority w:val="0"/>
    <w:rPr>
      <w:rFonts w:ascii="Times New Roman" w:hAnsi="Times New Roman" w:eastAsia="宋体" w:cs="Times New Roman"/>
      <w:color w:val="000000"/>
      <w:lang w:val="en-GB" w:eastAsia="zh-CN" w:bidi="en-US"/>
    </w:rPr>
  </w:style>
  <w:style w:type="character" w:customStyle="1" w:styleId="25">
    <w:name w:val="Unresolved Mention1"/>
    <w:basedOn w:val="12"/>
    <w:semiHidden/>
    <w:unhideWhenUsed/>
    <w:qFormat/>
    <w:uiPriority w:val="99"/>
    <w:rPr>
      <w:color w:val="605E5C"/>
      <w:shd w:val="clear" w:color="auto" w:fill="E1DFDD"/>
    </w:rPr>
  </w:style>
  <w:style w:type="paragraph" w:customStyle="1" w:styleId="26">
    <w:name w:val="Revision4"/>
    <w:hidden/>
    <w:unhideWhenUsed/>
    <w:qFormat/>
    <w:uiPriority w:val="99"/>
    <w:rPr>
      <w:rFonts w:ascii="Times New Roman" w:hAnsi="Times New Roman" w:eastAsia="宋体" w:cs="Times New Roman"/>
      <w:color w:val="000000"/>
      <w:lang w:val="en-GB" w:eastAsia="zh-CN" w:bidi="en-US"/>
    </w:rPr>
  </w:style>
  <w:style w:type="character" w:customStyle="1" w:styleId="27">
    <w:name w:val="Balloon Text Char"/>
    <w:basedOn w:val="12"/>
    <w:link w:val="5"/>
    <w:qFormat/>
    <w:uiPriority w:val="0"/>
    <w:rPr>
      <w:rFonts w:ascii="Segoe UI" w:hAnsi="Segoe UI" w:eastAsia="宋体" w:cs="Segoe UI"/>
      <w:color w:val="000000"/>
      <w:sz w:val="18"/>
      <w:szCs w:val="18"/>
      <w:lang w:eastAsia="zh-CN" w:bidi="en-U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tiff"/><Relationship Id="rId17" Type="http://schemas.openxmlformats.org/officeDocument/2006/relationships/image" Target="media/image8.tiff"/><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f40769-3e9a-440d-b033-e9b1144e0ef8">
      <Terms xmlns="http://schemas.microsoft.com/office/infopath/2007/PartnerControls"/>
    </lcf76f155ced4ddcb4097134ff3c332f>
    <_Flow_SignoffStatus xmlns="32f40769-3e9a-440d-b033-e9b1144e0ef8" xsi:nil="true"/>
    <TaxCatchAll xmlns="71d6995e-2094-4cd5-8632-a7cdafa31e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3E038D7734794BB845F1968E53A369" ma:contentTypeVersion="18" ma:contentTypeDescription="Create a new document." ma:contentTypeScope="" ma:versionID="7ef0358c45b68d50830564b28ab758e1">
  <xsd:schema xmlns:xsd="http://www.w3.org/2001/XMLSchema" xmlns:xs="http://www.w3.org/2001/XMLSchema" xmlns:p="http://schemas.microsoft.com/office/2006/metadata/properties" xmlns:ns2="44f0a009-8712-4d49-a8db-909d4a1d9e2a" xmlns:ns3="32f40769-3e9a-440d-b033-e9b1144e0ef8" xmlns:ns4="71d6995e-2094-4cd5-8632-a7cdafa31eea" targetNamespace="http://schemas.microsoft.com/office/2006/metadata/properties" ma:root="true" ma:fieldsID="e34416415ed522dbbf8e135b08fe5ab2" ns2:_="" ns3:_="" ns4:_="">
    <xsd:import namespace="44f0a009-8712-4d49-a8db-909d4a1d9e2a"/>
    <xsd:import namespace="32f40769-3e9a-440d-b033-e9b1144e0ef8"/>
    <xsd:import namespace="71d6995e-2094-4cd5-8632-a7cdafa31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0a009-8712-4d49-a8db-909d4a1d9e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40769-3e9a-440d-b033-e9b1144e0e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b5d3e9-fb91-47ab-8ddc-3316da5eb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6995e-2094-4cd5-8632-a7cdafa31e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c156d9d-3e5a-4c11-9682-f9a9e9d3d81a}" ma:internalName="TaxCatchAll" ma:showField="CatchAllData" ma:web="44f0a009-8712-4d49-a8db-909d4a1d9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88791-D0F6-4136-AE03-BF1449C2C8A9}">
  <ds:schemaRefs/>
</ds:datastoreItem>
</file>

<file path=customXml/itemProps2.xml><?xml version="1.0" encoding="utf-8"?>
<ds:datastoreItem xmlns:ds="http://schemas.openxmlformats.org/officeDocument/2006/customXml" ds:itemID="{A387FD3C-F563-4374-B9AB-9FE5D1B01257}">
  <ds:schemaRefs/>
</ds:datastoreItem>
</file>

<file path=customXml/itemProps3.xml><?xml version="1.0" encoding="utf-8"?>
<ds:datastoreItem xmlns:ds="http://schemas.openxmlformats.org/officeDocument/2006/customXml" ds:itemID="{8639FA51-2785-48F4-93D4-99720F3ACCB0}">
  <ds:schemaRefs/>
</ds:datastoreItem>
</file>

<file path=docProps/app.xml><?xml version="1.0" encoding="utf-8"?>
<Properties xmlns="http://schemas.openxmlformats.org/officeDocument/2006/extended-properties" xmlns:vt="http://schemas.openxmlformats.org/officeDocument/2006/docPropsVTypes">
  <Template>Normal</Template>
  <Pages>10</Pages>
  <Words>1323</Words>
  <Characters>8057</Characters>
  <Lines>68</Lines>
  <Paragraphs>19</Paragraphs>
  <TotalTime>2</TotalTime>
  <ScaleCrop>false</ScaleCrop>
  <LinksUpToDate>false</LinksUpToDate>
  <CharactersWithSpaces>9256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2024-04-05T12:21:00Z</dcterms:created>
  <dc:creator>acer</dc:creator>
  <cp:lastModifiedBy>sank44</cp:lastModifiedBy>
  <dcterms:modified xsi:type="dcterms:W3CDTF">2024-07-07T11:38:12Z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0x0101005B3E038D7734794BB845F1968E53A369</vt:lpwstr>
  </property>
  <property fmtid="{D5CDD505-2E9C-101B-9397-08002B2CF9AE}" pid="3" name="ICV">
    <vt:lpwstr>BA8BC41F766F44BFA3FEAEEE4EE17819_12</vt:lpwstr>
  </property>
  <property fmtid="{D5CDD505-2E9C-101B-9397-08002B2CF9AE}" pid="4" name="KSOProductBuildVer">
    <vt:lpwstr>2052-12.1.0.16929</vt:lpwstr>
  </property>
</Properties>
</file>