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DBCB75" w14:textId="77777777" w:rsidR="00930C25" w:rsidRDefault="00930C25" w:rsidP="00930C25">
      <w:pPr>
        <w:pStyle w:val="Heading2"/>
      </w:pPr>
      <w:r>
        <w:t xml:space="preserve">Appendix A – Zero-Order Tier 2 </w:t>
      </w:r>
      <w:proofErr w:type="spellStart"/>
      <w:r>
        <w:t>OSeMOSYS</w:t>
      </w:r>
      <w:proofErr w:type="spellEnd"/>
      <w:r>
        <w:t xml:space="preserve"> Model </w:t>
      </w:r>
    </w:p>
    <w:p w14:paraId="6C193293" w14:textId="77777777" w:rsidR="00930C25" w:rsidRDefault="00930C25" w:rsidP="00930C25">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1DB620E6" w14:textId="77777777" w:rsidR="00930C25" w:rsidRDefault="00930C25" w:rsidP="00930C25">
      <w:r>
        <w:t xml:space="preserve">U4RIA are goals to improve energy modelling [2]. They are short for Ubuntu (meaning community focused), retrievability, reusability, repeatability, interoperability and auditability. The model moves to partially meet U4RIA goals in that: </w:t>
      </w:r>
    </w:p>
    <w:p w14:paraId="6F18D5D1" w14:textId="77777777" w:rsidR="00930C25" w:rsidRDefault="00930C25" w:rsidP="00930C25">
      <w:pPr>
        <w:pStyle w:val="ListBullet"/>
      </w:pPr>
      <w:r>
        <w:t>We develop examples of results that can be used by other research communities, including energy and transport, and to aid mitigation strategies.</w:t>
      </w:r>
    </w:p>
    <w:p w14:paraId="26CFB0F5" w14:textId="77777777" w:rsidR="00930C25" w:rsidRDefault="00930C25" w:rsidP="00930C25">
      <w:pPr>
        <w:pStyle w:val="ListBullet"/>
      </w:pPr>
      <w:r>
        <w:t xml:space="preserve">The illustrative analyses are retrievable, reusable, repeatable. </w:t>
      </w:r>
    </w:p>
    <w:p w14:paraId="08C46E90" w14:textId="77777777" w:rsidR="00930C25" w:rsidRDefault="00930C25" w:rsidP="00930C25">
      <w:pPr>
        <w:pStyle w:val="ListBullet"/>
      </w:pPr>
      <w:r>
        <w:t>As data are defined, elements of interoperability are feasible.</w:t>
      </w:r>
    </w:p>
    <w:p w14:paraId="72D24FB1" w14:textId="77777777" w:rsidR="00930C25" w:rsidRDefault="00930C25" w:rsidP="00930C25">
      <w:pPr>
        <w:pStyle w:val="ListBullet"/>
      </w:pPr>
      <w:r>
        <w:t>And by virtue of the above the analysis could be audited or verified (that is not to say that it is ‘accurate’ but simply reproducible).</w:t>
      </w:r>
    </w:p>
    <w:p w14:paraId="09484126" w14:textId="77777777" w:rsidR="00930C25" w:rsidRDefault="00930C25" w:rsidP="00930C25">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33F80E6B" w14:textId="77777777" w:rsidR="00930C25" w:rsidRDefault="00930C25" w:rsidP="00930C25">
      <w:r>
        <w:rPr>
          <w:noProof/>
        </w:rPr>
        <w:lastRenderedPageBreak/>
        <w:drawing>
          <wp:inline distT="0" distB="0" distL="0" distR="0" wp14:anchorId="36B9F64D" wp14:editId="172ABF1E">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4E4E00E0" w14:textId="77777777" w:rsidR="00930C25" w:rsidRDefault="00930C25" w:rsidP="00930C25">
      <w:r>
        <w:t xml:space="preserve">Figure A1: Reference Energy System </w:t>
      </w:r>
    </w:p>
    <w:p w14:paraId="218481B2" w14:textId="77777777" w:rsidR="00930C25" w:rsidRDefault="00930C25" w:rsidP="00930C25">
      <w:pPr>
        <w:pStyle w:val="Heading2"/>
      </w:pPr>
      <w:r>
        <w:t>A1 Model Assumptions</w:t>
      </w:r>
    </w:p>
    <w:p w14:paraId="737047DA" w14:textId="77777777" w:rsidR="00930C25" w:rsidRDefault="00930C25" w:rsidP="00930C25">
      <w:r>
        <w:t xml:space="preserve">Key assumptions used in model development are outlined below. </w:t>
      </w:r>
    </w:p>
    <w:p w14:paraId="35816D42" w14:textId="77777777" w:rsidR="00930C25" w:rsidRDefault="00930C25" w:rsidP="00930C25">
      <w:pPr>
        <w:pStyle w:val="Heading3"/>
      </w:pPr>
      <w:r>
        <w:t xml:space="preserve">Supply-Side Assumptions </w:t>
      </w:r>
    </w:p>
    <w:p w14:paraId="41494894" w14:textId="77777777" w:rsidR="00930C25" w:rsidRDefault="00930C25" w:rsidP="00930C25">
      <w:r>
        <w:t xml:space="preserve">Mali’s installed capacity according to the PLEXOS dataset was determined to be insufficient to meet the estimated electricity demand. It is noted that Mali has an undersupply problem and that installed on-grid capacity may be matched by off-grid diesel generators [24]. Historical demand was therefore suppressed in to the supply available from the existing installed capacity and an equal capacity of off-grid diesel generators. The supply-demand gap was then assumed to be closed gradually from 2020 to 2025. The share of total demand that can be met by off-grid solar PV is constrained based on the optimal balance of on- and off-grid provision in a least cost </w:t>
      </w:r>
      <w:r>
        <w:lastRenderedPageBreak/>
        <w:t xml:space="preserve">scenario for 100% electricity access by 2030 from the Global Electrification Platform [24].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[25]. The maximum share of total demand that can be met by variable renewables is constrained as follows: utility-scale PV, onshore wind and utility-scale PV with storage are each permitted to meet up to 15% of 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33723A2C" w14:textId="77777777" w:rsidR="00930C25" w:rsidRDefault="00930C25" w:rsidP="00930C25">
      <w:pPr>
        <w:pStyle w:val="Heading3"/>
      </w:pPr>
      <w:r>
        <w:t xml:space="preserve">Demand-Side Assumptions </w:t>
      </w:r>
    </w:p>
    <w:p w14:paraId="402E6CBF" w14:textId="77777777" w:rsidR="00930C25" w:rsidRDefault="00930C25" w:rsidP="00930C25">
      <w:r>
        <w:t>Generic techno-economic data for demand-side technologies (cooking, heating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500EAF28" w14:textId="77777777" w:rsidR="00930C25" w:rsidRDefault="00930C25" w:rsidP="00930C25">
      <w:pPr>
        <w:pStyle w:val="Heading3"/>
      </w:pPr>
      <w:r>
        <w:t xml:space="preserve">Time Representation and Discount Rate </w:t>
      </w:r>
    </w:p>
    <w:p w14:paraId="5E626E37" w14:textId="77777777" w:rsidR="00930C25" w:rsidRDefault="00930C25" w:rsidP="00930C25">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012B2846" w14:textId="77777777" w:rsidR="00930C25" w:rsidRDefault="00930C25" w:rsidP="00930C25">
      <w:pPr>
        <w:pStyle w:val="Heading2"/>
      </w:pPr>
      <w:r>
        <w:t xml:space="preserve">A2 Scenario Definitions </w:t>
      </w:r>
    </w:p>
    <w:p w14:paraId="6FB4B54E" w14:textId="77777777" w:rsidR="00930C25" w:rsidRDefault="00930C25" w:rsidP="00930C25">
      <w:r>
        <w:t>Three stylized scenarios are modelled: Fossil Future, Least Cost and Net Zero by 2050. These scenarios are defined in the table below. Nuclear power is not considered in any of these scenarios; however it can be added using the techno-economic data provided in the main article.</w:t>
      </w:r>
    </w:p>
    <w:p w14:paraId="029C742A" w14:textId="77777777" w:rsidR="00930C25" w:rsidRDefault="00930C25" w:rsidP="00930C25">
      <w:r>
        <w:t xml:space="preserve">Table A1: Definitions of the three model scenarios. </w:t>
      </w:r>
    </w:p>
    <w:tbl>
      <w:tblPr>
        <w:tblStyle w:val="TableGrid"/>
        <w:tblW w:w="0" w:type="auto"/>
        <w:tblLook w:val="04A0" w:firstRow="1" w:lastRow="0" w:firstColumn="1" w:lastColumn="0" w:noHBand="0" w:noVBand="1"/>
      </w:tblPr>
      <w:tblGrid>
        <w:gridCol w:w="4315"/>
        <w:gridCol w:w="4315"/>
      </w:tblGrid>
      <w:tr w:rsidR="00930C25" w14:paraId="7278048E" w14:textId="77777777" w:rsidTr="009F66FB">
        <w:tc>
          <w:tcPr>
            <w:tcW w:w="4320" w:type="dxa"/>
          </w:tcPr>
          <w:p w14:paraId="472133D1" w14:textId="77777777" w:rsidR="00930C25" w:rsidRDefault="00930C25" w:rsidP="009F66FB">
            <w:r>
              <w:lastRenderedPageBreak/>
              <w:t>Scenario</w:t>
            </w:r>
          </w:p>
        </w:tc>
        <w:tc>
          <w:tcPr>
            <w:tcW w:w="4320" w:type="dxa"/>
          </w:tcPr>
          <w:p w14:paraId="5FCDBA7C" w14:textId="77777777" w:rsidR="00930C25" w:rsidRDefault="00930C25" w:rsidP="009F66FB">
            <w:r>
              <w:t>Definition</w:t>
            </w:r>
          </w:p>
        </w:tc>
      </w:tr>
      <w:tr w:rsidR="00930C25" w14:paraId="53EDD1D7" w14:textId="77777777" w:rsidTr="009F66FB">
        <w:tc>
          <w:tcPr>
            <w:tcW w:w="4320" w:type="dxa"/>
          </w:tcPr>
          <w:p w14:paraId="0153AFCE" w14:textId="77777777" w:rsidR="00930C25" w:rsidRDefault="00930C25" w:rsidP="009F66FB">
            <w:r>
              <w:t xml:space="preserve">Fossil Future </w:t>
            </w:r>
          </w:p>
        </w:tc>
        <w:tc>
          <w:tcPr>
            <w:tcW w:w="4320" w:type="dxa"/>
          </w:tcPr>
          <w:p w14:paraId="028C1AD3" w14:textId="77777777" w:rsidR="00930C25" w:rsidRDefault="00930C25" w:rsidP="009F66FB">
            <w:r>
              <w:t xml:space="preserve">No new investments in renewable or nuclear power generation, electric stoves and heating, electric transport or energy efficiency are permitted. </w:t>
            </w:r>
          </w:p>
        </w:tc>
      </w:tr>
      <w:tr w:rsidR="00930C25" w14:paraId="6593A334" w14:textId="77777777" w:rsidTr="009F66FB">
        <w:tc>
          <w:tcPr>
            <w:tcW w:w="4320" w:type="dxa"/>
          </w:tcPr>
          <w:p w14:paraId="65980B7E" w14:textId="77777777" w:rsidR="00930C25" w:rsidRDefault="00930C25" w:rsidP="009F66FB">
            <w:r>
              <w:t xml:space="preserve">Least Cost </w:t>
            </w:r>
          </w:p>
        </w:tc>
        <w:tc>
          <w:tcPr>
            <w:tcW w:w="4320" w:type="dxa"/>
          </w:tcPr>
          <w:p w14:paraId="14FDBEF6" w14:textId="77777777" w:rsidR="00930C25" w:rsidRDefault="00930C25" w:rsidP="009F66FB">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930C25" w14:paraId="341F9F6D" w14:textId="77777777" w:rsidTr="009F66FB">
        <w:tc>
          <w:tcPr>
            <w:tcW w:w="4320" w:type="dxa"/>
          </w:tcPr>
          <w:p w14:paraId="6BE8F8CD" w14:textId="77777777" w:rsidR="00930C25" w:rsidRDefault="00930C25" w:rsidP="009F66FB">
            <w:r>
              <w:t xml:space="preserve">Net Zero by 2050 </w:t>
            </w:r>
          </w:p>
        </w:tc>
        <w:tc>
          <w:tcPr>
            <w:tcW w:w="4320" w:type="dxa"/>
          </w:tcPr>
          <w:p w14:paraId="639DB46D" w14:textId="77777777" w:rsidR="00930C25" w:rsidRDefault="00930C25" w:rsidP="009F66FB">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3C33ECAB" w14:textId="77777777" w:rsidR="00930C25" w:rsidRDefault="00930C25" w:rsidP="00930C25">
      <w:pPr>
        <w:pStyle w:val="Heading2"/>
      </w:pPr>
      <w:r>
        <w:t>A3 Scenario Results for Mali</w:t>
      </w:r>
    </w:p>
    <w:p w14:paraId="2F0B2E52" w14:textId="77777777" w:rsidR="00930C25" w:rsidRDefault="00930C25" w:rsidP="00930C25">
      <w:r>
        <w:t>The graphs below show selected results for the three modelled scenarios, including yearly electricity generation and supply capacity, fuel use in the transport sector and total annual carbon dioxide emissions for 2020-2050.</w:t>
      </w:r>
    </w:p>
    <w:p w14:paraId="5AFCBD3B" w14:textId="77777777" w:rsidR="00930C25" w:rsidRDefault="00930C25" w:rsidP="00930C25">
      <w:pPr>
        <w:pStyle w:val="Heading3"/>
      </w:pPr>
      <w:r>
        <w:lastRenderedPageBreak/>
        <w:t>A3.1 Electricity Generation Results</w:t>
      </w:r>
    </w:p>
    <w:p w14:paraId="2CF4582D" w14:textId="77777777" w:rsidR="00930C25" w:rsidRDefault="00930C25" w:rsidP="00930C25">
      <w:r>
        <w:rPr>
          <w:noProof/>
        </w:rPr>
        <w:drawing>
          <wp:inline distT="0" distB="0" distL="0" distR="0" wp14:anchorId="5DF29EE3" wp14:editId="3FC6651F">
            <wp:extent cx="5486400" cy="3286125"/>
            <wp:effectExtent l="0" t="0" r="0" b="0"/>
            <wp:docPr id="804635236" name="Picture 804635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A2: Electricity Generation in Mali in the Fossil Future scenario </w:t>
      </w:r>
    </w:p>
    <w:p w14:paraId="34E784B9" w14:textId="77777777" w:rsidR="00930C25" w:rsidRDefault="00930C25" w:rsidP="00930C25">
      <w:r>
        <w:rPr>
          <w:noProof/>
        </w:rPr>
        <w:drawing>
          <wp:inline distT="0" distB="0" distL="0" distR="0" wp14:anchorId="39223D5D" wp14:editId="7198F039">
            <wp:extent cx="5486400" cy="3286125"/>
            <wp:effectExtent l="0" t="0" r="0" b="0"/>
            <wp:docPr id="612451621" name="Picture 612451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A3: Electricity Generation in Mali in the Least Cost scenario </w:t>
      </w:r>
    </w:p>
    <w:p w14:paraId="30DB86E6" w14:textId="77777777" w:rsidR="00930C25" w:rsidRDefault="00930C25" w:rsidP="00930C25">
      <w:r>
        <w:rPr>
          <w:noProof/>
        </w:rPr>
        <w:lastRenderedPageBreak/>
        <w:drawing>
          <wp:inline distT="0" distB="0" distL="0" distR="0" wp14:anchorId="1344B9F0" wp14:editId="4E9DF026">
            <wp:extent cx="5486400" cy="3286125"/>
            <wp:effectExtent l="0" t="0" r="0" b="0"/>
            <wp:docPr id="819789196" name="Picture 819789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A4: Electricity Generation in Mali in the Net Zero by 2050  scenario </w:t>
      </w:r>
    </w:p>
    <w:p w14:paraId="70D2E94A" w14:textId="77777777" w:rsidR="00930C25" w:rsidRDefault="00930C25" w:rsidP="00930C25">
      <w:pPr>
        <w:pStyle w:val="Heading3"/>
      </w:pPr>
      <w:r>
        <w:t>A3.2 Capacity Expansion Results</w:t>
      </w:r>
    </w:p>
    <w:p w14:paraId="664C9D83" w14:textId="77777777" w:rsidR="00930C25" w:rsidRDefault="00930C25" w:rsidP="00930C25">
      <w:r>
        <w:rPr>
          <w:noProof/>
        </w:rPr>
        <w:drawing>
          <wp:inline distT="0" distB="0" distL="0" distR="0" wp14:anchorId="1C12B1FB" wp14:editId="1442AB4D">
            <wp:extent cx="5486400" cy="3286125"/>
            <wp:effectExtent l="0" t="0" r="0" b="0"/>
            <wp:docPr id="1950161436" name="Picture 1950161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A5: Installed capacity in Mali in the Fossil Future scenario </w:t>
      </w:r>
    </w:p>
    <w:p w14:paraId="24439E82" w14:textId="77777777" w:rsidR="00930C25" w:rsidRDefault="00930C25" w:rsidP="00930C25">
      <w:r>
        <w:rPr>
          <w:noProof/>
        </w:rPr>
        <w:lastRenderedPageBreak/>
        <w:drawing>
          <wp:inline distT="0" distB="0" distL="0" distR="0" wp14:anchorId="5CB25687" wp14:editId="40AE63AB">
            <wp:extent cx="5486400" cy="3286125"/>
            <wp:effectExtent l="0" t="0" r="0" b="0"/>
            <wp:docPr id="1689154810" name="Picture 1689154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A6: Installed capacity in Mali in the Least Cost scenario </w:t>
      </w:r>
    </w:p>
    <w:p w14:paraId="512494A0" w14:textId="77777777" w:rsidR="00930C25" w:rsidRDefault="00930C25" w:rsidP="00930C25">
      <w:r>
        <w:rPr>
          <w:noProof/>
        </w:rPr>
        <w:drawing>
          <wp:inline distT="0" distB="0" distL="0" distR="0" wp14:anchorId="7D325CCD" wp14:editId="101F21D5">
            <wp:extent cx="5486400" cy="3286125"/>
            <wp:effectExtent l="0" t="0" r="0" b="0"/>
            <wp:docPr id="1029075164" name="Picture 1029075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A7: Installed capacity in Mali in the Net Zero scenario </w:t>
      </w:r>
    </w:p>
    <w:p w14:paraId="0366AF32" w14:textId="77777777" w:rsidR="00930C25" w:rsidRDefault="00930C25" w:rsidP="00930C25">
      <w:pPr>
        <w:pStyle w:val="Heading3"/>
      </w:pPr>
      <w:r>
        <w:lastRenderedPageBreak/>
        <w:t>A3.3 Transport Results</w:t>
      </w:r>
    </w:p>
    <w:p w14:paraId="155BC850" w14:textId="77777777" w:rsidR="00930C25" w:rsidRDefault="00930C25" w:rsidP="00930C25">
      <w:r>
        <w:rPr>
          <w:noProof/>
        </w:rPr>
        <w:drawing>
          <wp:inline distT="0" distB="0" distL="0" distR="0" wp14:anchorId="15619783" wp14:editId="5BFE39BB">
            <wp:extent cx="5486400" cy="32918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4">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7D2072E9" w14:textId="77777777" w:rsidR="00930C25" w:rsidRDefault="00930C25" w:rsidP="00930C25">
      <w:r>
        <w:t>Figure A8: Transport demand</w:t>
      </w:r>
      <w:r>
        <w:rPr>
          <w:rStyle w:val="FootnoteReference"/>
        </w:rPr>
        <w:footnoteReference w:id="1"/>
      </w:r>
      <w:r>
        <w:t xml:space="preserve"> met by each technology type in Mali in the Least Cost scenario </w:t>
      </w:r>
    </w:p>
    <w:p w14:paraId="60E54A48" w14:textId="77777777" w:rsidR="00930C25" w:rsidRDefault="00930C25" w:rsidP="00930C25">
      <w:r>
        <w:rPr>
          <w:noProof/>
        </w:rPr>
        <w:drawing>
          <wp:inline distT="0" distB="0" distL="0" distR="0" wp14:anchorId="42F99D2A" wp14:editId="7D0F331D">
            <wp:extent cx="5486400" cy="329184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5">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575F8CE3" w14:textId="77777777" w:rsidR="00930C25" w:rsidRDefault="00930C25" w:rsidP="00930C25">
      <w:r>
        <w:lastRenderedPageBreak/>
        <w:t>Figure A9: Transport demand</w:t>
      </w:r>
      <w:r w:rsidRPr="46BBA4C3">
        <w:rPr>
          <w:vertAlign w:val="superscript"/>
        </w:rPr>
        <w:t>1</w:t>
      </w:r>
      <w:r>
        <w:t xml:space="preserve"> met by each technology type in Mali in the Net Zero scenario </w:t>
      </w:r>
    </w:p>
    <w:p w14:paraId="07ACCD6A" w14:textId="77777777" w:rsidR="00930C25" w:rsidRDefault="00930C25" w:rsidP="00930C25"/>
    <w:p w14:paraId="0B511309" w14:textId="77777777" w:rsidR="00930C25" w:rsidRDefault="00930C25" w:rsidP="00930C25">
      <w:pPr>
        <w:pStyle w:val="Heading3"/>
      </w:pPr>
      <w:r>
        <w:t>A3.4 Annual Carbon Dioxide Emissions Results</w:t>
      </w:r>
    </w:p>
    <w:p w14:paraId="4053E43C" w14:textId="77777777" w:rsidR="00930C25" w:rsidRDefault="00930C25" w:rsidP="00930C25">
      <w:r>
        <w:rPr>
          <w:noProof/>
        </w:rPr>
        <w:drawing>
          <wp:inline distT="0" distB="0" distL="0" distR="0" wp14:anchorId="4B28DE17" wp14:editId="79DCEA40">
            <wp:extent cx="5486400" cy="3657600"/>
            <wp:effectExtent l="0" t="0" r="0" b="0"/>
            <wp:docPr id="386814158" name="Picture 386814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6D67B2D4" w14:textId="77777777" w:rsidR="00930C25" w:rsidRDefault="00930C25" w:rsidP="00930C25">
      <w:r>
        <w:t>Figure A10: Annual Carbon Dioxide emissions in Mali in the Fossil Future scenario</w:t>
      </w:r>
    </w:p>
    <w:p w14:paraId="3E445179" w14:textId="77777777" w:rsidR="00930C25" w:rsidRDefault="00930C25" w:rsidP="00930C25">
      <w:r>
        <w:rPr>
          <w:noProof/>
        </w:rPr>
        <w:lastRenderedPageBreak/>
        <w:drawing>
          <wp:inline distT="0" distB="0" distL="0" distR="0" wp14:anchorId="2B13878C" wp14:editId="2743C7B9">
            <wp:extent cx="5486400" cy="3657600"/>
            <wp:effectExtent l="0" t="0" r="0" b="0"/>
            <wp:docPr id="256052180" name="Picture 256052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5DF65C82" w14:textId="77777777" w:rsidR="00930C25" w:rsidRDefault="00930C25" w:rsidP="00930C25">
      <w:r>
        <w:t xml:space="preserve">Figure A11: Annual Carbon Dioxide emissions in Mali in the Least Cost scenario  </w:t>
      </w:r>
    </w:p>
    <w:p w14:paraId="4F47C0FD" w14:textId="77777777" w:rsidR="00930C25" w:rsidRDefault="00930C25" w:rsidP="00930C25">
      <w:r>
        <w:rPr>
          <w:noProof/>
        </w:rPr>
        <w:drawing>
          <wp:inline distT="0" distB="0" distL="0" distR="0" wp14:anchorId="6E51D115" wp14:editId="53CEFA67">
            <wp:extent cx="5486400" cy="3657600"/>
            <wp:effectExtent l="0" t="0" r="0" b="0"/>
            <wp:docPr id="792579319" name="Picture 792579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0EC39AFB" w14:textId="77777777" w:rsidR="00930C25" w:rsidRPr="00930C25" w:rsidRDefault="00930C25" w:rsidP="00930C25">
      <w:pPr>
        <w:rPr>
          <w:lang w:val="it-IT"/>
        </w:rPr>
      </w:pPr>
      <w:r w:rsidRPr="00930C25">
        <w:rPr>
          <w:lang w:val="it-IT"/>
        </w:rPr>
        <w:t xml:space="preserve">Figure A12: Annual Carbon Dioxide emissions in Mali in the Net Zero scenario  </w:t>
      </w:r>
    </w:p>
    <w:p w14:paraId="011D4656" w14:textId="77777777" w:rsidR="00930C25" w:rsidRDefault="00930C25" w:rsidP="00930C25">
      <w:pPr>
        <w:pStyle w:val="Heading2"/>
      </w:pPr>
      <w:r>
        <w:lastRenderedPageBreak/>
        <w:t xml:space="preserve">A4 Further Work </w:t>
      </w:r>
    </w:p>
    <w:p w14:paraId="5B1FF8BA" w14:textId="77777777" w:rsidR="00930C25" w:rsidRDefault="00930C25" w:rsidP="00930C25">
      <w:r>
        <w:t xml:space="preserve">These example results represent zero-order model and were generated using the </w:t>
      </w:r>
      <w:proofErr w:type="spellStart"/>
      <w:r>
        <w:t>clicSAND</w:t>
      </w:r>
      <w:proofErr w:type="spellEnd"/>
      <w:r>
        <w:t xml:space="preserve"> Interface [29] and </w:t>
      </w:r>
      <w:proofErr w:type="spellStart"/>
      <w:r>
        <w:t>OSeMOSYS</w:t>
      </w:r>
      <w:proofErr w:type="spellEnd"/>
      <w:r>
        <w:t xml:space="preserve"> code [30]. Those interested in further developing this work are 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7495ED35" w14:textId="77777777" w:rsidR="00930C25" w:rsidRDefault="00930C25" w:rsidP="00930C25">
      <w:r>
        <w:br w:type="page"/>
      </w:r>
    </w:p>
    <w:p w14:paraId="22D4E62F" w14:textId="77777777" w:rsidR="00930C25" w:rsidRDefault="00930C25">
      <w:bookmarkStart w:id="0" w:name="_GoBack"/>
      <w:bookmarkEnd w:id="0"/>
    </w:p>
    <w:sectPr w:rsidR="00930C25"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67F4DB" w14:textId="77777777" w:rsidR="0027106F" w:rsidRDefault="0027106F" w:rsidP="00930C25">
      <w:pPr>
        <w:spacing w:after="0" w:line="240" w:lineRule="auto"/>
      </w:pPr>
      <w:r>
        <w:separator/>
      </w:r>
    </w:p>
  </w:endnote>
  <w:endnote w:type="continuationSeparator" w:id="0">
    <w:p w14:paraId="51B21863" w14:textId="77777777" w:rsidR="0027106F" w:rsidRDefault="0027106F" w:rsidP="00930C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7EBA29" w14:textId="77777777" w:rsidR="0027106F" w:rsidRDefault="0027106F" w:rsidP="00930C25">
      <w:pPr>
        <w:spacing w:after="0" w:line="240" w:lineRule="auto"/>
      </w:pPr>
      <w:r>
        <w:separator/>
      </w:r>
    </w:p>
  </w:footnote>
  <w:footnote w:type="continuationSeparator" w:id="0">
    <w:p w14:paraId="4D765D6E" w14:textId="77777777" w:rsidR="0027106F" w:rsidRDefault="0027106F" w:rsidP="00930C25">
      <w:pPr>
        <w:spacing w:after="0" w:line="240" w:lineRule="auto"/>
      </w:pPr>
      <w:r>
        <w:continuationSeparator/>
      </w:r>
    </w:p>
  </w:footnote>
  <w:footnote w:id="1">
    <w:p w14:paraId="46693149" w14:textId="77777777" w:rsidR="00930C25" w:rsidRPr="003353D3" w:rsidRDefault="00930C25" w:rsidP="00930C25">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EA58DAA4"/>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0C25"/>
    <w:rsid w:val="0027106F"/>
    <w:rsid w:val="004B4BBA"/>
    <w:rsid w:val="00930C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1DFDA"/>
  <w15:chartTrackingRefBased/>
  <w15:docId w15:val="{8DE5F545-66BB-DE40-9ED6-185023850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30C25"/>
    <w:pPr>
      <w:spacing w:after="200" w:line="276" w:lineRule="auto"/>
    </w:pPr>
    <w:rPr>
      <w:sz w:val="22"/>
      <w:szCs w:val="22"/>
      <w:lang w:eastAsia="en-US"/>
    </w:rPr>
  </w:style>
  <w:style w:type="paragraph" w:styleId="Heading2">
    <w:name w:val="heading 2"/>
    <w:basedOn w:val="Normal"/>
    <w:next w:val="Normal"/>
    <w:link w:val="Heading2Char"/>
    <w:uiPriority w:val="9"/>
    <w:unhideWhenUsed/>
    <w:qFormat/>
    <w:rsid w:val="00930C25"/>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930C25"/>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30C25"/>
    <w:rPr>
      <w:rFonts w:asciiTheme="majorHAnsi" w:eastAsiaTheme="majorEastAsia" w:hAnsiTheme="majorHAnsi" w:cstheme="majorBidi"/>
      <w:b/>
      <w:bCs/>
      <w:color w:val="4472C4" w:themeColor="accent1"/>
      <w:sz w:val="26"/>
      <w:szCs w:val="26"/>
      <w:lang w:eastAsia="en-US"/>
    </w:rPr>
  </w:style>
  <w:style w:type="character" w:customStyle="1" w:styleId="Heading3Char">
    <w:name w:val="Heading 3 Char"/>
    <w:basedOn w:val="DefaultParagraphFont"/>
    <w:link w:val="Heading3"/>
    <w:uiPriority w:val="9"/>
    <w:rsid w:val="00930C25"/>
    <w:rPr>
      <w:rFonts w:asciiTheme="majorHAnsi" w:eastAsiaTheme="majorEastAsia" w:hAnsiTheme="majorHAnsi" w:cstheme="majorBidi"/>
      <w:b/>
      <w:bCs/>
      <w:color w:val="4472C4" w:themeColor="accent1"/>
      <w:sz w:val="22"/>
      <w:szCs w:val="22"/>
      <w:lang w:eastAsia="en-US"/>
    </w:rPr>
  </w:style>
  <w:style w:type="paragraph" w:styleId="ListBullet">
    <w:name w:val="List Bullet"/>
    <w:basedOn w:val="Normal"/>
    <w:uiPriority w:val="99"/>
    <w:unhideWhenUsed/>
    <w:rsid w:val="00930C25"/>
    <w:pPr>
      <w:numPr>
        <w:numId w:val="1"/>
      </w:numPr>
      <w:contextualSpacing/>
    </w:pPr>
  </w:style>
  <w:style w:type="table" w:styleId="TableGrid">
    <w:name w:val="Table Grid"/>
    <w:basedOn w:val="TableNormal"/>
    <w:uiPriority w:val="59"/>
    <w:rsid w:val="00930C25"/>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30C2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30C25"/>
    <w:rPr>
      <w:sz w:val="20"/>
      <w:szCs w:val="20"/>
      <w:lang w:eastAsia="en-US"/>
    </w:rPr>
  </w:style>
  <w:style w:type="character" w:styleId="FootnoteReference">
    <w:name w:val="footnote reference"/>
    <w:basedOn w:val="DefaultParagraphFont"/>
    <w:uiPriority w:val="99"/>
    <w:semiHidden/>
    <w:unhideWhenUsed/>
    <w:rsid w:val="00930C25"/>
    <w:rPr>
      <w:vertAlign w:val="superscript"/>
    </w:rPr>
  </w:style>
  <w:style w:type="character" w:customStyle="1" w:styleId="normaltextrun">
    <w:name w:val="normaltextrun"/>
    <w:basedOn w:val="DefaultParagraphFont"/>
    <w:rsid w:val="00930C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jp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1423</Words>
  <Characters>7175</Characters>
  <Application>Microsoft Office Word</Application>
  <DocSecurity>0</DocSecurity>
  <Lines>398</Lines>
  <Paragraphs>121</Paragraphs>
  <ScaleCrop>false</ScaleCrop>
  <Company/>
  <LinksUpToDate>false</LinksUpToDate>
  <CharactersWithSpaces>8477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2021-04-30T18:02:00Z</dcterms:created>
  <dcterms:modified xsi:type="dcterms:W3CDTF">2021-04-30T18:03:00Z</dcterms:modified>
</cp:coreProperties>
</file>