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 w:hAnsi="Times New Roman" w:eastAsia="MyriadPro-Light" w:cs="Times New Roman"/>
          <w:b/>
          <w:bCs/>
          <w:kern w:val="0"/>
          <w:sz w:val="32"/>
          <w:szCs w:val="32"/>
        </w:rPr>
      </w:pPr>
      <w:bookmarkStart w:id="1" w:name="_GoBack"/>
      <w:bookmarkEnd w:id="1"/>
      <w:r>
        <w:rPr>
          <w:rFonts w:ascii="Times New Roman" w:hAnsi="Times New Roman" w:eastAsia="MyriadPro-Light" w:cs="Times New Roman"/>
          <w:b/>
          <w:bCs/>
          <w:kern w:val="0"/>
          <w:sz w:val="32"/>
          <w:szCs w:val="32"/>
        </w:rPr>
        <w:t>Supplementary Materials</w:t>
      </w:r>
    </w:p>
    <w:p>
      <w:pPr>
        <w:spacing w:line="480" w:lineRule="auto"/>
        <w:rPr>
          <w:rFonts w:ascii="Times New Roman" w:hAnsi="Times New Roman" w:eastAsia="MyriadPro-Light" w:cs="Times New Roman"/>
          <w:kern w:val="0"/>
          <w:sz w:val="24"/>
        </w:rPr>
      </w:pPr>
      <w:r>
        <w:drawing>
          <wp:inline distT="0" distB="0" distL="0" distR="0">
            <wp:extent cx="5274310" cy="2711450"/>
            <wp:effectExtent l="0" t="0" r="2540" b="0"/>
            <wp:docPr id="2695701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570119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eastAsia="宋体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hAnsi="Times New Roman" w:eastAsia="MyriadPro-Light" w:cs="Times New Roman"/>
          <w:b/>
          <w:bCs/>
          <w:kern w:val="0"/>
          <w:sz w:val="20"/>
          <w:szCs w:val="20"/>
        </w:rPr>
        <w:t>Fig. S1.</w:t>
      </w:r>
      <w:r>
        <w:rPr>
          <w:rFonts w:ascii="Times New Roman" w:hAnsi="Times New Roman" w:eastAsia="MyriadPro-Light" w:cs="Times New Roman"/>
          <w:kern w:val="0"/>
          <w:sz w:val="20"/>
          <w:szCs w:val="20"/>
        </w:rPr>
        <w:t xml:space="preserve"> (</w:t>
      </w:r>
      <w:r>
        <w:rPr>
          <w:rFonts w:ascii="Times New Roman" w:hAnsi="Times New Roman" w:eastAsia="MyriadPro-Light" w:cs="Times New Roman"/>
          <w:b/>
          <w:bCs/>
          <w:kern w:val="0"/>
          <w:sz w:val="20"/>
          <w:szCs w:val="20"/>
        </w:rPr>
        <w:t>a</w:t>
      </w:r>
      <w:r>
        <w:rPr>
          <w:rFonts w:ascii="Times New Roman" w:hAnsi="Times New Roman" w:eastAsia="MyriadPro-Light" w:cs="Times New Roman"/>
          <w:kern w:val="0"/>
          <w:sz w:val="20"/>
          <w:szCs w:val="20"/>
        </w:rPr>
        <w:t>) Correlation analysis of 19 bioclimatic variables, (</w:t>
      </w:r>
      <w:r>
        <w:rPr>
          <w:rFonts w:ascii="Times New Roman" w:hAnsi="Times New Roman" w:eastAsia="MyriadPro-Light" w:cs="Times New Roman"/>
          <w:b/>
          <w:bCs/>
          <w:kern w:val="0"/>
          <w:sz w:val="20"/>
          <w:szCs w:val="20"/>
        </w:rPr>
        <w:t>b</w:t>
      </w:r>
      <w:r>
        <w:rPr>
          <w:rFonts w:ascii="Times New Roman" w:hAnsi="Times New Roman" w:eastAsia="MyriadPro-Light" w:cs="Times New Roman"/>
          <w:kern w:val="0"/>
          <w:sz w:val="20"/>
          <w:szCs w:val="20"/>
        </w:rPr>
        <w:t>) correlation analysis of 11 soil variables, and (</w:t>
      </w:r>
      <w:r>
        <w:rPr>
          <w:rFonts w:ascii="Times New Roman" w:hAnsi="Times New Roman" w:eastAsia="MyriadPro-Light" w:cs="Times New Roman"/>
          <w:b/>
          <w:bCs/>
          <w:kern w:val="0"/>
          <w:sz w:val="20"/>
          <w:szCs w:val="20"/>
        </w:rPr>
        <w:t>c</w:t>
      </w:r>
      <w:r>
        <w:rPr>
          <w:rFonts w:ascii="Times New Roman" w:hAnsi="Times New Roman" w:eastAsia="MyriadPro-Light" w:cs="Times New Roman"/>
          <w:kern w:val="0"/>
          <w:sz w:val="20"/>
          <w:szCs w:val="20"/>
        </w:rPr>
        <w:t xml:space="preserve">) correlation analysis of 3 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>topographic variables.</w:t>
      </w:r>
    </w:p>
    <w:p>
      <w:pPr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</w:p>
    <w:p>
      <w:pPr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</w:p>
    <w:p>
      <w:pPr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</w:p>
    <w:p>
      <w:pPr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</w:p>
    <w:p>
      <w:pPr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</w:p>
    <w:p>
      <w:pPr>
        <w:spacing w:line="480" w:lineRule="auto"/>
        <w:rPr>
          <w:rFonts w:ascii="Times New Roman" w:hAnsi="Times New Roman" w:eastAsia="MyriadPro-Light" w:cs="Times New Roman"/>
          <w:kern w:val="0"/>
          <w:sz w:val="24"/>
        </w:rPr>
      </w:pPr>
      <w:r>
        <w:drawing>
          <wp:inline distT="0" distB="0" distL="0" distR="0">
            <wp:extent cx="4701540" cy="4040505"/>
            <wp:effectExtent l="0" t="0" r="3810" b="0"/>
            <wp:docPr id="587662679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ind w:firstLine="1801" w:firstLineChars="900"/>
        <w:rPr>
          <w:rFonts w:ascii="Times New Roman" w:hAnsi="Times New Roman" w:eastAsia="MyriadPro-Light" w:cs="Times New Roman"/>
          <w:kern w:val="0"/>
          <w:sz w:val="20"/>
          <w:szCs w:val="20"/>
        </w:rPr>
      </w:pPr>
      <w:r>
        <w:rPr>
          <w:rFonts w:ascii="Times New Roman" w:hAnsi="Times New Roman" w:eastAsia="MyriadPro-Light" w:cs="Times New Roman"/>
          <w:b/>
          <w:bCs/>
          <w:kern w:val="0"/>
          <w:sz w:val="20"/>
          <w:szCs w:val="20"/>
        </w:rPr>
        <w:t xml:space="preserve">Fig. S2. </w:t>
      </w:r>
      <w:r>
        <w:rPr>
          <w:rFonts w:ascii="Times New Roman" w:hAnsi="Times New Roman" w:eastAsia="MyriadPro-Light" w:cs="Times New Roman"/>
          <w:kern w:val="0"/>
          <w:sz w:val="20"/>
          <w:szCs w:val="20"/>
        </w:rPr>
        <w:t xml:space="preserve">The standard curve of </w:t>
      </w:r>
      <w:r>
        <w:rPr>
          <w:rFonts w:ascii="Times New Roman" w:hAnsi="Times New Roman" w:eastAsia="MyriadPro-Light" w:cs="Times New Roman"/>
          <w:i/>
          <w:iCs/>
          <w:kern w:val="0"/>
          <w:sz w:val="20"/>
          <w:szCs w:val="20"/>
        </w:rPr>
        <w:t>trans</w:t>
      </w:r>
      <w:r>
        <w:rPr>
          <w:rFonts w:ascii="Times New Roman" w:hAnsi="Times New Roman" w:eastAsia="MyriadPro-Light" w:cs="Times New Roman"/>
          <w:kern w:val="0"/>
          <w:sz w:val="20"/>
          <w:szCs w:val="20"/>
        </w:rPr>
        <w:t>-cinnamaldehyde.</w:t>
      </w:r>
    </w:p>
    <w:p>
      <w:pPr>
        <w:spacing w:line="480" w:lineRule="auto"/>
        <w:rPr>
          <w:rFonts w:ascii="Times New Roman" w:hAnsi="Times New Roman" w:eastAsia="MyriadPro-Light" w:cs="Times New Roman"/>
          <w:kern w:val="0"/>
          <w:sz w:val="20"/>
          <w:szCs w:val="20"/>
        </w:rPr>
      </w:pPr>
    </w:p>
    <w:p>
      <w:pPr>
        <w:spacing w:line="480" w:lineRule="auto"/>
        <w:rPr>
          <w:rFonts w:ascii="Times New Roman" w:hAnsi="Times New Roman" w:eastAsia="MyriadPro-Light" w:cs="Times New Roman"/>
          <w:kern w:val="0"/>
          <w:sz w:val="20"/>
          <w:szCs w:val="20"/>
        </w:rPr>
      </w:pPr>
      <w:r>
        <w:drawing>
          <wp:inline distT="0" distB="0" distL="0" distR="0">
            <wp:extent cx="5274310" cy="6593205"/>
            <wp:effectExtent l="0" t="0" r="2540" b="0"/>
            <wp:docPr id="9375512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51268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9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Times New Roman" w:hAnsi="Times New Roman" w:eastAsia="MyriadPro-Light" w:cs="Times New Roman"/>
          <w:kern w:val="0"/>
          <w:sz w:val="20"/>
          <w:szCs w:val="20"/>
        </w:rPr>
      </w:pPr>
      <w:r>
        <w:rPr>
          <w:rFonts w:ascii="Times New Roman" w:hAnsi="Times New Roman" w:eastAsia="MyriadPro-Light" w:cs="Times New Roman"/>
          <w:b/>
          <w:bCs/>
          <w:kern w:val="0"/>
          <w:sz w:val="20"/>
          <w:szCs w:val="20"/>
        </w:rPr>
        <w:t>Fig. S3.</w:t>
      </w:r>
      <w:r>
        <w:rPr>
          <w:rFonts w:ascii="Times New Roman" w:hAnsi="Times New Roman" w:eastAsia="MyriadPro-Light" w:cs="Times New Roman"/>
          <w:kern w:val="0"/>
          <w:sz w:val="20"/>
          <w:szCs w:val="20"/>
        </w:rPr>
        <w:t xml:space="preserve"> The average receiver operating characteristic (ROC) curve of the training set and test set of the model in different climate scenarios.</w:t>
      </w:r>
    </w:p>
    <w:p>
      <w:pPr>
        <w:spacing w:line="480" w:lineRule="auto"/>
        <w:rPr>
          <w:rFonts w:ascii="Times New Roman" w:hAnsi="Times New Roman" w:eastAsia="MyriadPro-Light" w:cs="Times New Roman"/>
          <w:kern w:val="0"/>
          <w:sz w:val="20"/>
          <w:szCs w:val="20"/>
        </w:rPr>
      </w:pPr>
    </w:p>
    <w:p>
      <w:pPr>
        <w:spacing w:line="480" w:lineRule="auto"/>
        <w:rPr>
          <w:rFonts w:ascii="Times New Roman" w:hAnsi="Times New Roman" w:eastAsia="MyriadPro-Light" w:cs="Times New Roman"/>
          <w:kern w:val="0"/>
          <w:sz w:val="20"/>
          <w:szCs w:val="20"/>
        </w:rPr>
      </w:pPr>
    </w:p>
    <w:p>
      <w:pPr>
        <w:spacing w:line="480" w:lineRule="auto"/>
        <w:rPr>
          <w:rFonts w:ascii="Times New Roman" w:hAnsi="Times New Roman" w:eastAsia="MyriadPro-Light" w:cs="Times New Roman"/>
          <w:kern w:val="0"/>
          <w:sz w:val="20"/>
          <w:szCs w:val="20"/>
        </w:rPr>
      </w:pPr>
    </w:p>
    <w:p>
      <w:pPr>
        <w:jc w:val="left"/>
        <w:rPr>
          <w:rFonts w:ascii="Times New Roman" w:hAnsi="Times New Roman" w:eastAsia="MyriadPro-Light" w:cs="Times New Roman"/>
          <w:kern w:val="0"/>
          <w:sz w:val="20"/>
          <w:szCs w:val="20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485140</wp:posOffset>
            </wp:positionH>
            <wp:positionV relativeFrom="paragraph">
              <wp:posOffset>27305</wp:posOffset>
            </wp:positionV>
            <wp:extent cx="4304665" cy="3046095"/>
            <wp:effectExtent l="0" t="0" r="1270" b="1905"/>
            <wp:wrapNone/>
            <wp:docPr id="133649444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494449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0797" cy="305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left"/>
        <w:rPr>
          <w:rFonts w:ascii="Times New Roman" w:hAnsi="Times New Roman" w:eastAsia="MyriadPro-Light" w:cs="Times New Roman"/>
          <w:kern w:val="0"/>
          <w:sz w:val="20"/>
          <w:szCs w:val="20"/>
        </w:rPr>
      </w:pPr>
    </w:p>
    <w:p>
      <w:pPr>
        <w:jc w:val="left"/>
        <w:rPr>
          <w:rFonts w:ascii="Times New Roman" w:hAnsi="Times New Roman" w:eastAsia="MyriadPro-Light" w:cs="Times New Roman"/>
          <w:kern w:val="0"/>
          <w:sz w:val="20"/>
          <w:szCs w:val="20"/>
        </w:rPr>
      </w:pPr>
    </w:p>
    <w:p>
      <w:pPr>
        <w:jc w:val="left"/>
        <w:rPr>
          <w:rFonts w:ascii="Times New Roman" w:hAnsi="Times New Roman" w:eastAsia="MyriadPro-Light" w:cs="Times New Roman"/>
          <w:kern w:val="0"/>
          <w:sz w:val="20"/>
          <w:szCs w:val="20"/>
        </w:rPr>
      </w:pPr>
    </w:p>
    <w:p>
      <w:pPr>
        <w:jc w:val="left"/>
        <w:rPr>
          <w:rFonts w:ascii="Times New Roman" w:hAnsi="Times New Roman" w:eastAsia="MyriadPro-Light" w:cs="Times New Roman"/>
          <w:kern w:val="0"/>
          <w:sz w:val="20"/>
          <w:szCs w:val="20"/>
        </w:rPr>
      </w:pPr>
    </w:p>
    <w:p>
      <w:pPr>
        <w:jc w:val="left"/>
        <w:rPr>
          <w:rFonts w:ascii="Times New Roman" w:hAnsi="Times New Roman" w:eastAsia="MyriadPro-Light" w:cs="Times New Roman"/>
          <w:kern w:val="0"/>
          <w:sz w:val="20"/>
          <w:szCs w:val="20"/>
        </w:rPr>
      </w:pPr>
    </w:p>
    <w:p>
      <w:pPr>
        <w:jc w:val="left"/>
        <w:rPr>
          <w:rFonts w:ascii="Times New Roman" w:hAnsi="Times New Roman" w:eastAsia="MyriadPro-Light" w:cs="Times New Roman"/>
          <w:kern w:val="0"/>
          <w:sz w:val="20"/>
          <w:szCs w:val="20"/>
        </w:rPr>
      </w:pPr>
    </w:p>
    <w:p>
      <w:pPr>
        <w:jc w:val="left"/>
        <w:rPr>
          <w:rFonts w:ascii="Times New Roman" w:hAnsi="Times New Roman" w:eastAsia="MyriadPro-Light" w:cs="Times New Roman"/>
          <w:kern w:val="0"/>
          <w:sz w:val="20"/>
          <w:szCs w:val="20"/>
        </w:rPr>
      </w:pPr>
    </w:p>
    <w:p>
      <w:pPr>
        <w:jc w:val="left"/>
        <w:rPr>
          <w:rFonts w:ascii="Times New Roman" w:hAnsi="Times New Roman" w:eastAsia="MyriadPro-Light" w:cs="Times New Roman"/>
          <w:kern w:val="0"/>
          <w:sz w:val="20"/>
          <w:szCs w:val="20"/>
        </w:rPr>
      </w:pPr>
    </w:p>
    <w:p>
      <w:pPr>
        <w:jc w:val="left"/>
        <w:rPr>
          <w:rFonts w:ascii="Times New Roman" w:hAnsi="Times New Roman" w:eastAsia="MyriadPro-Light" w:cs="Times New Roman"/>
          <w:kern w:val="0"/>
          <w:sz w:val="20"/>
          <w:szCs w:val="20"/>
        </w:rPr>
      </w:pPr>
    </w:p>
    <w:p>
      <w:pPr>
        <w:jc w:val="left"/>
        <w:rPr>
          <w:rFonts w:ascii="Times New Roman" w:hAnsi="Times New Roman" w:eastAsia="MyriadPro-Light" w:cs="Times New Roman"/>
          <w:kern w:val="0"/>
          <w:sz w:val="20"/>
          <w:szCs w:val="20"/>
        </w:rPr>
      </w:pPr>
    </w:p>
    <w:p>
      <w:pPr>
        <w:jc w:val="left"/>
        <w:rPr>
          <w:rFonts w:ascii="Times New Roman" w:hAnsi="Times New Roman" w:eastAsia="MyriadPro-Light" w:cs="Times New Roman"/>
          <w:kern w:val="0"/>
          <w:sz w:val="20"/>
          <w:szCs w:val="20"/>
        </w:rPr>
      </w:pPr>
    </w:p>
    <w:p>
      <w:pPr>
        <w:jc w:val="left"/>
        <w:rPr>
          <w:rFonts w:ascii="Times New Roman" w:hAnsi="Times New Roman" w:eastAsia="MyriadPro-Light" w:cs="Times New Roman"/>
          <w:kern w:val="0"/>
          <w:sz w:val="20"/>
          <w:szCs w:val="20"/>
        </w:rPr>
      </w:pPr>
    </w:p>
    <w:p>
      <w:pPr>
        <w:jc w:val="left"/>
        <w:rPr>
          <w:rFonts w:ascii="Times New Roman" w:hAnsi="Times New Roman" w:eastAsia="MyriadPro-Light" w:cs="Times New Roman"/>
          <w:kern w:val="0"/>
          <w:sz w:val="20"/>
          <w:szCs w:val="20"/>
        </w:rPr>
      </w:pPr>
    </w:p>
    <w:p>
      <w:pPr>
        <w:jc w:val="left"/>
        <w:rPr>
          <w:rFonts w:ascii="Times New Roman" w:hAnsi="Times New Roman" w:eastAsia="MyriadPro-Light" w:cs="Times New Roman"/>
          <w:kern w:val="0"/>
          <w:sz w:val="20"/>
          <w:szCs w:val="20"/>
        </w:rPr>
      </w:pPr>
    </w:p>
    <w:p>
      <w:pPr>
        <w:jc w:val="left"/>
        <w:rPr>
          <w:rFonts w:ascii="Times New Roman" w:hAnsi="Times New Roman" w:eastAsia="MyriadPro-Light" w:cs="Times New Roman"/>
          <w:kern w:val="0"/>
          <w:sz w:val="20"/>
          <w:szCs w:val="20"/>
        </w:rPr>
      </w:pPr>
    </w:p>
    <w:p>
      <w:pPr>
        <w:jc w:val="center"/>
        <w:rPr>
          <w:rFonts w:ascii="Times New Roman" w:hAnsi="Times New Roman" w:eastAsia="MyriadPro-Light" w:cs="Times New Roman"/>
          <w:kern w:val="0"/>
          <w:sz w:val="20"/>
          <w:szCs w:val="20"/>
        </w:rPr>
      </w:pPr>
      <w:r>
        <w:rPr>
          <w:rFonts w:ascii="Times New Roman" w:hAnsi="Times New Roman" w:eastAsia="MyriadPro-Light" w:cs="Times New Roman"/>
          <w:b/>
          <w:bCs/>
          <w:kern w:val="0"/>
          <w:sz w:val="20"/>
          <w:szCs w:val="20"/>
        </w:rPr>
        <w:t>Fig. S4.</w:t>
      </w:r>
      <w:r>
        <w:rPr>
          <w:rFonts w:ascii="Times New Roman" w:hAnsi="Times New Roman" w:eastAsia="MyriadPro-Light" w:cs="Times New Roman"/>
          <w:kern w:val="0"/>
          <w:sz w:val="20"/>
          <w:szCs w:val="20"/>
        </w:rPr>
        <w:t xml:space="preserve"> Results of the jackknife test of variables’ contribution in modelling potentive distribution of </w:t>
      </w:r>
      <w:r>
        <w:rPr>
          <w:rFonts w:ascii="Times New Roman" w:hAnsi="Times New Roman" w:eastAsia="MyriadPro-Light" w:cs="Times New Roman"/>
          <w:i/>
          <w:iCs/>
          <w:kern w:val="0"/>
          <w:sz w:val="20"/>
          <w:szCs w:val="20"/>
        </w:rPr>
        <w:t>C</w:t>
      </w:r>
      <w:r>
        <w:rPr>
          <w:rFonts w:hint="eastAsia" w:ascii="Times New Roman" w:hAnsi="Times New Roman" w:eastAsia="MyriadPro-Light" w:cs="Times New Roman"/>
          <w:i/>
          <w:iCs/>
          <w:kern w:val="0"/>
          <w:sz w:val="20"/>
          <w:szCs w:val="20"/>
        </w:rPr>
        <w:t>.</w:t>
      </w:r>
      <w:r>
        <w:rPr>
          <w:rFonts w:ascii="Times New Roman" w:hAnsi="Times New Roman" w:eastAsia="MyriadPro-Light" w:cs="Times New Roman"/>
          <w:i/>
          <w:iCs/>
          <w:kern w:val="0"/>
          <w:sz w:val="20"/>
          <w:szCs w:val="20"/>
        </w:rPr>
        <w:t xml:space="preserve"> cassia</w:t>
      </w:r>
      <w:r>
        <w:rPr>
          <w:rFonts w:ascii="Times New Roman" w:hAnsi="Times New Roman" w:eastAsia="MyriadPro-Light" w:cs="Times New Roman"/>
          <w:kern w:val="0"/>
          <w:sz w:val="20"/>
          <w:szCs w:val="20"/>
        </w:rPr>
        <w:t>.</w:t>
      </w:r>
    </w:p>
    <w:p>
      <w:pPr>
        <w:spacing w:line="480" w:lineRule="auto"/>
        <w:rPr>
          <w:rFonts w:ascii="Times New Roman" w:hAnsi="Times New Roman" w:eastAsia="MyriadPro-Light" w:cs="Times New Roman"/>
          <w:kern w:val="0"/>
          <w:sz w:val="20"/>
          <w:szCs w:val="20"/>
        </w:rPr>
      </w:pPr>
    </w:p>
    <w:p>
      <w:pPr>
        <w:spacing w:line="480" w:lineRule="auto"/>
        <w:jc w:val="center"/>
        <w:rPr>
          <w:rFonts w:ascii="Times New Roman" w:hAnsi="Times New Roman" w:eastAsia="宋体" w:cs="Times New Roman"/>
          <w:kern w:val="0"/>
          <w:sz w:val="20"/>
          <w:szCs w:val="20"/>
        </w:rPr>
      </w:pPr>
      <w:r>
        <w:drawing>
          <wp:inline distT="0" distB="0" distL="0" distR="0">
            <wp:extent cx="5274310" cy="7602220"/>
            <wp:effectExtent l="0" t="0" r="2540" b="0"/>
            <wp:docPr id="144866680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666805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0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ind w:firstLine="1601" w:firstLineChars="800"/>
        <w:rPr>
          <w:rFonts w:ascii="Times New Roman" w:hAnsi="Times New Roman" w:eastAsia="宋体" w:cs="Times New Roman"/>
          <w:kern w:val="0"/>
          <w:sz w:val="20"/>
          <w:szCs w:val="20"/>
        </w:rPr>
      </w:pPr>
      <w:r>
        <w:rPr>
          <w:rFonts w:ascii="Times New Roman" w:hAnsi="Times New Roman" w:eastAsia="MyriadPro-Light" w:cs="Times New Roman"/>
          <w:b/>
          <w:bCs/>
          <w:kern w:val="0"/>
          <w:sz w:val="20"/>
          <w:szCs w:val="20"/>
        </w:rPr>
        <w:t xml:space="preserve">Fig. S5. </w:t>
      </w:r>
      <w:r>
        <w:rPr>
          <w:rFonts w:ascii="Times New Roman" w:hAnsi="Times New Roman" w:eastAsia="宋体" w:cs="Times New Roman"/>
          <w:kern w:val="0"/>
          <w:sz w:val="20"/>
          <w:szCs w:val="20"/>
        </w:rPr>
        <w:t xml:space="preserve">The response curves of 16 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>environment variables</w:t>
      </w:r>
      <w:r>
        <w:rPr>
          <w:rFonts w:ascii="Times New Roman" w:hAnsi="Times New Roman" w:eastAsia="宋体" w:cs="Times New Roman"/>
          <w:kern w:val="0"/>
          <w:sz w:val="20"/>
          <w:szCs w:val="20"/>
        </w:rPr>
        <w:t>.</w:t>
      </w:r>
    </w:p>
    <w:p>
      <w:pPr>
        <w:rPr>
          <w:rFonts w:ascii="Times New Roman" w:hAnsi="Times New Roman" w:eastAsia="MyriadPro-Light" w:cs="Times New Roman"/>
          <w:kern w:val="0"/>
          <w:sz w:val="20"/>
          <w:szCs w:val="20"/>
        </w:rPr>
      </w:pPr>
    </w:p>
    <w:p>
      <w:pPr>
        <w:rPr>
          <w:rFonts w:ascii="Times New Roman" w:hAnsi="Times New Roman" w:eastAsia="MyriadPro-Light" w:cs="Times New Roman"/>
          <w:kern w:val="0"/>
          <w:sz w:val="20"/>
          <w:szCs w:val="20"/>
        </w:rPr>
      </w:pPr>
    </w:p>
    <w:p>
      <w:pPr>
        <w:rPr>
          <w:rFonts w:ascii="Times New Roman" w:hAnsi="Times New Roman" w:eastAsia="MyriadPro-Light" w:cs="Times New Roman"/>
          <w:kern w:val="0"/>
          <w:sz w:val="20"/>
          <w:szCs w:val="20"/>
        </w:rPr>
      </w:pPr>
    </w:p>
    <w:p>
      <w:pPr>
        <w:rPr>
          <w:rFonts w:ascii="Times New Roman" w:hAnsi="Times New Roman" w:eastAsia="MyriadPro-Light" w:cs="Times New Roman"/>
          <w:kern w:val="0"/>
          <w:sz w:val="20"/>
          <w:szCs w:val="20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Times New Roman" w:hAnsi="Times New Roman" w:eastAsia="MyriadPro-Light" w:cs="Times New Roman"/>
          <w:kern w:val="0"/>
          <w:sz w:val="20"/>
          <w:szCs w:val="20"/>
        </w:rPr>
      </w:pPr>
      <w:r>
        <w:rPr>
          <w:rFonts w:ascii="Times New Roman" w:hAnsi="Times New Roman" w:eastAsia="MyriadPro-Light" w:cs="Times New Roman"/>
          <w:b/>
          <w:bCs/>
          <w:kern w:val="0"/>
          <w:sz w:val="20"/>
          <w:szCs w:val="20"/>
        </w:rPr>
        <w:t>Table S1</w:t>
      </w:r>
      <w:r>
        <w:rPr>
          <w:rFonts w:ascii="Times New Roman" w:hAnsi="Times New Roman" w:eastAsia="MyriadPro-Light" w:cs="Times New Roman"/>
          <w:kern w:val="0"/>
          <w:sz w:val="20"/>
          <w:szCs w:val="20"/>
        </w:rPr>
        <w:t xml:space="preserve"> The 158 valid occurrence records of </w:t>
      </w:r>
      <w:r>
        <w:rPr>
          <w:rFonts w:ascii="Times New Roman" w:hAnsi="Times New Roman" w:cs="Times New Roman"/>
          <w:i/>
          <w:iCs/>
          <w:sz w:val="20"/>
          <w:szCs w:val="20"/>
        </w:rPr>
        <w:t>C. cassia</w:t>
      </w:r>
      <w:r>
        <w:rPr>
          <w:rFonts w:ascii="Times New Roman" w:hAnsi="Times New Roman" w:eastAsia="MyriadPro-Light" w:cs="Times New Roman"/>
          <w:i/>
          <w:iCs/>
          <w:kern w:val="0"/>
          <w:sz w:val="20"/>
          <w:szCs w:val="20"/>
        </w:rPr>
        <w:t>.</w:t>
      </w:r>
    </w:p>
    <w:tbl>
      <w:tblPr>
        <w:tblStyle w:val="4"/>
        <w:tblW w:w="14076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4914"/>
        <w:gridCol w:w="1126"/>
        <w:gridCol w:w="992"/>
        <w:gridCol w:w="1799"/>
        <w:gridCol w:w="44"/>
        <w:gridCol w:w="2268"/>
        <w:gridCol w:w="992"/>
        <w:gridCol w:w="14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25" w:type="dxa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No.</w:t>
            </w:r>
          </w:p>
        </w:tc>
        <w:tc>
          <w:tcPr>
            <w:tcW w:w="4914" w:type="dxa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Occurrence records</w:t>
            </w:r>
          </w:p>
        </w:tc>
        <w:tc>
          <w:tcPr>
            <w:tcW w:w="1126" w:type="dxa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Longitude</w:t>
            </w:r>
          </w:p>
        </w:tc>
        <w:tc>
          <w:tcPr>
            <w:tcW w:w="992" w:type="dxa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Latitude</w:t>
            </w:r>
          </w:p>
        </w:tc>
        <w:tc>
          <w:tcPr>
            <w:tcW w:w="1843" w:type="dxa"/>
            <w:gridSpan w:val="2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Specimen ID</w:t>
            </w:r>
          </w:p>
        </w:tc>
        <w:tc>
          <w:tcPr>
            <w:tcW w:w="2268" w:type="dxa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Gatherer</w:t>
            </w:r>
          </w:p>
        </w:tc>
        <w:tc>
          <w:tcPr>
            <w:tcW w:w="992" w:type="dxa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Time</w:t>
            </w:r>
          </w:p>
        </w:tc>
        <w:tc>
          <w:tcPr>
            <w:tcW w:w="1416" w:type="dxa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Information sources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525" w:type="dxa"/>
            <w:tcBorders>
              <w:top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</w:t>
            </w:r>
          </w:p>
        </w:tc>
        <w:tc>
          <w:tcPr>
            <w:tcW w:w="4914" w:type="dxa"/>
            <w:tcBorders>
              <w:top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Huang Mount, Anhui, China</w:t>
            </w:r>
          </w:p>
        </w:tc>
        <w:tc>
          <w:tcPr>
            <w:tcW w:w="1126" w:type="dxa"/>
            <w:tcBorders>
              <w:top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118.1476</w:t>
            </w:r>
          </w:p>
        </w:tc>
        <w:tc>
          <w:tcPr>
            <w:tcW w:w="992" w:type="dxa"/>
            <w:tcBorders>
              <w:top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30.27865</w:t>
            </w:r>
          </w:p>
        </w:tc>
        <w:tc>
          <w:tcPr>
            <w:tcW w:w="1799" w:type="dxa"/>
            <w:tcBorders>
              <w:top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992" w:type="dxa"/>
            <w:tcBorders>
              <w:top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197907</w:t>
            </w:r>
          </w:p>
        </w:tc>
        <w:tc>
          <w:tcPr>
            <w:tcW w:w="1416" w:type="dxa"/>
            <w:tcBorders>
              <w:top w:val="single" w:color="000000" w:sz="8" w:space="0"/>
            </w:tcBorders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Southern Anhui,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117.3305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31.73429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30144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195008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Beijing,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116.3855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39.87128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BJTC037871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Biological Park of Beijing Normal University, Haidian District, Beijing,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116.3054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39.96549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Q.R. Liu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200806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Yongtai County, Fuzhou, Fujian,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118.9384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25.87279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Provincial Southern Medicine Team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197606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Maodi Town, Yangping District, Nanping, Fujian,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118.0867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26.70884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296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Q.J. Wang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195508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Anxi County, Quanzhou, Fujian,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118.1924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25.06176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2363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Fujian Comprehensive Examination Tam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196505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Xiamen, Fujian,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118.0964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24.48541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245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G.D. Ye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197703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Tongan County, Xiamen, Fujian,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118.1586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24.72911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7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Provincial Southern Medicine Team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197605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Fuzhou Arboretum, Fujian,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119.3035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26.08043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1186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G.G. Tang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198901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11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Xianfeng Ling, Wuyi Mount, Nanping, Fujian,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117.6672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27.7128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10144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J.Y. Liu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198208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12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Jinshan Forest Farm, Hua’an County, Zhangzhou, Fujian,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117.52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24.92372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D.W. Guo, H.S. Pan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198005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13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Lingtong, Da xi town, Pinghe County, Zhangzhou, Fujian,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117.1534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24.1613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ZXF38121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X.F. Zeng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201807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14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Jinxingxiang Forest Farm, Zhao’an County, Zhangzhou, Fujian,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117.2679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23.76531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Provincial Southern Medicine Team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197606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Jinshan Forest Farm, Hua’an County, Zhangzhou, Fujian,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333333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117.519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24.92399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0094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G.S. He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197911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Nanjing County, Zhangzhou, Fujian,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117.3634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24.52085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6177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W.X. Li, B.L. Liu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200706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17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South China Botanical Garden, Guangzhou, Guangdong,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113.2714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23.13534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3489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X.Q. Liu, C.X. Zeng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199804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18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Gaoyao District, Zhaoqing, Guangdong,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112.4648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23.03098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0144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L.D. Qiu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195606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19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Danzhai County, Qiandongnan Miao and Dong Autonomous Prefecture, Guizhou,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107.7955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26.20442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H-黔丹寨-Z-064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T.R. Cheng, Q.Y. Zhang,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201104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20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Anlong County, Qiannan Buyi and Miao Autonomous Prefecture, Guizhou,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105.4495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25.10399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049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Anshun Team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195907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21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Doupeng Mount, Guiyang, Guizhou,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106.6047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26.62258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200811012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D.K. Wang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200806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22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Liping County, Qiandongnan Miao and Dong Autonomous Prefecture, Guizhou,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109.1436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26.23687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52263120190823751LY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Q.R. Li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201908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23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MaolanGuo, Libo County, Qiannan Buyi and Miao Autonomous Prefecture, Guizhou,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107.9561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25.24537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20183152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J.J. Li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201804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24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Taohuayuan Village, Wuluo Town, Songtao County, Guizhou,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108.8005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27.95975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522229141016717LY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J. Li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201410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25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Lao Lingou, Renhuai, Zunyi, Guizhou,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106.4075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27.79775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MT461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Z.X. Zhao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201103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26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Xishui County, Zunyi, Guizhou,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106.2034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28.33912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520330160428017 LY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F.G. Zhao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201604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27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Chinese Academy of Tropical Agricultural Sciences, Dan County, Danzhou, Hainan,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109.5104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19.51804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2829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Ministry of Science and Technology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199403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28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Jianfeng Hill, Dongfang, Hainan,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108.6586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19.1011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7652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B.M. Zhang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195105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29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Jianfeng, Ledong Li Autonomous County,Hainan,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108.9092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18.73047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990222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S.X. Huang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199905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30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Dalao Mount, Yichang, Hubei,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110.9313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31.0723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YC-109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X.Y. Mu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200805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31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Jiugong Mountain, Tongshan County, Xianning, Hubei,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114.6615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29.39698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081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J. Wang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200006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32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Xinning County, Shaoyang, Hunan,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110.8635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26.43972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S.L. Wang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195611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33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Baisha Township, Yizhang County, Bangzhou, Hunan,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112.9058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25.10252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233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W.C. Chen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198605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34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Tianzi Mount, Wulingyuan District, Zhangjiajie, Hunan,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110.4503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29.40724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715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X.B. Yin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200209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35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Shuangpai County, Yongzhou, Hunan,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111.6676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25.96717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20010337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J.X. Li, Q.H. Xu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200104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36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Yanling County, Zhuzhou, Hunan,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113.7794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26.49606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LXP13--4367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 Liu,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201307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37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Gulou District, Nanjing, Jiangsu,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118.7765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32.07241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38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Zhongshan Botanical Garden System Garden, Xuanwu District, Nanjing, Jiangsu,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118.8044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32.05476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05157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Q.X. Liu,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200505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39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You Mount, Xinfeng County, Ganzhou, Jiangxi,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114.7116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25.41453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X.L. Wu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198307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40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Xinfeng County, Ganzhou, Jiangxi,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114.9295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25.39198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LXP-13-15595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W.B. Liao,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201409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41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Yongxin County, Jian, Jiangxi,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114.2494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26.95154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Lxp-13-07714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W.Y. Zhao,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201504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42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Fuliang County, Jingdezhen, Jiangxi,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117.2215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29.35779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933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C. Chen, Q.H. Li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195905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43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Under forest near South Tianmen, Dajue Mount, Zixi County, Fuzhou, Jiangxi,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117.1499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27.70274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F389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C. Fu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201606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44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Qiyun Mount Nature Reserve, Sishun Township, Chongyi County, Ganzhou, Jiangxi,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333333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114.0444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25.83515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LXP03-05452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Y.Y. Cong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201408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45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Tianhua Mount, Guixi, Yingtan, Jiangxi,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117.3211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27.96218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03832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M.X. Nie, S.S. Lai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195807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46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Emei Mount, Leshan, Sichuan,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103.4916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29.60698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060803019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H.P. Chen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200608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47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Shigang Forest farm, Luzhou, Sichuan,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105.3992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29.17501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801437-03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Z.Y. Liu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198007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48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Nanxi District, Yibin, Sichuan,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104.9203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28.96665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Ying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Unknwon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49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Shigang Forest farm, Pingshan County, Yibin, Sichuan,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103.7145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28.62764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0126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Luxian Team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197706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50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Taiwan,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121.5746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25.04094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981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Chih-Hui Chen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199107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51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HongKong,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114.1768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22.30918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Unknwon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Ford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52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Funing County, Yunnan,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105.6375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23.63138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5326281603040716LY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Funing census team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201603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53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Hekou County, Yunnan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103.967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22.51532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87510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B.Q. Cheng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198705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54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Malipo County, Yunnan,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104.7096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23.13159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5326240215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Malipo census team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201603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55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Maguan County, Yunnan,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104.4004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23.01899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5326250299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Maguan County census team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201505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56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Pingbian County, Yunnan,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103.6822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22.99482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5325231232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Pingbian county Chinese medicine resources survey team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201209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57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Jiangcheng County, Puer, Yunnan,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100.9726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22.83098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5308260328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Jiangcheng County census team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201206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58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Jinggu County, Puer, Yunnan,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100.6288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23.74012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YN2429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Z.X. Peng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200703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59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Menglian County, Puer, Yunnan,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99.59087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22.33536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YN2426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J.K. Ye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200703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60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Ruili, Yunnan,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97.86249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24.02282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1326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J.S. Yang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195411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61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Jinghong, Yunnan,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100.8064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22.017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00769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S.R. Guo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62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Mengwang, Yunnan,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333333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101.3003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22.495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19741103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X.W. Ren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197411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63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Dameonglong, Jinghong County, Xishuangbanna Prefecture, Yunnan,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100.6864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21.58614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S.R. Guo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64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Tropical Botanical Garden, Menglun Town, Mengla County, Xishuangbanna Prefecture, Yunnan,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101.263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21.9316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19402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J.Y. Cui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197911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65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Tangcun Town, Chun 'an County, Hangzhou, Zhejiang,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118.8632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29.81091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54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Chun 'an County drug census team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196010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66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Tianmu Mount, Lin’an District, Hangzhou, Zhejiang,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119.4365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30.35379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29099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L.S. Que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195908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67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Yin County, Haishu District, Ningbo, Zhejiang,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121.4733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29.83839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134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Ningbo medicinal materials resources survey team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196009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68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Tiantong Village, Ningbo, Zhejiang,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121.7846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29.7938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28757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Zhejiang plant resources survey team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195908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69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Lingyin Tao Guang Temple, Xihu District, Hangzhou, Zhejiang,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120.1073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30.24708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3828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R.Q. Hu, Z.H. Lin,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197305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70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Siyan well, Xihu District, Hangzhou, Zhejiang,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120.1423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30.22178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59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Lu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71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Yuhuang Mount, Xihu District, Hangzhou, Zhejiang,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120.1615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30.22488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39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Wang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72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Yunxi, Xihu District, Hangzhou, Zhejiang,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120.0942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30.1355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1398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196109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73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Siming Mount, Yuyao, Ningbo, Zhejiang,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121.0929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29.73133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7557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74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Kaihua County, Quzhou, Zhejiang,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118.4215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29.14319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3189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196410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75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Siming Mount, Zhejiang,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333333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120.9925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29.63902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399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196009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76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Leqing County, Wenzhou, Zhejiang,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120.9925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28.11818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3268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196009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77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Shanmen Town, Pingyang County, Wenzhou, Zhejiang,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120.2474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27.64026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4745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196010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78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Taishun County, Wenzhou, Zhejiang,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119.7235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27.56217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8191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196205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79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Jinfo Mountain National Nature Reserve, Nanchuan District, Chongqing,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107.1345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29.05536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19186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Z.Y. Liu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199605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80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Maoqiao, Qingxiu District, Nanning,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108.3692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22.84029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D.M. Su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198307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81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Daming Mount, Shanglin County, Nanning,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108.446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23.50232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D3401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L. Wu, J.C. Yang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201110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82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Jinxiu County, Laibin,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110.1953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24.13598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18567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M.S. Wei, Y.F. Huang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200805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83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Daxin County, Chongzuo,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107.2076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22.83623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7693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X.C. Huang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197808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84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Luocheng County,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108.9116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24.78308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451225130430032LY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Luocheng County census team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201304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85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Longzhou County,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106.8606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22.3483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H.X. Qiu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197610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86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Mian Liang Village, Napo County, Baise,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105.6126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23.14624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451026121227067LY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H.Z. LV, Y.D. Peng,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201212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87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Ningming,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107.0835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22.14589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451422130122002LY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D.X. Nong, X.Y. Huang,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201301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88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Rongshui County,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109.1745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25.39539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Y2133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Yuanbao Mount comprehensive expedition team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200511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89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Yangshuo County,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110.5035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24.78452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A60805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S.Q. Zhong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195609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90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Dongxing,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107.9775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21.55361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81876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Institute of plant Sciences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197211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91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Debao County,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106.6216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23.32899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602090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Z.T. Li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195812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92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Pingle County,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110.6495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24.63963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402300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Y.K. Li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195810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93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Zhaoping County,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110.8176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24.17511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4321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C.C. Jiang, M.S. Xia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195708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94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Jingxi County,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106.4245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23.14013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810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Y.C. Chen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195811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95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Teng County,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110.9366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23.37654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11562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S.Y. Li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196011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96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Bobai County,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109.9826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22.27868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16139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F.Q. Chen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196011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97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Qinbei District,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108.6385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22.02037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450703141211016LY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H. Zhu, Z.N. Liang,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201412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98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Tianlin County,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106.2345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24.30054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451029121019009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Tianlin census team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201210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99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Babu District, Hezhou,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111.5586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24.41753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451102121122025LY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Q.B. Wu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201211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100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Youjiang District, Baise,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106.1573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23.62751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451002140718014LY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Youjiang District census Team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201407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101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Jiangzhou District, Chongzuo,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107.5504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22.76058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451402150913075LY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Y.D. Peng, Y.Y. Xie,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201509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102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Tiandong County,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107.1325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23.60313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451022151217014LY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Tiandong collection team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201512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103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Pangyu Village, Pingguo County,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107.6394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23.74543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451023150327051LY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H.Z. Lv, Y. Lin,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201503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104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Longsheng Various Nationalities Autonomous County,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110.0182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25.80385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1-2369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S.X. Li, Z.H. Huang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198106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105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Darong Mount, Beiliu,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110.2897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22.8597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1955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106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Hepu County,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109.2136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21.6677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809292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J.X. Zhong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195212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107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Pingtianshan National Forest Park, Gangbei District, Guigang, Guangxi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109.4751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23.17768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450802190518006LY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Z.H. Ma, H.F. Xu,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201905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108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Shaping Village, Zhongshan County,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111.1515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24.71687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451122170720033LY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Zhongshan County census team 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201707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109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Dajing Village, Luobu Town, Liubei District, Liuzhou, Guangxi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109.4996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24.44285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450205200813037LY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Liubei District census team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202008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110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Longtang Village, Lingjiao Town, Cangwu County, Wuzhou,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111.1802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23.7796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450421200729059LY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Cangwu County census team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202007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111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Pulong Mount, Tongmian Town, Ningming County,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107.3156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21.81924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451422130122002LY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D.X. Nong, X.Y. Huang,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201301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112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Guangxi Institute of Botany, Yanshan, Guilin,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110.3124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25.08299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1506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C.M. Tan, G.H. Yi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200112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113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Gaofeng Forest farm, Wuming District, Guangxi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108.5229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23.12837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Unknown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S.M. Xian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198308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114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Lingui District,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110.0732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25.54677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700129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H.F.Qing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195704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115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G207 (Cencang Road), Cenxi City, Wuzhou,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111.619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23.79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211215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L.M. Pang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2021.12.25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116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Pingzheng Xindu village, Tengzhou Town, Wuzhou Teng County,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110.5235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23.1839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211218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L.M. Pang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2022.01.03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117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Guigang,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108.222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22.5118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211219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L.M. Pang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2022.02.19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118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Guiping Langshi village, Guigang,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108.2975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23.0369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211221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Li, Y. Yang,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2022.01.03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119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Distribution operation and maintenance class of Matong, Guigang,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110.1556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23.14726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211222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Li, Y. Yang,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2022.06.27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120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Xiagaotian, Guigang,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110.4002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23.65611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211223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Li, Y. Yang,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2022.06.26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121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Sijiuding, Cenxi,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111.1422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22.89857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211225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Li, Y. Yang,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2022.07.04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122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Jinzhu town gas station, Cenxi,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110.3616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23.10722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211224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Li, Y. Yang,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2022.07.04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123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Daan Town, Pingnan County,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110.5218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23.38868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211237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Li, Y. Yang,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2022.07.02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124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Daan Town, Pingnan County,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110.5218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23.38868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211237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Li, Y. Yang,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2022.07.02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CVH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125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Shexue Village, Longyu District, Wuzhou,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111.312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23.39349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211241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Li, Y. Yang,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2022.07.02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126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358 National Road Jinmao Titanium dioxide Co., LTD,Tengzhou Town, Teng County, Wuzhou,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113.2714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23.13534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211242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Li, Y. Yang,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2022.07.02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127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Shatin Central Primary School, Songshan Town, Rongxian County,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110.4856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22.93692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211243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Li, Y. Yang,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2022.07.02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128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Yongan,Shihua, Xingda, Yulin,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109.1686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22.31263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211244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Li, Y. Yang,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2022.07.05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129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Shatian, Qinzhou,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109.6556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22.34476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211247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Li, Y. Yang,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2022.07.05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130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Banshangtang, Qinzhou,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108.9066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22.38393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211248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Li, Y. Yang,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2022.08.04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131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  <w:t>Institute of plant Sciences,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110.3124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25.08299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sz w:val="16"/>
                <w:szCs w:val="16"/>
              </w:rPr>
              <w:t>211249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Li, Y. Yang,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2022.08.17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NSII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132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Damu, Fangchenggang,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107.892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21.80154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211251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Li, Y. Yang,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2022.08.18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SCAUB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133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Zhongjiandong, Fangchenggang,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108.2069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21.95818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211252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Li, Y. Yang,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2022.08.19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SCAUB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134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Jianshi Mount, Guilin,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110.175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24.65444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211254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Li, Y. Yang,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2022.08.30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SCAUB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135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Dongfengzu, Longsheng Town, Beiliu,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110.4452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22.56657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211256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L.M. Pang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2022.09.15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SCAUB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136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Dongyou, Hechi,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107.2984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24.17524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211257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L.M. Pang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2022.09.18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SCAUB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137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Lingliu Road, Lingjiao Town, Teng County, Wuzhou,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110.9905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23.58406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211258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Li, Y. Yang,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2022.09.25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SCAUB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138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Fuxin Town, Zuotiandeng County,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106.9366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22.94459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211262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L.M. Pang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2022.10.05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SCAUB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139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Rongshui 112 Township Road, Liuzhou City, Guangxi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108.9837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25.21572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211264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L.M. Pang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2022.12.15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SCAUB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140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Napo, Baise, Guangxi,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105.9537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22.96227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211265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L.M. Pang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2023.01.08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SCAUB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141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Pingtou Gang Liangtang Village, Hehua Town, Gaozhou, Maomin, Guangdong,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110.7393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22.73926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211266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H.Y. Bai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2022.06.19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SCAUB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142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Jiangzui, Jiuqin Town, Deqin, Guangdong,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111.988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23.14362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211267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Li, Y. Yang,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2022.06.12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SCAUB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143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321 National Highway, Shunde Restaurant, Deqing, Guangdong,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112.2276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23.12048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211268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Li, Y. Yang,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2022.06.12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SCAUB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144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624 Provincial Highway,Gaoyao, Guangdong,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112.3348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23.30541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211270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Li, Y. Yang,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2022.06.12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SCAUB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145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Tanbin Town central Primary school, Luoding, Guangdong,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111.4077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22.82125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211283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Li, Y. Yang,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2022.06.11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SCAUB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146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Gutian, 352 Provincial Road, Xinyi, Guangdong,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110.9854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22.57749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211284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Li, Y. Yang,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2022.06.10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SCAUB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147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500m in front of 621 County Road Base, Xinyi, Guangdong,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111.1357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22.4633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211286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Li, Y. Yang,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2022.06.10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SCAUB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148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Chetian, Xinyi, Guangdong,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111.1333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22.46536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211288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Li, Y. Yang,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2022.06.10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SCAUB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149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Jiazhou, Yunan, Guangdong,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111.7685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23.0471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211293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Li, Y. Yang,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2022.06.11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SCAUB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150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Shangluojia, Huaiji, Guangdong,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112.069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23.82417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211297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Li, Y. Yang,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2022.07.01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SCAUB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151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451 County Road, Fengkai, Guangdong,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111.6054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23.48387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211298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Li, Y. Yang,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2022.07.01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SCAUB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152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Fuluchong, Deqin, Guangdong,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113.991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23.11006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211300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Li, Y. Yang, et al.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2022.07.01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SCAUB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153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Hongyang, Puning, Jieyang, Guangdong,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116.2399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23.43348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211302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2022.08.17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SCAUB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154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No.91, Sanye Road, Jinghong, Xishuangbanna, Yunnan,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100.4717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22.021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211303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L.M. Pang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2022.06.25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SCAUB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155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Baizhai Town, Maguan County, Yunshan, Yunnan,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104.0712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23.01187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211304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L.M. Pang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2022.06.21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SCAUB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156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Zhongfang County, Huaihua, Hunan,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109.945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27.43988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211306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 Yang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2022.05.29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SCAUB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525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157</w:t>
            </w:r>
          </w:p>
        </w:tc>
        <w:tc>
          <w:tcPr>
            <w:tcW w:w="4914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Haoli Village, Shatain Town, Guidong County, Chenzhou, Hunan, China</w:t>
            </w:r>
          </w:p>
        </w:tc>
        <w:tc>
          <w:tcPr>
            <w:tcW w:w="1126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113.8254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25.84374</w:t>
            </w:r>
          </w:p>
        </w:tc>
        <w:tc>
          <w:tcPr>
            <w:tcW w:w="1799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211307</w:t>
            </w:r>
          </w:p>
        </w:tc>
        <w:tc>
          <w:tcPr>
            <w:tcW w:w="2312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2022.08.12</w:t>
            </w:r>
          </w:p>
        </w:tc>
        <w:tc>
          <w:tcPr>
            <w:tcW w:w="1416" w:type="dxa"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SCAUB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25" w:type="dxa"/>
            <w:tcBorders>
              <w:bottom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158</w:t>
            </w:r>
          </w:p>
        </w:tc>
        <w:tc>
          <w:tcPr>
            <w:tcW w:w="4914" w:type="dxa"/>
            <w:tcBorders>
              <w:bottom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  <w:t>Banqiao Town, Enshi, Hubei, China</w:t>
            </w:r>
          </w:p>
        </w:tc>
        <w:tc>
          <w:tcPr>
            <w:tcW w:w="1126" w:type="dxa"/>
            <w:tcBorders>
              <w:bottom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109.2802</w:t>
            </w:r>
          </w:p>
        </w:tc>
        <w:tc>
          <w:tcPr>
            <w:tcW w:w="992" w:type="dxa"/>
            <w:tcBorders>
              <w:bottom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30.58818</w:t>
            </w:r>
          </w:p>
        </w:tc>
        <w:tc>
          <w:tcPr>
            <w:tcW w:w="1799" w:type="dxa"/>
            <w:tcBorders>
              <w:bottom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211308</w:t>
            </w:r>
          </w:p>
        </w:tc>
        <w:tc>
          <w:tcPr>
            <w:tcW w:w="2312" w:type="dxa"/>
            <w:gridSpan w:val="2"/>
            <w:tcBorders>
              <w:bottom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Y.Q. Li</w:t>
            </w:r>
          </w:p>
        </w:tc>
        <w:tc>
          <w:tcPr>
            <w:tcW w:w="992" w:type="dxa"/>
            <w:tcBorders>
              <w:bottom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2022.08.08</w:t>
            </w:r>
          </w:p>
        </w:tc>
        <w:tc>
          <w:tcPr>
            <w:tcW w:w="1416" w:type="dxa"/>
            <w:tcBorders>
              <w:bottom w:val="single" w:color="000000" w:sz="8" w:space="0"/>
            </w:tcBorders>
            <w:vAlign w:val="center"/>
          </w:tcPr>
          <w:p>
            <w:pPr>
              <w:widowControl/>
              <w:spacing w:line="200" w:lineRule="exact"/>
              <w:jc w:val="left"/>
              <w:textAlignment w:val="center"/>
              <w:rPr>
                <w:rFonts w:ascii="Times New Roman" w:hAnsi="Times New Roman" w:eastAsia="宋体" w:cs="Times New Roman"/>
                <w:color w:val="FF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SCAUB</w:t>
            </w:r>
          </w:p>
        </w:tc>
      </w:tr>
    </w:tbl>
    <w:p>
      <w:pPr>
        <w:spacing w:line="480" w:lineRule="auto"/>
        <w:rPr>
          <w:rFonts w:ascii="Times New Roman" w:hAnsi="Times New Roman" w:eastAsia="MyriadPro-Light" w:cs="Times New Roman"/>
          <w:kern w:val="0"/>
          <w:sz w:val="20"/>
          <w:szCs w:val="20"/>
        </w:rPr>
      </w:pPr>
      <w:bookmarkStart w:id="0" w:name="OLE_LINK1"/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 xml:space="preserve">NSII: 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>National Specimen Information Infrastructure</w:t>
      </w: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 xml:space="preserve">; CVH: 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>Chinese Virtual Herbarium</w:t>
      </w: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>.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 xml:space="preserve"> SCAUB: </w:t>
      </w:r>
      <w:r>
        <w:rPr>
          <w:rFonts w:ascii="Times New Roman" w:hAnsi="Times New Roman" w:eastAsia="GulliverRM" w:cs="Times New Roman"/>
          <w:color w:val="000000"/>
          <w:sz w:val="20"/>
          <w:szCs w:val="20"/>
        </w:rPr>
        <w:t>Herbarium of the Department of Botany at South China Agricultural University</w:t>
      </w:r>
      <w:bookmarkEnd w:id="0"/>
    </w:p>
    <w:p>
      <w:pPr>
        <w:spacing w:line="480" w:lineRule="auto"/>
        <w:rPr>
          <w:rFonts w:ascii="Times New Roman" w:hAnsi="Times New Roman" w:eastAsia="MyriadPro-Light" w:cs="Times New Roman"/>
          <w:b/>
          <w:bCs/>
          <w:kern w:val="0"/>
          <w:sz w:val="20"/>
          <w:szCs w:val="20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spacing w:line="480" w:lineRule="auto"/>
        <w:rPr>
          <w:rFonts w:ascii="Times New Roman" w:hAnsi="Times New Roman" w:eastAsia="MyriadPro-Light" w:cs="Times New Roman"/>
          <w:kern w:val="0"/>
          <w:sz w:val="20"/>
          <w:szCs w:val="20"/>
        </w:rPr>
      </w:pPr>
      <w:r>
        <w:rPr>
          <w:rFonts w:ascii="Times New Roman" w:hAnsi="Times New Roman" w:eastAsia="MyriadPro-Light" w:cs="Times New Roman"/>
          <w:b/>
          <w:bCs/>
          <w:kern w:val="0"/>
          <w:sz w:val="20"/>
          <w:szCs w:val="20"/>
        </w:rPr>
        <w:t>Table S2</w:t>
      </w:r>
      <w:r>
        <w:rPr>
          <w:rFonts w:ascii="Times New Roman" w:hAnsi="Times New Roman" w:eastAsia="MyriadPro-Light" w:cs="Times New Roman"/>
          <w:kern w:val="0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 xml:space="preserve">Percentage percent contribution and permutation importance of </w:t>
      </w:r>
      <w:r>
        <w:rPr>
          <w:rFonts w:ascii="Times New Roman" w:hAnsi="Times New Roman" w:eastAsia="MyriadPro-Light" w:cs="Times New Roman"/>
          <w:kern w:val="0"/>
          <w:sz w:val="20"/>
          <w:szCs w:val="20"/>
        </w:rPr>
        <w:t xml:space="preserve">33 </w:t>
      </w:r>
      <w:r>
        <w:rPr>
          <w:rFonts w:ascii="Times New Roman" w:hAnsi="Times New Roman" w:eastAsia="宋体" w:cs="Times New Roman"/>
          <w:color w:val="000000"/>
          <w:kern w:val="0"/>
          <w:sz w:val="20"/>
          <w:szCs w:val="20"/>
          <w:lang w:bidi="ar"/>
        </w:rPr>
        <w:t>environment variables.</w:t>
      </w:r>
    </w:p>
    <w:tbl>
      <w:tblPr>
        <w:tblStyle w:val="4"/>
        <w:tblW w:w="13817" w:type="dxa"/>
        <w:tblInd w:w="9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1202"/>
        <w:gridCol w:w="4253"/>
        <w:gridCol w:w="2551"/>
        <w:gridCol w:w="2603"/>
        <w:gridCol w:w="153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879" w:type="dxa"/>
            <w:gridSpan w:val="2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Variable</w:t>
            </w:r>
          </w:p>
        </w:tc>
        <w:tc>
          <w:tcPr>
            <w:tcW w:w="4253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Description</w:t>
            </w:r>
          </w:p>
        </w:tc>
        <w:tc>
          <w:tcPr>
            <w:tcW w:w="2551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Percent contribution</w:t>
            </w:r>
            <w:r>
              <w:rPr>
                <w:rStyle w:val="9"/>
                <w:rFonts w:ascii="Times New Roman" w:hAnsi="Times New Roman" w:cs="Times New Roman"/>
                <w:b w:val="0"/>
                <w:bCs w:val="0"/>
                <w:lang w:bidi="ar"/>
              </w:rPr>
              <w:t>（</w:t>
            </w:r>
            <w:r>
              <w:rPr>
                <w:rStyle w:val="10"/>
                <w:rFonts w:eastAsia="宋体"/>
                <w:b w:val="0"/>
                <w:bCs w:val="0"/>
                <w:lang w:bidi="ar"/>
              </w:rPr>
              <w:t>%</w:t>
            </w:r>
            <w:r>
              <w:rPr>
                <w:rStyle w:val="9"/>
                <w:rFonts w:ascii="Times New Roman" w:hAnsi="Times New Roman" w:cs="Times New Roman"/>
                <w:b w:val="0"/>
                <w:bCs w:val="0"/>
                <w:lang w:bidi="ar"/>
              </w:rPr>
              <w:t>）</w:t>
            </w:r>
          </w:p>
        </w:tc>
        <w:tc>
          <w:tcPr>
            <w:tcW w:w="2603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Permutation importance (%)</w:t>
            </w:r>
          </w:p>
        </w:tc>
        <w:tc>
          <w:tcPr>
            <w:tcW w:w="1531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Units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77" w:type="dxa"/>
            <w:vMerge w:val="restart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Bioclimatic variables</w:t>
            </w:r>
          </w:p>
        </w:tc>
        <w:tc>
          <w:tcPr>
            <w:tcW w:w="1202" w:type="dxa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Bio_18</w:t>
            </w:r>
          </w:p>
        </w:tc>
        <w:tc>
          <w:tcPr>
            <w:tcW w:w="4253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Precipitation of warmest quarter</w:t>
            </w:r>
          </w:p>
        </w:tc>
        <w:tc>
          <w:tcPr>
            <w:tcW w:w="2551" w:type="dxa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2603" w:type="dxa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11.2</w:t>
            </w:r>
          </w:p>
        </w:tc>
        <w:tc>
          <w:tcPr>
            <w:tcW w:w="1531" w:type="dxa"/>
            <w:tcBorders>
              <w:top w:val="single" w:color="auto" w:sz="8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77" w:type="dxa"/>
            <w:vMerge w:val="continue"/>
            <w:tcBorders>
              <w:top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Bio_4</w:t>
            </w:r>
          </w:p>
        </w:tc>
        <w:tc>
          <w:tcPr>
            <w:tcW w:w="4253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Temperature seasonality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20.9</w:t>
            </w:r>
          </w:p>
        </w:tc>
        <w:tc>
          <w:tcPr>
            <w:tcW w:w="2603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1.6</w:t>
            </w:r>
          </w:p>
        </w:tc>
        <w:tc>
          <w:tcPr>
            <w:tcW w:w="1531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77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Bio_13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Precipitation of wettest month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13.2</w:t>
            </w:r>
          </w:p>
        </w:tc>
        <w:tc>
          <w:tcPr>
            <w:tcW w:w="260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41.6</w:t>
            </w:r>
          </w:p>
        </w:tc>
        <w:tc>
          <w:tcPr>
            <w:tcW w:w="153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77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Bio_14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Precipitation of driest month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3.1</w:t>
            </w:r>
          </w:p>
        </w:tc>
        <w:tc>
          <w:tcPr>
            <w:tcW w:w="260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9.3</w:t>
            </w:r>
          </w:p>
        </w:tc>
        <w:tc>
          <w:tcPr>
            <w:tcW w:w="153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77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Bio_15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Precipitation seasonality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2.3</w:t>
            </w:r>
          </w:p>
        </w:tc>
        <w:tc>
          <w:tcPr>
            <w:tcW w:w="260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1.4</w:t>
            </w:r>
          </w:p>
        </w:tc>
        <w:tc>
          <w:tcPr>
            <w:tcW w:w="153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77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Bio_2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Mean diurnal range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1.2</w:t>
            </w:r>
          </w:p>
        </w:tc>
        <w:tc>
          <w:tcPr>
            <w:tcW w:w="260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2.9</w:t>
            </w:r>
          </w:p>
        </w:tc>
        <w:tc>
          <w:tcPr>
            <w:tcW w:w="153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℃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77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Bio_5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Max temperature of warmest month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1.1</w:t>
            </w:r>
          </w:p>
        </w:tc>
        <w:tc>
          <w:tcPr>
            <w:tcW w:w="260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2.4</w:t>
            </w:r>
          </w:p>
        </w:tc>
        <w:tc>
          <w:tcPr>
            <w:tcW w:w="153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℃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77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Bio_11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Mean temperature of coldest quarter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1.1</w:t>
            </w:r>
          </w:p>
        </w:tc>
        <w:tc>
          <w:tcPr>
            <w:tcW w:w="260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3.7</w:t>
            </w:r>
          </w:p>
        </w:tc>
        <w:tc>
          <w:tcPr>
            <w:tcW w:w="153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℃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77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Bio_10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Mean temperature of warmest quarter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</w:t>
            </w:r>
          </w:p>
        </w:tc>
        <w:tc>
          <w:tcPr>
            <w:tcW w:w="260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13.5</w:t>
            </w:r>
          </w:p>
        </w:tc>
        <w:tc>
          <w:tcPr>
            <w:tcW w:w="153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℃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77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Bio_1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Annual mean temperature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260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</w:t>
            </w:r>
          </w:p>
        </w:tc>
        <w:tc>
          <w:tcPr>
            <w:tcW w:w="153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℃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77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Bio_6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Min temperature of coldest month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260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1.4</w:t>
            </w:r>
          </w:p>
        </w:tc>
        <w:tc>
          <w:tcPr>
            <w:tcW w:w="153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℃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77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Bio_7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Temperature annual range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</w:t>
            </w:r>
          </w:p>
        </w:tc>
        <w:tc>
          <w:tcPr>
            <w:tcW w:w="260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</w:t>
            </w:r>
          </w:p>
        </w:tc>
        <w:tc>
          <w:tcPr>
            <w:tcW w:w="153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℃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77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Bio_19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Precipitation of coldest quarter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</w:t>
            </w:r>
          </w:p>
        </w:tc>
        <w:tc>
          <w:tcPr>
            <w:tcW w:w="260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3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77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Bio_8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Mean temperature of wettest quarter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60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53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℃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77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Bio_16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Precipitation of wettest quarter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60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1.4</w:t>
            </w:r>
          </w:p>
        </w:tc>
        <w:tc>
          <w:tcPr>
            <w:tcW w:w="153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77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Bio_17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Precipitation of driest quarter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60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1.6</w:t>
            </w:r>
          </w:p>
        </w:tc>
        <w:tc>
          <w:tcPr>
            <w:tcW w:w="153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77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Bio_3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Isothermality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60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</w:t>
            </w:r>
          </w:p>
        </w:tc>
        <w:tc>
          <w:tcPr>
            <w:tcW w:w="153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77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Bio_12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Annual precipitation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60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153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77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Bio_9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Mean temperature of driest quarter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60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53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℃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7" w:type="dxa"/>
            <w:vMerge w:val="restar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Soil variables</w:t>
            </w: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T_clay 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Topsoil clay content 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20.5</w:t>
            </w:r>
          </w:p>
        </w:tc>
        <w:tc>
          <w:tcPr>
            <w:tcW w:w="260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18.6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% weight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7" w:type="dxa"/>
            <w:vMerge w:val="continue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T_oc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Topsoil organic carbon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4.9</w:t>
            </w:r>
          </w:p>
        </w:tc>
        <w:tc>
          <w:tcPr>
            <w:tcW w:w="260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5.5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% weight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7" w:type="dxa"/>
            <w:vMerge w:val="continue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T_sand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Topsoil sand content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1.7</w:t>
            </w:r>
          </w:p>
        </w:tc>
        <w:tc>
          <w:tcPr>
            <w:tcW w:w="260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.1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% weight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7" w:type="dxa"/>
            <w:vMerge w:val="continue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S_clay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Substratesoil clay content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60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% weight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7" w:type="dxa"/>
            <w:vMerge w:val="continue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Awc_class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Soil available water content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0.7</w:t>
            </w:r>
          </w:p>
        </w:tc>
        <w:tc>
          <w:tcPr>
            <w:tcW w:w="260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.4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7" w:type="dxa"/>
            <w:vMerge w:val="continue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T_caco3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Topsoil carbonate or lime content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.3</w:t>
            </w:r>
          </w:p>
        </w:tc>
        <w:tc>
          <w:tcPr>
            <w:tcW w:w="260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.8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% weight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7" w:type="dxa"/>
            <w:vMerge w:val="continue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S_ph_h2o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Substratesoil pH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.8</w:t>
            </w:r>
          </w:p>
        </w:tc>
        <w:tc>
          <w:tcPr>
            <w:tcW w:w="260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1.6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7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S_oc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Substratesoil organic carbon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7.6</w:t>
            </w:r>
          </w:p>
        </w:tc>
        <w:tc>
          <w:tcPr>
            <w:tcW w:w="260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17.3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% weight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7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T_ph_h2o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Topsoil pH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60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8.9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7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S_caco3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Substratesoil carbonate or lime content</w:t>
            </w:r>
          </w:p>
        </w:tc>
        <w:tc>
          <w:tcPr>
            <w:tcW w:w="2551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2.1</w:t>
            </w:r>
          </w:p>
        </w:tc>
        <w:tc>
          <w:tcPr>
            <w:tcW w:w="2603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5.1</w:t>
            </w:r>
          </w:p>
        </w:tc>
        <w:tc>
          <w:tcPr>
            <w:tcW w:w="1531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% weight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7" w:type="dxa"/>
            <w:vMerge w:val="continue"/>
            <w:tcBorders>
              <w:bottom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S_sand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Substratesoil sand content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0.5</w:t>
            </w:r>
          </w:p>
        </w:tc>
        <w:tc>
          <w:tcPr>
            <w:tcW w:w="2603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6.8</w:t>
            </w:r>
          </w:p>
        </w:tc>
        <w:tc>
          <w:tcPr>
            <w:tcW w:w="1531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% weight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7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Topographic variables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Slope 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Slope 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49.9</w:t>
            </w:r>
          </w:p>
        </w:tc>
        <w:tc>
          <w:tcPr>
            <w:tcW w:w="26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46.1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°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7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Elev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Elevation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36.1</w:t>
            </w:r>
          </w:p>
        </w:tc>
        <w:tc>
          <w:tcPr>
            <w:tcW w:w="260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677" w:type="dxa"/>
            <w:vMerge w:val="continue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Aspect</w:t>
            </w:r>
          </w:p>
        </w:tc>
        <w:tc>
          <w:tcPr>
            <w:tcW w:w="4253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Aspect</w:t>
            </w:r>
          </w:p>
        </w:tc>
        <w:tc>
          <w:tcPr>
            <w:tcW w:w="2551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2603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11.9</w:t>
            </w:r>
          </w:p>
        </w:tc>
        <w:tc>
          <w:tcPr>
            <w:tcW w:w="1531" w:type="dxa"/>
            <w:tcBorders>
              <w:top w:val="nil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°</w:t>
            </w: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</w:pPr>
    </w:p>
    <w:p>
      <w:pPr>
        <w:rPr>
          <w:rFonts w:ascii="Times New Roman" w:hAnsi="Times New Roman" w:eastAsia="MyriadPro-Light" w:cs="Times New Roman"/>
          <w:kern w:val="0"/>
          <w:sz w:val="20"/>
          <w:szCs w:val="20"/>
        </w:rPr>
      </w:pPr>
    </w:p>
    <w:p>
      <w:pPr>
        <w:rPr>
          <w:rFonts w:ascii="Times New Roman" w:hAnsi="Times New Roman" w:eastAsia="MyriadPro-Light" w:cs="Times New Roman"/>
          <w:kern w:val="0"/>
          <w:sz w:val="20"/>
          <w:szCs w:val="20"/>
        </w:rPr>
      </w:pPr>
    </w:p>
    <w:p>
      <w:pPr>
        <w:rPr>
          <w:rFonts w:ascii="Times New Roman" w:hAnsi="Times New Roman" w:eastAsia="MyriadPro-Light" w:cs="Times New Roman"/>
          <w:kern w:val="0"/>
          <w:sz w:val="20"/>
          <w:szCs w:val="20"/>
        </w:rPr>
      </w:pPr>
    </w:p>
    <w:p>
      <w:pPr>
        <w:rPr>
          <w:rFonts w:ascii="Times New Roman" w:hAnsi="Times New Roman" w:eastAsia="MyriadPro-Light" w:cs="Times New Roman"/>
          <w:kern w:val="0"/>
          <w:sz w:val="20"/>
          <w:szCs w:val="20"/>
        </w:rPr>
      </w:pPr>
    </w:p>
    <w:p>
      <w:pPr>
        <w:rPr>
          <w:rFonts w:ascii="Times New Roman" w:hAnsi="Times New Roman" w:eastAsia="MyriadPro-Light" w:cs="Times New Roman"/>
          <w:kern w:val="0"/>
          <w:sz w:val="20"/>
          <w:szCs w:val="20"/>
        </w:rPr>
      </w:pPr>
    </w:p>
    <w:p>
      <w:pPr>
        <w:rPr>
          <w:rFonts w:ascii="Times New Roman" w:hAnsi="Times New Roman" w:eastAsia="MyriadPro-Light" w:cs="Times New Roman"/>
          <w:kern w:val="0"/>
          <w:sz w:val="20"/>
          <w:szCs w:val="20"/>
        </w:rPr>
      </w:pPr>
    </w:p>
    <w:p>
      <w:pPr>
        <w:rPr>
          <w:rFonts w:ascii="Times New Roman" w:hAnsi="Times New Roman" w:eastAsia="MyriadPro-Light" w:cs="Times New Roman"/>
          <w:kern w:val="0"/>
          <w:sz w:val="20"/>
          <w:szCs w:val="20"/>
        </w:rPr>
      </w:pPr>
      <w:r>
        <w:rPr>
          <w:rFonts w:ascii="Times New Roman" w:hAnsi="Times New Roman" w:eastAsia="MyriadPro-Light" w:cs="Times New Roman"/>
          <w:b/>
          <w:bCs/>
          <w:kern w:val="0"/>
          <w:sz w:val="20"/>
          <w:szCs w:val="20"/>
        </w:rPr>
        <w:t xml:space="preserve">Table S3 </w:t>
      </w:r>
      <w:r>
        <w:rPr>
          <w:rFonts w:hint="eastAsia" w:ascii="Times New Roman" w:hAnsi="Times New Roman" w:eastAsia="MyriadPro-Light" w:cs="Times New Roman"/>
          <w:kern w:val="0"/>
          <w:sz w:val="20"/>
          <w:szCs w:val="20"/>
        </w:rPr>
        <w:t>Maximum test sensitivity plus specificity (MTSPS)</w:t>
      </w:r>
      <w:r>
        <w:rPr>
          <w:rFonts w:hint="eastAsia" w:ascii="Times New Roman" w:hAnsi="Times New Roman" w:eastAsia="MyriadPro-Light" w:cs="Times New Roman"/>
          <w:color w:val="0000FF"/>
          <w:kern w:val="0"/>
          <w:sz w:val="20"/>
          <w:szCs w:val="20"/>
        </w:rPr>
        <w:t xml:space="preserve"> </w:t>
      </w:r>
      <w:r>
        <w:rPr>
          <w:rFonts w:ascii="Times New Roman" w:hAnsi="Times New Roman" w:eastAsia="MyriadPro-Light" w:cs="Times New Roman"/>
          <w:kern w:val="0"/>
          <w:sz w:val="20"/>
          <w:szCs w:val="20"/>
        </w:rPr>
        <w:t>of different climate scenarios.</w:t>
      </w:r>
    </w:p>
    <w:tbl>
      <w:tblPr>
        <w:tblStyle w:val="4"/>
        <w:tblW w:w="13937" w:type="dxa"/>
        <w:tblInd w:w="9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71"/>
        <w:gridCol w:w="1809"/>
        <w:gridCol w:w="1722"/>
        <w:gridCol w:w="1995"/>
        <w:gridCol w:w="1816"/>
        <w:gridCol w:w="2081"/>
        <w:gridCol w:w="19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27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Periods</w:t>
            </w:r>
          </w:p>
        </w:tc>
        <w:tc>
          <w:tcPr>
            <w:tcW w:w="127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LGM</w:t>
            </w:r>
          </w:p>
        </w:tc>
        <w:tc>
          <w:tcPr>
            <w:tcW w:w="180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MH</w:t>
            </w:r>
          </w:p>
        </w:tc>
        <w:tc>
          <w:tcPr>
            <w:tcW w:w="172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Current</w:t>
            </w:r>
          </w:p>
        </w:tc>
        <w:tc>
          <w:tcPr>
            <w:tcW w:w="199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SSP126-2050S</w:t>
            </w:r>
          </w:p>
        </w:tc>
        <w:tc>
          <w:tcPr>
            <w:tcW w:w="181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SSP585-2050S</w:t>
            </w:r>
          </w:p>
        </w:tc>
        <w:tc>
          <w:tcPr>
            <w:tcW w:w="208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SSP126-2090S</w:t>
            </w:r>
          </w:p>
        </w:tc>
        <w:tc>
          <w:tcPr>
            <w:tcW w:w="197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SSP585-2090S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MTSPS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0.1756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0.1756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0.2194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0.1638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0.1849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0.2274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0.2290</w:t>
            </w:r>
          </w:p>
        </w:tc>
      </w:tr>
    </w:tbl>
    <w:p>
      <w:pPr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bidi="ar"/>
        </w:rPr>
      </w:pPr>
    </w:p>
    <w:p>
      <w:pPr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bidi="ar"/>
        </w:rPr>
      </w:pPr>
    </w:p>
    <w:p>
      <w:pPr>
        <w:jc w:val="left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bidi="ar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yriadPro-Light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GulliverRM">
    <w:altName w:val="黑体"/>
    <w:panose1 w:val="00000000000000000000"/>
    <w:charset w:val="86"/>
    <w:family w:val="auto"/>
    <w:pitch w:val="default"/>
    <w:sig w:usb0="00000000" w:usb1="00000000" w:usb2="0000001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48CC39A1"/>
    <w:rsid w:val="000036DE"/>
    <w:rsid w:val="00006078"/>
    <w:rsid w:val="000156B2"/>
    <w:rsid w:val="00017E83"/>
    <w:rsid w:val="00033696"/>
    <w:rsid w:val="000365A2"/>
    <w:rsid w:val="00042D6E"/>
    <w:rsid w:val="00054FE7"/>
    <w:rsid w:val="00055427"/>
    <w:rsid w:val="000675FA"/>
    <w:rsid w:val="00070EC6"/>
    <w:rsid w:val="000755E2"/>
    <w:rsid w:val="0008197F"/>
    <w:rsid w:val="000841D7"/>
    <w:rsid w:val="00093C4F"/>
    <w:rsid w:val="000A4A0A"/>
    <w:rsid w:val="000A773D"/>
    <w:rsid w:val="000B5728"/>
    <w:rsid w:val="000B6910"/>
    <w:rsid w:val="000B75E4"/>
    <w:rsid w:val="000C23BB"/>
    <w:rsid w:val="000E43E1"/>
    <w:rsid w:val="000F189C"/>
    <w:rsid w:val="000F532D"/>
    <w:rsid w:val="001005A8"/>
    <w:rsid w:val="0011625B"/>
    <w:rsid w:val="00117D8F"/>
    <w:rsid w:val="0012349C"/>
    <w:rsid w:val="00136F61"/>
    <w:rsid w:val="0014078C"/>
    <w:rsid w:val="00154311"/>
    <w:rsid w:val="00184CDF"/>
    <w:rsid w:val="0019651E"/>
    <w:rsid w:val="001977B7"/>
    <w:rsid w:val="001A1507"/>
    <w:rsid w:val="001A4467"/>
    <w:rsid w:val="001A53EE"/>
    <w:rsid w:val="001B052D"/>
    <w:rsid w:val="001B43FF"/>
    <w:rsid w:val="001B4681"/>
    <w:rsid w:val="001C1AE3"/>
    <w:rsid w:val="001D0C3B"/>
    <w:rsid w:val="001D43E1"/>
    <w:rsid w:val="001E0715"/>
    <w:rsid w:val="001E3C4C"/>
    <w:rsid w:val="001E4500"/>
    <w:rsid w:val="001F5388"/>
    <w:rsid w:val="001F6316"/>
    <w:rsid w:val="002023B0"/>
    <w:rsid w:val="00205533"/>
    <w:rsid w:val="0021047B"/>
    <w:rsid w:val="00222875"/>
    <w:rsid w:val="002232D3"/>
    <w:rsid w:val="002327FE"/>
    <w:rsid w:val="00251BFD"/>
    <w:rsid w:val="002606EF"/>
    <w:rsid w:val="002713B4"/>
    <w:rsid w:val="00277181"/>
    <w:rsid w:val="0029045F"/>
    <w:rsid w:val="002949F6"/>
    <w:rsid w:val="00297761"/>
    <w:rsid w:val="002A7CAF"/>
    <w:rsid w:val="002C035F"/>
    <w:rsid w:val="002D4B22"/>
    <w:rsid w:val="002D5E54"/>
    <w:rsid w:val="002E3221"/>
    <w:rsid w:val="002F223A"/>
    <w:rsid w:val="002F5E7F"/>
    <w:rsid w:val="002F6FAF"/>
    <w:rsid w:val="003006D2"/>
    <w:rsid w:val="00300910"/>
    <w:rsid w:val="003129AC"/>
    <w:rsid w:val="003234DF"/>
    <w:rsid w:val="00327C06"/>
    <w:rsid w:val="003334EB"/>
    <w:rsid w:val="0034161A"/>
    <w:rsid w:val="00344062"/>
    <w:rsid w:val="0036406A"/>
    <w:rsid w:val="00380026"/>
    <w:rsid w:val="00381C4E"/>
    <w:rsid w:val="00386B00"/>
    <w:rsid w:val="003951F7"/>
    <w:rsid w:val="003A05AA"/>
    <w:rsid w:val="003C2421"/>
    <w:rsid w:val="003E1E71"/>
    <w:rsid w:val="00402DA4"/>
    <w:rsid w:val="00404D6D"/>
    <w:rsid w:val="00407F69"/>
    <w:rsid w:val="00411DEC"/>
    <w:rsid w:val="004250C4"/>
    <w:rsid w:val="00433743"/>
    <w:rsid w:val="00435B0F"/>
    <w:rsid w:val="00450DD7"/>
    <w:rsid w:val="0045340C"/>
    <w:rsid w:val="00456D60"/>
    <w:rsid w:val="00460D72"/>
    <w:rsid w:val="004641FE"/>
    <w:rsid w:val="00483284"/>
    <w:rsid w:val="00485C9B"/>
    <w:rsid w:val="0048712E"/>
    <w:rsid w:val="004A778D"/>
    <w:rsid w:val="004B1644"/>
    <w:rsid w:val="004B1B95"/>
    <w:rsid w:val="004B1CEC"/>
    <w:rsid w:val="004B7C34"/>
    <w:rsid w:val="004E01A1"/>
    <w:rsid w:val="004E5926"/>
    <w:rsid w:val="004F10C4"/>
    <w:rsid w:val="00501350"/>
    <w:rsid w:val="005022A1"/>
    <w:rsid w:val="005078B3"/>
    <w:rsid w:val="005132AD"/>
    <w:rsid w:val="00515AF0"/>
    <w:rsid w:val="00517B4C"/>
    <w:rsid w:val="005206C1"/>
    <w:rsid w:val="00524D74"/>
    <w:rsid w:val="00530129"/>
    <w:rsid w:val="0054517D"/>
    <w:rsid w:val="00554439"/>
    <w:rsid w:val="00554664"/>
    <w:rsid w:val="00563F56"/>
    <w:rsid w:val="00566D21"/>
    <w:rsid w:val="00573986"/>
    <w:rsid w:val="00574FD3"/>
    <w:rsid w:val="005779EC"/>
    <w:rsid w:val="00583C9F"/>
    <w:rsid w:val="00592453"/>
    <w:rsid w:val="005B7C7E"/>
    <w:rsid w:val="005E1146"/>
    <w:rsid w:val="005F3D1B"/>
    <w:rsid w:val="006028D1"/>
    <w:rsid w:val="00616D55"/>
    <w:rsid w:val="0062473C"/>
    <w:rsid w:val="00650198"/>
    <w:rsid w:val="00661646"/>
    <w:rsid w:val="00665748"/>
    <w:rsid w:val="006727CE"/>
    <w:rsid w:val="00672AEE"/>
    <w:rsid w:val="00674EA3"/>
    <w:rsid w:val="0067607C"/>
    <w:rsid w:val="00677E4E"/>
    <w:rsid w:val="00684A42"/>
    <w:rsid w:val="00692607"/>
    <w:rsid w:val="006976BD"/>
    <w:rsid w:val="006A5C3F"/>
    <w:rsid w:val="006A79EA"/>
    <w:rsid w:val="006B49F5"/>
    <w:rsid w:val="006C0646"/>
    <w:rsid w:val="006C49AC"/>
    <w:rsid w:val="006C5192"/>
    <w:rsid w:val="006D5DCB"/>
    <w:rsid w:val="0070095A"/>
    <w:rsid w:val="00704B2D"/>
    <w:rsid w:val="007067DB"/>
    <w:rsid w:val="007107AA"/>
    <w:rsid w:val="00715B75"/>
    <w:rsid w:val="007271A8"/>
    <w:rsid w:val="007316E0"/>
    <w:rsid w:val="00737197"/>
    <w:rsid w:val="00742195"/>
    <w:rsid w:val="00744875"/>
    <w:rsid w:val="00746CF0"/>
    <w:rsid w:val="00754EC6"/>
    <w:rsid w:val="00760F2C"/>
    <w:rsid w:val="00782F0A"/>
    <w:rsid w:val="007840C4"/>
    <w:rsid w:val="00792E17"/>
    <w:rsid w:val="0079332A"/>
    <w:rsid w:val="007A3807"/>
    <w:rsid w:val="007A3F8B"/>
    <w:rsid w:val="007A4CDA"/>
    <w:rsid w:val="007A4DF3"/>
    <w:rsid w:val="007B0918"/>
    <w:rsid w:val="007C10B7"/>
    <w:rsid w:val="007D00E3"/>
    <w:rsid w:val="007E5225"/>
    <w:rsid w:val="0080671C"/>
    <w:rsid w:val="00820E17"/>
    <w:rsid w:val="008227D1"/>
    <w:rsid w:val="00825B57"/>
    <w:rsid w:val="00832D8F"/>
    <w:rsid w:val="0084433F"/>
    <w:rsid w:val="0084546A"/>
    <w:rsid w:val="00853AFB"/>
    <w:rsid w:val="00885CC4"/>
    <w:rsid w:val="00886983"/>
    <w:rsid w:val="0089436C"/>
    <w:rsid w:val="008947D0"/>
    <w:rsid w:val="008A5AA9"/>
    <w:rsid w:val="008A6AA2"/>
    <w:rsid w:val="008B4660"/>
    <w:rsid w:val="008B6942"/>
    <w:rsid w:val="008C0C5E"/>
    <w:rsid w:val="008C1549"/>
    <w:rsid w:val="008F4B26"/>
    <w:rsid w:val="009012D6"/>
    <w:rsid w:val="009040E2"/>
    <w:rsid w:val="0091277D"/>
    <w:rsid w:val="0091469E"/>
    <w:rsid w:val="00914765"/>
    <w:rsid w:val="00917E94"/>
    <w:rsid w:val="009231FE"/>
    <w:rsid w:val="0096692D"/>
    <w:rsid w:val="009C1E37"/>
    <w:rsid w:val="009C76A2"/>
    <w:rsid w:val="009E59A2"/>
    <w:rsid w:val="009F747B"/>
    <w:rsid w:val="00A01B3E"/>
    <w:rsid w:val="00A03100"/>
    <w:rsid w:val="00A26FAA"/>
    <w:rsid w:val="00A31B18"/>
    <w:rsid w:val="00A4103D"/>
    <w:rsid w:val="00A60DAD"/>
    <w:rsid w:val="00A77D35"/>
    <w:rsid w:val="00A801AF"/>
    <w:rsid w:val="00A832CF"/>
    <w:rsid w:val="00A91D80"/>
    <w:rsid w:val="00AA2EE5"/>
    <w:rsid w:val="00AB4204"/>
    <w:rsid w:val="00AB6AEF"/>
    <w:rsid w:val="00AC4F96"/>
    <w:rsid w:val="00AC7F4F"/>
    <w:rsid w:val="00AD2237"/>
    <w:rsid w:val="00AD28A1"/>
    <w:rsid w:val="00AD6912"/>
    <w:rsid w:val="00AE0B39"/>
    <w:rsid w:val="00AF3672"/>
    <w:rsid w:val="00AF52A4"/>
    <w:rsid w:val="00AF6250"/>
    <w:rsid w:val="00B036E2"/>
    <w:rsid w:val="00B049EA"/>
    <w:rsid w:val="00B0559B"/>
    <w:rsid w:val="00B07702"/>
    <w:rsid w:val="00B13D8D"/>
    <w:rsid w:val="00B146A1"/>
    <w:rsid w:val="00B15B77"/>
    <w:rsid w:val="00B17BEA"/>
    <w:rsid w:val="00B330E1"/>
    <w:rsid w:val="00B33942"/>
    <w:rsid w:val="00B42C2D"/>
    <w:rsid w:val="00B436AC"/>
    <w:rsid w:val="00B45EA6"/>
    <w:rsid w:val="00B505A5"/>
    <w:rsid w:val="00B51C86"/>
    <w:rsid w:val="00B531BD"/>
    <w:rsid w:val="00B85737"/>
    <w:rsid w:val="00BA5817"/>
    <w:rsid w:val="00BB4000"/>
    <w:rsid w:val="00BD0480"/>
    <w:rsid w:val="00BD1062"/>
    <w:rsid w:val="00BE49C6"/>
    <w:rsid w:val="00BF49A3"/>
    <w:rsid w:val="00C02757"/>
    <w:rsid w:val="00C3417D"/>
    <w:rsid w:val="00C37986"/>
    <w:rsid w:val="00C40E1F"/>
    <w:rsid w:val="00C4700C"/>
    <w:rsid w:val="00C64554"/>
    <w:rsid w:val="00C96516"/>
    <w:rsid w:val="00C97CDF"/>
    <w:rsid w:val="00CA4ACA"/>
    <w:rsid w:val="00CA5804"/>
    <w:rsid w:val="00CB2C1A"/>
    <w:rsid w:val="00CB2E9F"/>
    <w:rsid w:val="00CC0330"/>
    <w:rsid w:val="00CC638D"/>
    <w:rsid w:val="00CD0EC0"/>
    <w:rsid w:val="00CD14B6"/>
    <w:rsid w:val="00CE3DC4"/>
    <w:rsid w:val="00CE6210"/>
    <w:rsid w:val="00D11B79"/>
    <w:rsid w:val="00D17091"/>
    <w:rsid w:val="00D232BF"/>
    <w:rsid w:val="00D26916"/>
    <w:rsid w:val="00D26A8B"/>
    <w:rsid w:val="00D34760"/>
    <w:rsid w:val="00D536BA"/>
    <w:rsid w:val="00D56C1D"/>
    <w:rsid w:val="00D6121A"/>
    <w:rsid w:val="00D65B7F"/>
    <w:rsid w:val="00D72539"/>
    <w:rsid w:val="00D727BD"/>
    <w:rsid w:val="00D811D2"/>
    <w:rsid w:val="00D822A2"/>
    <w:rsid w:val="00D83A64"/>
    <w:rsid w:val="00D9207C"/>
    <w:rsid w:val="00D971CE"/>
    <w:rsid w:val="00DA1121"/>
    <w:rsid w:val="00DA7BB5"/>
    <w:rsid w:val="00DB19AC"/>
    <w:rsid w:val="00DC531E"/>
    <w:rsid w:val="00DE2F3A"/>
    <w:rsid w:val="00DE6C27"/>
    <w:rsid w:val="00DF14BB"/>
    <w:rsid w:val="00DF3A7F"/>
    <w:rsid w:val="00DF6288"/>
    <w:rsid w:val="00DF6F79"/>
    <w:rsid w:val="00E071B3"/>
    <w:rsid w:val="00E20E35"/>
    <w:rsid w:val="00E21903"/>
    <w:rsid w:val="00E2721B"/>
    <w:rsid w:val="00E677D3"/>
    <w:rsid w:val="00E723F4"/>
    <w:rsid w:val="00E74801"/>
    <w:rsid w:val="00E77838"/>
    <w:rsid w:val="00E84CA1"/>
    <w:rsid w:val="00E90939"/>
    <w:rsid w:val="00E9621F"/>
    <w:rsid w:val="00E96596"/>
    <w:rsid w:val="00EA1B3E"/>
    <w:rsid w:val="00EC31E2"/>
    <w:rsid w:val="00EC4632"/>
    <w:rsid w:val="00ED0765"/>
    <w:rsid w:val="00ED1802"/>
    <w:rsid w:val="00ED5586"/>
    <w:rsid w:val="00EE4C91"/>
    <w:rsid w:val="00EE624F"/>
    <w:rsid w:val="00EF4F5A"/>
    <w:rsid w:val="00F10A01"/>
    <w:rsid w:val="00F35241"/>
    <w:rsid w:val="00F361A6"/>
    <w:rsid w:val="00F435DA"/>
    <w:rsid w:val="00F46D8F"/>
    <w:rsid w:val="00F64EAE"/>
    <w:rsid w:val="00F67283"/>
    <w:rsid w:val="00F73FCE"/>
    <w:rsid w:val="00F774ED"/>
    <w:rsid w:val="00F950F7"/>
    <w:rsid w:val="00F96457"/>
    <w:rsid w:val="00F96E1C"/>
    <w:rsid w:val="00FB0CBD"/>
    <w:rsid w:val="00FC4CC9"/>
    <w:rsid w:val="00FD3694"/>
    <w:rsid w:val="00FD5733"/>
    <w:rsid w:val="01E26546"/>
    <w:rsid w:val="04167449"/>
    <w:rsid w:val="05551417"/>
    <w:rsid w:val="07513D0A"/>
    <w:rsid w:val="090452B8"/>
    <w:rsid w:val="094A101C"/>
    <w:rsid w:val="0AAB7780"/>
    <w:rsid w:val="0CE0273B"/>
    <w:rsid w:val="0EBA5E8A"/>
    <w:rsid w:val="12597517"/>
    <w:rsid w:val="13545C76"/>
    <w:rsid w:val="15041BA2"/>
    <w:rsid w:val="159F32C9"/>
    <w:rsid w:val="164A40D4"/>
    <w:rsid w:val="17516A2C"/>
    <w:rsid w:val="195D67D0"/>
    <w:rsid w:val="1B2E0C1E"/>
    <w:rsid w:val="1C47468D"/>
    <w:rsid w:val="1C7166E5"/>
    <w:rsid w:val="1D8726CB"/>
    <w:rsid w:val="1E447858"/>
    <w:rsid w:val="1EFA3C38"/>
    <w:rsid w:val="1F4445D5"/>
    <w:rsid w:val="21A80A61"/>
    <w:rsid w:val="25315EDA"/>
    <w:rsid w:val="28FB6205"/>
    <w:rsid w:val="296861B1"/>
    <w:rsid w:val="2A07545B"/>
    <w:rsid w:val="2A4B6D99"/>
    <w:rsid w:val="2B7C1597"/>
    <w:rsid w:val="2F1D4487"/>
    <w:rsid w:val="30001021"/>
    <w:rsid w:val="30376D3B"/>
    <w:rsid w:val="3075311F"/>
    <w:rsid w:val="34F50934"/>
    <w:rsid w:val="38D3626A"/>
    <w:rsid w:val="39B4471F"/>
    <w:rsid w:val="3A8B10C5"/>
    <w:rsid w:val="3C4340D1"/>
    <w:rsid w:val="3D132BAB"/>
    <w:rsid w:val="3D332764"/>
    <w:rsid w:val="3D5D45AD"/>
    <w:rsid w:val="3EDE61EC"/>
    <w:rsid w:val="3F86337F"/>
    <w:rsid w:val="400B43D6"/>
    <w:rsid w:val="419D4818"/>
    <w:rsid w:val="423931A7"/>
    <w:rsid w:val="45D33185"/>
    <w:rsid w:val="486C3CD6"/>
    <w:rsid w:val="48CC39A1"/>
    <w:rsid w:val="4C05193E"/>
    <w:rsid w:val="4E434405"/>
    <w:rsid w:val="4F57558F"/>
    <w:rsid w:val="50D74B7A"/>
    <w:rsid w:val="55A34512"/>
    <w:rsid w:val="5650648B"/>
    <w:rsid w:val="5697353F"/>
    <w:rsid w:val="56C66CC8"/>
    <w:rsid w:val="56D046AD"/>
    <w:rsid w:val="57C9597B"/>
    <w:rsid w:val="58F24A5D"/>
    <w:rsid w:val="5B2A00B2"/>
    <w:rsid w:val="5E0D3967"/>
    <w:rsid w:val="5EBE46CF"/>
    <w:rsid w:val="5F921363"/>
    <w:rsid w:val="61EE0B12"/>
    <w:rsid w:val="64FE5A0F"/>
    <w:rsid w:val="65EA62AC"/>
    <w:rsid w:val="66256172"/>
    <w:rsid w:val="674F441E"/>
    <w:rsid w:val="67D85766"/>
    <w:rsid w:val="698E0F2F"/>
    <w:rsid w:val="6F213E96"/>
    <w:rsid w:val="6F572D27"/>
    <w:rsid w:val="724A7D33"/>
    <w:rsid w:val="729D124B"/>
    <w:rsid w:val="744526D7"/>
    <w:rsid w:val="760A65CA"/>
    <w:rsid w:val="77106A03"/>
    <w:rsid w:val="79CF1D29"/>
    <w:rsid w:val="7A9D1299"/>
    <w:rsid w:val="7B326C02"/>
    <w:rsid w:val="7D416415"/>
    <w:rsid w:val="7DB01666"/>
    <w:rsid w:val="7E415147"/>
    <w:rsid w:val="7E626E76"/>
    <w:rsid w:val="7EEB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4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line number"/>
    <w:basedOn w:val="6"/>
    <w:autoRedefine/>
    <w:qFormat/>
    <w:uiPriority w:val="0"/>
  </w:style>
  <w:style w:type="character" w:styleId="8">
    <w:name w:val="Hyperlink"/>
    <w:basedOn w:val="6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font01"/>
    <w:basedOn w:val="6"/>
    <w:autoRedefine/>
    <w:qFormat/>
    <w:uiPriority w:val="0"/>
    <w:rPr>
      <w:rFonts w:ascii="微软雅黑" w:hAnsi="微软雅黑" w:eastAsia="微软雅黑" w:cs="微软雅黑"/>
      <w:b/>
      <w:bCs/>
      <w:color w:val="000000"/>
      <w:sz w:val="20"/>
      <w:szCs w:val="20"/>
      <w:u w:val="none"/>
    </w:rPr>
  </w:style>
  <w:style w:type="character" w:customStyle="1" w:styleId="10">
    <w:name w:val="font31"/>
    <w:basedOn w:val="6"/>
    <w:autoRedefine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11">
    <w:name w:val="font21"/>
    <w:basedOn w:val="6"/>
    <w:autoRedefine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12">
    <w:name w:val="font11"/>
    <w:basedOn w:val="6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13">
    <w:name w:val="font41"/>
    <w:basedOn w:val="6"/>
    <w:autoRedefine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4">
    <w:name w:val="页眉 字符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D:\&#23454;&#39564;&#21450;&#20854;&#25968;&#25454;\&#32905;&#26690;&#36951;&#20256;&#26631;&#35760;\&#32905;&#26690;&#37275;&#21547;&#37327;\20221109&#34917;\&#26032;&#26631;&#26354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elete val="1"/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100051320400592"/>
                  <c:y val="-0.0347222222222222"/>
                </c:manualLayout>
              </c:layout>
              <c:tx>
                <c:rich>
                  <a:bodyPr rot="0" spcFirstLastPara="0" vertOverflow="ellipsis" vert="horz" wrap="square" anchor="ctr" anchorCtr="1"/>
                  <a:lstStyle/>
                  <a:p>
                    <a:pPr>
                      <a:defRPr lang="zh-CN" sz="900" b="0" i="0" u="none" strike="noStrike" kern="1200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11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cs typeface="Times New Roman" panose="02020603050405020304" charset="0"/>
                      </a:rPr>
                      <a:t>y = 306382x + 421.72</a:t>
                    </a:r>
                    <a:br>
                      <a:rPr lang="en-US" altLang="zh-CN" sz="11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cs typeface="Times New Roman" panose="02020603050405020304" charset="0"/>
                      </a:rPr>
                    </a:br>
                    <a:r>
                      <a:rPr lang="en-US" altLang="zh-CN" sz="1100" baseline="0">
                        <a:solidFill>
                          <a:sysClr val="windowText" lastClr="000000"/>
                        </a:solidFill>
                        <a:latin typeface="Times New Roman" panose="02020603050405020304" charset="0"/>
                        <a:cs typeface="Times New Roman" panose="02020603050405020304" charset="0"/>
                      </a:rPr>
                      <a:t>R² = 0.9991</a:t>
                    </a:r>
                    <a:endParaRPr lang="en-US" altLang="zh-CN" sz="1100">
                      <a:solidFill>
                        <a:sysClr val="windowText" lastClr="000000"/>
                      </a:solidFill>
                      <a:latin typeface="Times New Roman" panose="02020603050405020304" charset="0"/>
                      <a:cs typeface="Times New Roman" panose="02020603050405020304" charset="0"/>
                    </a:endParaRP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</c:trendlineLbl>
          </c:trendline>
          <c:xVal>
            <c:numRef>
              <c:f>Sheet1!$B$2:$F$2</c:f>
              <c:numCache>
                <c:formatCode>General</c:formatCode>
                <c:ptCount val="5"/>
                <c:pt idx="0">
                  <c:v>0.2</c:v>
                </c:pt>
                <c:pt idx="1">
                  <c:v>0.1</c:v>
                </c:pt>
                <c:pt idx="2">
                  <c:v>0.05</c:v>
                </c:pt>
                <c:pt idx="3">
                  <c:v>0.01</c:v>
                </c:pt>
                <c:pt idx="4">
                  <c:v>0.001</c:v>
                </c:pt>
              </c:numCache>
            </c:numRef>
          </c:xVal>
          <c:yVal>
            <c:numRef>
              <c:f>Sheet1!$B$3:$F$3</c:f>
              <c:numCache>
                <c:formatCode>General</c:formatCode>
                <c:ptCount val="5"/>
                <c:pt idx="0">
                  <c:v>61049.6</c:v>
                </c:pt>
                <c:pt idx="1">
                  <c:v>32332.1</c:v>
                </c:pt>
                <c:pt idx="2">
                  <c:v>15860.5</c:v>
                </c:pt>
                <c:pt idx="3">
                  <c:v>3182.08984</c:v>
                </c:pt>
                <c:pt idx="4">
                  <c:v>288.36526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51873645"/>
        <c:axId val="913819600"/>
      </c:scatterChart>
      <c:valAx>
        <c:axId val="55187364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400" b="1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Versus concentration (mg\mL)</a:t>
                </a:r>
                <a:endParaRPr lang="zh-CN" altLang="en-US" sz="1400" b="1">
                  <a:solidFill>
                    <a:schemeClr val="tx1"/>
                  </a:solidFill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913819600"/>
        <c:crosses val="autoZero"/>
        <c:crossBetween val="midCat"/>
      </c:valAx>
      <c:valAx>
        <c:axId val="91381960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400" b="1">
                    <a:solidFill>
                      <a:schemeClr val="tx1"/>
                    </a:solidFill>
                    <a:latin typeface="Times New Roman" panose="02020603050405020304" charset="0"/>
                    <a:cs typeface="Times New Roman" panose="02020603050405020304" charset="0"/>
                  </a:rPr>
                  <a:t>Peak areas (mAU)</a:t>
                </a:r>
                <a:endParaRPr lang="zh-CN" altLang="en-US" sz="1400" b="1">
                  <a:solidFill>
                    <a:schemeClr val="tx1"/>
                  </a:solidFill>
                  <a:latin typeface="Times New Roman" panose="02020603050405020304" charset="0"/>
                  <a:cs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0124146492861577"/>
              <c:y val="0.23443275645231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95000"/>
                <a:lumOff val="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551873645"/>
        <c:crossesAt val="0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2958</Words>
  <Characters>16865</Characters>
  <Lines>140</Lines>
  <Paragraphs>39</Paragraphs>
  <TotalTime>1733</TotalTime>
  <ScaleCrop>false</ScaleCrop>
  <LinksUpToDate>false</LinksUpToDate>
  <CharactersWithSpaces>19784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2023-07-04T08:08:00Z</dcterms:created>
  <dc:creator>yang'yang</dc:creator>
  <cp:lastModifiedBy>大杨旸</cp:lastModifiedBy>
  <dcterms:modified xsi:type="dcterms:W3CDTF">2024-02-21T09:38:19Z</dcterms:modified>
  <cp:revision>292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FE378E3AB1344F0ABE6488E528F61F6B</vt:lpwstr>
  </property>
</Properties>
</file>