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587"/>
        <w:gridCol w:w="1822"/>
        <w:gridCol w:w="7041"/>
        <w:gridCol w:w="720"/>
        <w:gridCol w:w="4320"/>
      </w:tblGrid>
      <w:tr>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7041"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7041"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20" w:type="dxa"/>
            <w:tcBorders>
              <w:top w:val="single" w:color="7F7F7F" w:sz="6" w:space="0"/>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top w:val="single" w:color="7F7F7F" w:sz="6" w:space="0"/>
              <w:bottom w:val="single" w:color="7F7F7F" w:sz="6" w:space="0"/>
            </w:tcBorders>
            <w:shd w:val="clear" w:color="auto" w:fill="EEEEEE"/>
          </w:tcPr>
          <w:p>
            <w:pPr>
              <w:spacing w:line="360" w:lineRule="auto"/>
              <w:rPr>
                <w:rFonts w:eastAsia="Times New Roman"/>
                <w:sz w:val="18"/>
                <w:szCs w:val="18"/>
                <w:lang w:val="en-GB" w:eastAsia="en-GB"/>
              </w:rPr>
            </w:pPr>
            <w:r>
              <w:rPr>
                <w:rFonts w:ascii="Times New Roman" w:hAnsi="Times New Roman" w:cs="Times New Roman"/>
                <w:b/>
                <w:bCs/>
                <w:sz w:val="24"/>
              </w:rPr>
              <w:t>A</w:t>
            </w:r>
            <w:r>
              <w:rPr>
                <w:rFonts w:hint="eastAsia" w:ascii="Times New Roman" w:hAnsi="Times New Roman" w:cs="Times New Roman"/>
                <w:b/>
                <w:bCs/>
                <w:sz w:val="24"/>
              </w:rPr>
              <w:t xml:space="preserve"> two-sample </w:t>
            </w:r>
            <w:r>
              <w:rPr>
                <w:rFonts w:ascii="Times New Roman" w:hAnsi="Times New Roman" w:cs="Times New Roman"/>
                <w:b/>
                <w:bCs/>
                <w:sz w:val="24"/>
              </w:rPr>
              <w:t>M</w:t>
            </w:r>
            <w:r>
              <w:rPr>
                <w:rFonts w:hint="eastAsia" w:ascii="Times New Roman" w:hAnsi="Times New Roman" w:cs="Times New Roman"/>
                <w:b/>
                <w:bCs/>
                <w:sz w:val="24"/>
              </w:rPr>
              <w:t>endelian randomization study</w:t>
            </w:r>
            <w:r>
              <w:rPr>
                <w:rFonts w:ascii="Times New Roman" w:hAnsi="Times New Roman" w:cs="Times New Roman"/>
                <w:b/>
                <w:bCs/>
                <w:sz w:val="24"/>
              </w:rPr>
              <w:t xml:space="preserve"> to explore the</w:t>
            </w:r>
            <w:r>
              <w:rPr>
                <w:rFonts w:hint="eastAsia" w:ascii="Times New Roman" w:hAnsi="Times New Roman" w:cs="Times New Roman"/>
                <w:b/>
                <w:bCs/>
                <w:sz w:val="24"/>
              </w:rPr>
              <w:t xml:space="preserve"> </w:t>
            </w:r>
            <w:r>
              <w:rPr>
                <w:rFonts w:ascii="Times New Roman" w:hAnsi="Times New Roman" w:cs="Times New Roman"/>
                <w:b/>
                <w:bCs/>
                <w:sz w:val="24"/>
              </w:rPr>
              <w:t>c</w:t>
            </w:r>
            <w:r>
              <w:rPr>
                <w:rFonts w:hint="eastAsia" w:ascii="Times New Roman" w:hAnsi="Times New Roman" w:cs="Times New Roman"/>
                <w:b/>
                <w:bCs/>
                <w:sz w:val="24"/>
              </w:rPr>
              <w:t xml:space="preserve">ausal </w:t>
            </w:r>
            <w:r>
              <w:rPr>
                <w:rFonts w:ascii="Times New Roman" w:hAnsi="Times New Roman" w:cs="Times New Roman"/>
                <w:b/>
                <w:bCs/>
                <w:sz w:val="24"/>
              </w:rPr>
              <w:t>relationship</w:t>
            </w:r>
            <w:r>
              <w:rPr>
                <w:rFonts w:hint="eastAsia" w:ascii="Times New Roman" w:hAnsi="Times New Roman" w:cs="Times New Roman"/>
                <w:b/>
                <w:bCs/>
                <w:sz w:val="24"/>
              </w:rPr>
              <w:t xml:space="preserve"> between </w:t>
            </w:r>
            <w:r>
              <w:rPr>
                <w:rFonts w:ascii="Times New Roman" w:hAnsi="Times New Roman" w:cs="Times New Roman"/>
                <w:b/>
                <w:bCs/>
                <w:sz w:val="24"/>
              </w:rPr>
              <w:t xml:space="preserve">immune </w:t>
            </w:r>
            <w:r>
              <w:rPr>
                <w:rFonts w:hint="eastAsia" w:ascii="Times New Roman" w:hAnsi="Times New Roman" w:cs="Times New Roman"/>
                <w:b/>
                <w:bCs/>
                <w:sz w:val="24"/>
              </w:rPr>
              <w:t>inflammatory factors and systemic lupus erythematosu</w:t>
            </w:r>
            <w:r>
              <w:rPr>
                <w:rFonts w:ascii="Times New Roman" w:hAnsi="Times New Roman" w:cs="Times New Roman"/>
                <w:b/>
                <w:bCs/>
                <w:sz w:val="24"/>
              </w:rPr>
              <w:t xml:space="preserve">s </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7041"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color="7F7F7F" w:sz="6" w:space="0"/>
            </w:tcBorders>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c>
          <w:tcPr>
            <w:tcW w:w="4320" w:type="dxa"/>
            <w:tcBorders>
              <w:bottom w:val="single" w:color="7F7F7F" w:sz="6" w:space="0"/>
            </w:tcBorders>
          </w:tcPr>
          <w:p>
            <w:pPr>
              <w:spacing w:line="360" w:lineRule="auto"/>
              <w:ind w:firstLine="420"/>
              <w:rPr>
                <w:rFonts w:eastAsia="Times New Roman"/>
                <w:sz w:val="18"/>
                <w:szCs w:val="18"/>
                <w:lang w:val="en-GB" w:eastAsia="en-GB"/>
              </w:rPr>
            </w:pPr>
            <w:r>
              <w:rPr>
                <w:rFonts w:ascii="Times New Roman" w:hAnsi="Times New Roman" w:cs="Times New Roman"/>
                <w:sz w:val="24"/>
              </w:rPr>
              <w:t xml:space="preserve">Here, we conducted this two-sample MR study to investigate the effect of 91 inflammatory factors on SLE risk. Genetic variants strongly associated with inflammatory factors were used as IVs to improve the causal influence of inflammatory factors on SLE development. Our ultimate aim was to identify new therapeutic targets to facilitate the early diagnosis and treatment of SLE. </w:t>
            </w:r>
          </w:p>
        </w:tc>
      </w:tr>
      <w:tr>
        <w:tblPrEx>
          <w:tblCellMar>
            <w:top w:w="0" w:type="dxa"/>
            <w:left w:w="108" w:type="dxa"/>
            <w:bottom w:w="0" w:type="dxa"/>
            <w:right w:w="108" w:type="dxa"/>
          </w:tblCellMar>
        </w:tblPrEx>
        <w:tc>
          <w:tcPr>
            <w:tcW w:w="587"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7041"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4，5，6</w:t>
            </w: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pPr>
              <w:spacing w:before="96" w:beforeLines="40" w:after="96" w:afterLines="40" w:line="24" w:lineRule="atLeast"/>
              <w:rPr>
                <w:rFonts w:hint="eastAsia" w:eastAsia="宋体"/>
                <w:sz w:val="18"/>
                <w:szCs w:val="18"/>
                <w:shd w:val="clear" w:color="auto" w:fill="FFFFFF"/>
                <w:lang w:val="en-US" w:eastAsia="zh-CN"/>
              </w:rPr>
            </w:pPr>
            <w:r>
              <w:rPr>
                <w:rFonts w:hint="eastAsia" w:eastAsia="宋体"/>
                <w:sz w:val="18"/>
                <w:szCs w:val="18"/>
                <w:lang w:val="en-US" w:eastAsia="zh-CN"/>
              </w:rPr>
              <w:t>4</w:t>
            </w:r>
          </w:p>
        </w:tc>
        <w:tc>
          <w:tcPr>
            <w:tcW w:w="4320"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bookmarkStart w:id="0" w:name="OLE_LINK2"/>
            <w:r>
              <w:rPr>
                <w:rFonts w:ascii="Times New Roman" w:hAnsi="Times New Roman" w:cs="Times New Roman"/>
                <w:sz w:val="24"/>
              </w:rPr>
              <w:t xml:space="preserve">The genome-wide association study (GWAS) summary dataset used in this study was obtained from the OpenGWAS database, and comprised data from </w:t>
            </w:r>
            <w:bookmarkStart w:id="1" w:name="OLE_LINK12"/>
            <w:r>
              <w:rPr>
                <w:rFonts w:ascii="Times New Roman" w:hAnsi="Times New Roman" w:cs="Times New Roman"/>
                <w:sz w:val="24"/>
              </w:rPr>
              <w:t>482,911 Europeans</w:t>
            </w:r>
            <w:bookmarkEnd w:id="1"/>
            <w:r>
              <w:rPr>
                <w:rFonts w:ascii="Times New Roman" w:hAnsi="Times New Roman" w:cs="Times New Roman"/>
                <w:sz w:val="24"/>
              </w:rPr>
              <w:t xml:space="preserve"> (647 patients with SLE and 482,264 healthy subjects).</w:t>
            </w:r>
            <w:bookmarkEnd w:id="0"/>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20" w:type="dxa"/>
          </w:tcPr>
          <w:p>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lang w:val="en-US" w:eastAsia="zh-CN"/>
              </w:rPr>
              <w:t>4，5</w:t>
            </w:r>
          </w:p>
        </w:tc>
        <w:tc>
          <w:tcPr>
            <w:tcW w:w="4320"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ascii="Times New Roman" w:hAnsi="Times New Roman" w:cs="Times New Roman"/>
                <w:sz w:val="24"/>
              </w:rPr>
              <w:t>The genome-wide association study (GWAS) summary dataset used in this study was obtained from the OpenGWAS database, and comprised data from 482,911 Europeans (647 patients with SLE and 482,264 healthy subjects).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bookmarkStart w:id="2" w:name="OLE_LINK1"/>
            <w:r>
              <w:rPr>
                <w:rFonts w:hint="eastAsia" w:eastAsia="宋体"/>
                <w:sz w:val="18"/>
                <w:szCs w:val="18"/>
                <w:lang w:val="en-US" w:eastAsia="zh-CN"/>
              </w:rPr>
              <w:t>6</w:t>
            </w:r>
            <w:bookmarkEnd w:id="2"/>
          </w:p>
        </w:tc>
        <w:tc>
          <w:tcPr>
            <w:tcW w:w="4320" w:type="dxa"/>
            <w:shd w:val="clear" w:color="auto" w:fill="EEEEEE"/>
          </w:tcPr>
          <w:p>
            <w:pPr>
              <w:spacing w:line="360" w:lineRule="auto"/>
              <w:rPr>
                <w:rFonts w:ascii="Times New Roman" w:hAnsi="Times New Roman" w:cs="Times New Roman"/>
                <w:sz w:val="24"/>
              </w:rPr>
            </w:pPr>
            <w:r>
              <w:rPr>
                <w:rFonts w:ascii="Times New Roman" w:hAnsi="Times New Roman" w:cs="Times New Roman"/>
                <w:sz w:val="24"/>
              </w:rPr>
              <w:t>Due to the direct correlation between genetic variation and exposure, the significance levels for the IVs of each inflammatory factor and the immune features were both set to 1×10</w:t>
            </w:r>
            <w:r>
              <w:rPr>
                <w:rFonts w:ascii="Times New Roman" w:hAnsi="Times New Roman" w:cs="Times New Roman"/>
                <w:sz w:val="24"/>
                <w:vertAlign w:val="superscript"/>
              </w:rPr>
              <w:t>−5</w:t>
            </w:r>
            <w:r>
              <w:rPr>
                <w:rFonts w:ascii="Times New Roman" w:hAnsi="Times New Roman" w:cs="Times New Roman"/>
                <w:sz w:val="24"/>
              </w:rPr>
              <w:t>. To obtain the IV of independent sites, the linkage disequilibrium (LD) threshold was set to R</w:t>
            </w:r>
            <w:r>
              <w:rPr>
                <w:rFonts w:ascii="Times New Roman" w:hAnsi="Times New Roman" w:cs="Times New Roman"/>
                <w:sz w:val="24"/>
                <w:vertAlign w:val="superscript"/>
              </w:rPr>
              <w:t>2</w:t>
            </w:r>
            <w:r>
              <w:rPr>
                <w:rFonts w:ascii="Times New Roman" w:hAnsi="Times New Roman" w:cs="Times New Roman"/>
                <w:sz w:val="24"/>
              </w:rPr>
              <w:t>&lt;0.001 and the aggregated "TwoSampleMR" packet data distance was set to 10,000 kb. For SLE, the significance level was adjusted to 5×10</w:t>
            </w:r>
            <w:r>
              <w:rPr>
                <w:rFonts w:ascii="Times New Roman" w:hAnsi="Times New Roman" w:cs="Times New Roman"/>
                <w:sz w:val="24"/>
                <w:vertAlign w:val="superscript"/>
              </w:rPr>
              <w:t>-8</w:t>
            </w:r>
            <w:r>
              <w:rPr>
                <w:rFonts w:ascii="Times New Roman" w:hAnsi="Times New Roman" w:cs="Times New Roman"/>
                <w:sz w:val="24"/>
              </w:rPr>
              <w:t>, commonly used to represent genome-wide significance in GWAS, with an LD threshold of R</w:t>
            </w:r>
            <w:r>
              <w:rPr>
                <w:rFonts w:ascii="Times New Roman" w:hAnsi="Times New Roman" w:cs="Times New Roman"/>
                <w:sz w:val="24"/>
                <w:vertAlign w:val="superscript"/>
              </w:rPr>
              <w:t>2</w:t>
            </w:r>
            <w:r>
              <w:rPr>
                <w:rFonts w:ascii="Times New Roman" w:hAnsi="Times New Roman" w:cs="Times New Roman"/>
                <w:sz w:val="24"/>
              </w:rPr>
              <w:t>&lt;0.001 and an aggregation distance of 10,000 kb. The F-values were calculated for each single SNP; SNPs with an F&lt;10 and palindrome SNPs were excluded from the analysis.</w:t>
            </w:r>
          </w:p>
          <w:p>
            <w:pPr>
              <w:widowControl/>
              <w:spacing w:line="360" w:lineRule="auto"/>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pPr>
              <w:spacing w:before="96" w:beforeLines="40" w:after="96" w:afterLines="40" w:line="24" w:lineRule="atLeast"/>
              <w:textAlignment w:val="baseline"/>
              <w:rPr>
                <w:rFonts w:hint="eastAsia" w:eastAsia="宋体"/>
                <w:sz w:val="18"/>
                <w:szCs w:val="18"/>
                <w:shd w:val="clear" w:color="auto" w:fill="FFFFFF"/>
                <w:lang w:val="en-US" w:eastAsia="zh-CN"/>
              </w:rPr>
            </w:pPr>
          </w:p>
        </w:tc>
        <w:tc>
          <w:tcPr>
            <w:tcW w:w="4320" w:type="dxa"/>
          </w:tcPr>
          <w:p>
            <w:pPr>
              <w:spacing w:before="96" w:beforeLines="40" w:after="96" w:afterLines="40" w:line="24" w:lineRule="atLeast"/>
              <w:textAlignment w:val="baseline"/>
              <w:rPr>
                <w:rFonts w:eastAsia="Times New Roman"/>
                <w:sz w:val="18"/>
                <w:szCs w:val="18"/>
                <w:shd w:val="clear" w:color="auto" w:fill="FFFFFF"/>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EEEEEE"/>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pPr>
              <w:spacing w:before="96" w:beforeLines="40" w:after="96" w:afterLines="40" w:line="24" w:lineRule="atLeast"/>
              <w:textAlignment w:val="baseline"/>
              <w:rPr>
                <w:rFonts w:hint="eastAsia" w:eastAsia="宋体"/>
                <w:sz w:val="18"/>
                <w:szCs w:val="18"/>
                <w:shd w:val="clear" w:color="auto" w:fill="FFFFFF"/>
                <w:lang w:val="en-US" w:eastAsia="zh-CN"/>
              </w:rPr>
            </w:pPr>
          </w:p>
        </w:tc>
        <w:tc>
          <w:tcPr>
            <w:tcW w:w="4320" w:type="dxa"/>
            <w:shd w:val="clear" w:color="auto" w:fill="EEEEEE"/>
          </w:tcPr>
          <w:p>
            <w:pPr>
              <w:spacing w:before="96" w:beforeLines="40" w:after="96" w:afterLines="40" w:line="24" w:lineRule="atLeast"/>
              <w:textAlignment w:val="baseline"/>
              <w:rPr>
                <w:rFonts w:eastAsia="Times New Roman"/>
                <w:sz w:val="18"/>
                <w:szCs w:val="18"/>
                <w:shd w:val="clear" w:color="auto" w:fill="FFFFFF"/>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The approach is rooted in three key assumptions: (1) the genetic variation is directly related to the exposure under investigation; (2) the genetic variation is not associated with factors that could potentially confound the relationship between the exposure and the outcome; (3) the genetic variations do not affect results through pathways other than the exposure being studied. </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shd w:val="clear" w:color="auto" w:fill="EEEEEE"/>
          </w:tcPr>
          <w:p>
            <w:pPr>
              <w:spacing w:line="360" w:lineRule="auto"/>
              <w:rPr>
                <w:rFonts w:ascii="Times New Roman" w:hAnsi="Times New Roman" w:cs="Times New Roman"/>
                <w:sz w:val="24"/>
              </w:rPr>
            </w:pPr>
            <w:r>
              <w:rPr>
                <w:rFonts w:ascii="Times New Roman" w:hAnsi="Times New Roman" w:cs="Times New Roman"/>
                <w:sz w:val="24"/>
              </w:rPr>
              <w:t xml:space="preserve">The "TwoSampleMR" package (version 0.5.7) of R software (version 4.2.1) (http://www.Rproject.org) was used to perform the two-sample MR analysis. This R package is specifically designed for MR analysis, with tools for estimating, testing, and performing a sensitivity analysis of the causal effects. The inverse variance weighing (IVW) method is a standard MR method that combines Wald estimates from multiple genetic variations (the ratio of SNP result associations to SNP exposure associations). These estimates are then weighted based on the inverse variance associated with each SNP result. The weighing ensures that more precise estimates, indicated by smaller variances, contribute proportionally more to the overall analysis. These analyses were supported by rigorous sensitivity analysis methods (e.g., Cochran's Q-test) that enable the examination of heterogeneity between IVs. This statistical evaluation approach was used to optimize the reliability and accuracy of the results. </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6，7</w:t>
            </w:r>
          </w:p>
        </w:tc>
        <w:tc>
          <w:tcPr>
            <w:tcW w:w="4320" w:type="dxa"/>
          </w:tcPr>
          <w:p>
            <w:pPr>
              <w:spacing w:line="360" w:lineRule="auto"/>
              <w:rPr>
                <w:rFonts w:ascii="Times New Roman" w:hAnsi="Times New Roman" w:cs="Times New Roman"/>
                <w:sz w:val="24"/>
              </w:rPr>
            </w:pPr>
            <w:r>
              <w:rPr>
                <w:rFonts w:ascii="Times New Roman" w:hAnsi="Times New Roman" w:cs="Times New Roman"/>
                <w:sz w:val="24"/>
              </w:rPr>
              <w:t>First, the causal relationship between inflammatory factors and SLE was evaluated, making sure to eliminate the interference of a reverse causal relationship. Next, the causal effect of immune characteristics on SLE was determined. Inflammatory factors with the lowest P-values were then selected in the causal relationship between inflammatory factors and SLE as the exposure. Following an analysis of the immune characteristics of SLE, the mediating factor was ultimately determined.</w:t>
            </w:r>
          </w:p>
          <w:p>
            <w:pPr>
              <w:spacing w:line="360" w:lineRule="auto"/>
              <w:rPr>
                <w:rFonts w:ascii="Times New Roman" w:hAnsi="Times New Roman" w:cs="Times New Roman"/>
                <w:sz w:val="24"/>
              </w:rPr>
            </w:pPr>
            <w:r>
              <w:rPr>
                <w:rFonts w:ascii="Times New Roman" w:hAnsi="Times New Roman" w:cs="Times New Roman"/>
                <w:sz w:val="24"/>
              </w:rPr>
              <w:t xml:space="preserve">The overall impact of inflammatory factors on SLE can be dissected into two components: the direct and indirect effects of inflammatory factors. The indirect effect represents the causal relationship between inflammatory factors and immune characteristics, denoted by the </w:t>
            </w:r>
            <w:r>
              <w:rPr>
                <w:rFonts w:ascii="Times New Roman" w:hAnsi="Times New Roman" w:eastAsia="等线" w:cs="Times New Roman"/>
                <w:color w:val="000000"/>
                <w:kern w:val="0"/>
                <w:sz w:val="24"/>
              </w:rPr>
              <w:t>beta coefficient</w:t>
            </w:r>
            <w:r>
              <w:rPr>
                <w:rFonts w:ascii="Times New Roman" w:hAnsi="Times New Roman" w:cs="Times New Roman"/>
                <w:sz w:val="24"/>
              </w:rPr>
              <w:t xml:space="preserve"> (β). Similarly, β signifies the causal relationship between immune characteristics at a given value (x) and the occurrence of SLE. The direct effect is equal to the total effect minus the indirect effect, while the mediation ratio is equal to the mediation effect divided by the total effect.</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20" w:type="dxa"/>
          </w:tcPr>
          <w:p>
            <w:pPr>
              <w:spacing w:before="96" w:beforeLines="40" w:after="96" w:afterLines="40" w:line="24" w:lineRule="atLeast"/>
              <w:rPr>
                <w:rFonts w:hint="eastAsia" w:eastAsia="宋体"/>
                <w:sz w:val="18"/>
                <w:szCs w:val="18"/>
                <w:lang w:val="en-US" w:eastAsia="zh-CN"/>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720" w:type="dxa"/>
            <w:shd w:val="clear" w:color="auto" w:fill="EEEEEE"/>
          </w:tcPr>
          <w:p>
            <w:pPr>
              <w:tabs>
                <w:tab w:val="left" w:pos="1620"/>
              </w:tabs>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These analyses were supported by rigorous sensitivity analysis methods (e.g., Cochran's Q-test) that enable the examination of heterogeneity between IVs. This statistical evaluation approach was used to optimize the reliability and accuracy of the results.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Times New Roman"/>
                <w:sz w:val="24"/>
              </w:rPr>
              <w:t xml:space="preserve">These analyses were supported by rigorous sensitivity analysis methods (e.g., Cochran's Q-test) that enable the examination of heterogeneity between IVs. This statistical evaluation approach was used to optimize the reliability and accuracy of the results. </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shd w:val="clear" w:color="auto" w:fill="EEEEEE"/>
          </w:tcPr>
          <w:p>
            <w:pPr>
              <w:spacing w:before="96" w:beforeLines="40" w:after="96" w:afterLines="40" w:line="24" w:lineRule="atLeast"/>
              <w:rPr>
                <w:rFonts w:eastAsia="Cambria"/>
                <w:sz w:val="18"/>
                <w:szCs w:val="18"/>
                <w:lang w:val="en-GB" w:eastAsia="en-US"/>
              </w:rPr>
            </w:pPr>
            <w:r>
              <w:rPr>
                <w:rFonts w:ascii="Times New Roman" w:hAnsi="Times New Roman" w:cs="Times New Roman"/>
                <w:sz w:val="24"/>
              </w:rPr>
              <w:t xml:space="preserve">These analyses were supported by rigorous sensitivity analysis methods (e.g., Cochran's Q-test) that enable the examination of heterogeneity between IVs. This statistical evaluation approach was used to optimize the reliability and accuracy of the results.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20" w:type="dxa"/>
            <w:tcBorders>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7-19</w:t>
            </w: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7-19</w:t>
            </w:r>
          </w:p>
        </w:tc>
        <w:tc>
          <w:tcPr>
            <w:tcW w:w="4320"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7-19</w:t>
            </w: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7-19</w:t>
            </w:r>
          </w:p>
        </w:tc>
        <w:tc>
          <w:tcPr>
            <w:tcW w:w="4320"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20-21</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cs="Times New Roman"/>
                <w:sz w:val="24"/>
              </w:rPr>
              <w:t xml:space="preserve">In this two-sample </w:t>
            </w:r>
            <w:r>
              <w:rPr>
                <w:rFonts w:ascii="Times New Roman" w:hAnsi="Times New Roman" w:cs="Times New Roman"/>
                <w:sz w:val="24"/>
              </w:rPr>
              <w:t>MR</w:t>
            </w:r>
            <w:r>
              <w:rPr>
                <w:rFonts w:hint="eastAsia" w:ascii="Times New Roman" w:hAnsi="Times New Roman" w:cs="Times New Roman"/>
                <w:sz w:val="24"/>
              </w:rPr>
              <w:t xml:space="preserve"> study, we f</w:t>
            </w:r>
            <w:r>
              <w:rPr>
                <w:rFonts w:ascii="Times New Roman" w:hAnsi="Times New Roman" w:cs="Times New Roman"/>
                <w:sz w:val="24"/>
              </w:rPr>
              <w:t>ound</w:t>
            </w:r>
            <w:r>
              <w:rPr>
                <w:rFonts w:hint="eastAsia" w:ascii="Times New Roman" w:hAnsi="Times New Roman" w:cs="Times New Roman"/>
                <w:sz w:val="24"/>
              </w:rPr>
              <w:t xml:space="preserve"> that </w:t>
            </w:r>
            <w:r>
              <w:rPr>
                <w:rFonts w:ascii="Times New Roman" w:hAnsi="Times New Roman" w:cs="Times New Roman"/>
                <w:sz w:val="24"/>
              </w:rPr>
              <w:t xml:space="preserve">the levels of </w:t>
            </w:r>
            <w:r>
              <w:rPr>
                <w:rFonts w:hint="eastAsia" w:ascii="Times New Roman" w:hAnsi="Times New Roman" w:cs="Times New Roman"/>
                <w:sz w:val="24"/>
              </w:rPr>
              <w:t xml:space="preserve">many inflammatory factors </w:t>
            </w:r>
            <w:r>
              <w:rPr>
                <w:rFonts w:ascii="Times New Roman" w:hAnsi="Times New Roman" w:cs="Times New Roman"/>
                <w:sz w:val="24"/>
              </w:rPr>
              <w:t xml:space="preserve">were </w:t>
            </w:r>
            <w:r>
              <w:rPr>
                <w:rFonts w:hint="eastAsia" w:ascii="Times New Roman" w:hAnsi="Times New Roman" w:cs="Times New Roman"/>
                <w:sz w:val="24"/>
              </w:rPr>
              <w:t xml:space="preserve">significant </w:t>
            </w:r>
            <w:r>
              <w:rPr>
                <w:rFonts w:ascii="Times New Roman" w:hAnsi="Times New Roman" w:cs="Times New Roman"/>
                <w:sz w:val="24"/>
              </w:rPr>
              <w:t>altered</w:t>
            </w:r>
            <w:r>
              <w:rPr>
                <w:rFonts w:hint="eastAsia" w:ascii="Times New Roman" w:hAnsi="Times New Roman" w:cs="Times New Roman"/>
                <w:sz w:val="24"/>
              </w:rPr>
              <w:t xml:space="preserve"> in </w:t>
            </w:r>
            <w:r>
              <w:rPr>
                <w:rFonts w:ascii="Times New Roman" w:hAnsi="Times New Roman" w:cs="Times New Roman"/>
                <w:sz w:val="24"/>
              </w:rPr>
              <w:t xml:space="preserve">patients with </w:t>
            </w:r>
            <w:r>
              <w:rPr>
                <w:rFonts w:hint="eastAsia" w:ascii="Times New Roman" w:hAnsi="Times New Roman" w:cs="Times New Roman"/>
                <w:sz w:val="24"/>
              </w:rPr>
              <w:t>SLE</w:t>
            </w:r>
            <w:r>
              <w:rPr>
                <w:rFonts w:ascii="Times New Roman" w:hAnsi="Times New Roman" w:cs="Times New Roman"/>
                <w:sz w:val="24"/>
              </w:rPr>
              <w:t xml:space="preserve"> versus healthy subjects</w:t>
            </w:r>
            <w:r>
              <w:rPr>
                <w:rFonts w:hint="eastAsia" w:ascii="Times New Roman" w:hAnsi="Times New Roman" w:cs="Times New Roman"/>
                <w:sz w:val="24"/>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等线" w:cs="Times New Roman"/>
                <w:color w:val="000000"/>
                <w:kern w:val="0"/>
                <w:sz w:val="24"/>
              </w:rPr>
              <w:t xml:space="preserve">First, although a two-sample MR analysis </w:t>
            </w:r>
            <w:r>
              <w:rPr>
                <w:rFonts w:ascii="Times New Roman" w:hAnsi="Times New Roman" w:eastAsia="等线" w:cs="Times New Roman"/>
                <w:color w:val="000000"/>
                <w:kern w:val="0"/>
                <w:sz w:val="24"/>
              </w:rPr>
              <w:t>can</w:t>
            </w:r>
            <w:r>
              <w:rPr>
                <w:rFonts w:hint="eastAsia" w:ascii="Times New Roman" w:hAnsi="Times New Roman" w:eastAsia="等线" w:cs="Times New Roman"/>
                <w:color w:val="000000"/>
                <w:kern w:val="0"/>
                <w:sz w:val="24"/>
              </w:rPr>
              <w:t xml:space="preserve"> reduce interference from confounders, it relies on strong assumptions, such as the validity of the selected IVs. Causal inference may be biased if these IVs are associated with potential confounders or influence the results through pathways other than the exposure. Second, although we performed a comprehensive GWAS data analysis of a large number of inflammatory factors </w:t>
            </w:r>
            <w:r>
              <w:rPr>
                <w:rFonts w:ascii="Times New Roman" w:hAnsi="Times New Roman" w:eastAsia="等线" w:cs="Times New Roman"/>
                <w:color w:val="000000"/>
                <w:kern w:val="0"/>
                <w:sz w:val="24"/>
              </w:rPr>
              <w:t xml:space="preserve">to determine their relationship with </w:t>
            </w:r>
            <w:r>
              <w:rPr>
                <w:rFonts w:hint="eastAsia" w:ascii="Times New Roman" w:hAnsi="Times New Roman" w:eastAsia="等线" w:cs="Times New Roman"/>
                <w:color w:val="000000"/>
                <w:kern w:val="0"/>
                <w:sz w:val="24"/>
              </w:rPr>
              <w:t>SLE, the results may be limited by</w:t>
            </w:r>
            <w:r>
              <w:rPr>
                <w:rFonts w:ascii="Times New Roman" w:hAnsi="Times New Roman" w:eastAsia="等线" w:cs="Times New Roman"/>
                <w:color w:val="000000"/>
                <w:kern w:val="0"/>
                <w:sz w:val="24"/>
              </w:rPr>
              <w:t xml:space="preserve"> small</w:t>
            </w:r>
            <w:r>
              <w:rPr>
                <w:rFonts w:hint="eastAsia" w:ascii="Times New Roman" w:hAnsi="Times New Roman" w:eastAsia="等线" w:cs="Times New Roman"/>
                <w:color w:val="000000"/>
                <w:kern w:val="0"/>
                <w:sz w:val="24"/>
              </w:rPr>
              <w:t xml:space="preserve"> sample size and </w:t>
            </w:r>
            <w:r>
              <w:rPr>
                <w:rFonts w:ascii="Times New Roman" w:hAnsi="Times New Roman" w:eastAsia="等线" w:cs="Times New Roman"/>
                <w:color w:val="000000"/>
                <w:kern w:val="0"/>
                <w:sz w:val="24"/>
              </w:rPr>
              <w:t xml:space="preserve">low </w:t>
            </w:r>
            <w:r>
              <w:rPr>
                <w:rFonts w:hint="eastAsia" w:ascii="Times New Roman" w:hAnsi="Times New Roman" w:eastAsia="等线" w:cs="Times New Roman"/>
                <w:color w:val="000000"/>
                <w:kern w:val="0"/>
                <w:sz w:val="24"/>
              </w:rPr>
              <w:t xml:space="preserve">genetic diversity. </w:t>
            </w:r>
            <w:r>
              <w:rPr>
                <w:rFonts w:ascii="Times New Roman" w:hAnsi="Times New Roman" w:eastAsia="等线" w:cs="Times New Roman"/>
                <w:color w:val="000000"/>
                <w:kern w:val="0"/>
                <w:sz w:val="24"/>
              </w:rPr>
              <w:t>For instance</w:t>
            </w:r>
            <w:r>
              <w:rPr>
                <w:rFonts w:hint="eastAsia" w:ascii="Times New Roman" w:hAnsi="Times New Roman" w:eastAsia="等线" w:cs="Times New Roman"/>
                <w:color w:val="000000"/>
                <w:kern w:val="0"/>
                <w:sz w:val="24"/>
              </w:rPr>
              <w:t xml:space="preserve">, </w:t>
            </w:r>
            <w:r>
              <w:rPr>
                <w:rFonts w:ascii="Times New Roman" w:hAnsi="Times New Roman" w:eastAsia="等线" w:cs="Times New Roman"/>
                <w:color w:val="000000"/>
                <w:kern w:val="0"/>
                <w:sz w:val="24"/>
              </w:rPr>
              <w:t xml:space="preserve">the fact that our data were degenerated from a cohort of individuals of </w:t>
            </w:r>
            <w:r>
              <w:rPr>
                <w:rFonts w:hint="eastAsia" w:ascii="Times New Roman" w:hAnsi="Times New Roman" w:eastAsia="等线" w:cs="Times New Roman"/>
                <w:color w:val="000000"/>
                <w:kern w:val="0"/>
                <w:sz w:val="24"/>
              </w:rPr>
              <w:t>European</w:t>
            </w:r>
            <w:r>
              <w:rPr>
                <w:rFonts w:ascii="Times New Roman" w:hAnsi="Times New Roman" w:eastAsia="等线" w:cs="Times New Roman"/>
                <w:color w:val="000000"/>
                <w:kern w:val="0"/>
                <w:sz w:val="24"/>
              </w:rPr>
              <w:t xml:space="preserve"> descent </w:t>
            </w:r>
            <w:r>
              <w:rPr>
                <w:rFonts w:hint="eastAsia" w:ascii="Times New Roman" w:hAnsi="Times New Roman" w:eastAsia="等线" w:cs="Times New Roman"/>
                <w:color w:val="000000"/>
                <w:kern w:val="0"/>
                <w:sz w:val="24"/>
              </w:rPr>
              <w:t xml:space="preserve">may limit the generalizability of our findings. </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shd w:val="clear" w:color="auto" w:fill="EEEEEE"/>
          </w:tcPr>
          <w:p>
            <w:pPr>
              <w:widowControl/>
              <w:spacing w:line="360" w:lineRule="auto"/>
              <w:ind w:firstLine="420"/>
              <w:rPr>
                <w:rFonts w:hint="eastAsia" w:ascii="Times New Roman" w:hAnsi="Times New Roman" w:eastAsia="等线" w:cs="Times New Roman"/>
                <w:color w:val="000000"/>
                <w:kern w:val="0"/>
                <w:sz w:val="24"/>
              </w:rPr>
            </w:pPr>
            <w:r>
              <w:rPr>
                <w:rFonts w:hint="eastAsia" w:ascii="Times New Roman" w:hAnsi="Times New Roman" w:eastAsia="等线" w:cs="Times New Roman"/>
                <w:color w:val="000000"/>
                <w:kern w:val="0"/>
                <w:sz w:val="24"/>
              </w:rPr>
              <w:t>Furthermore, any inaccurac</w:t>
            </w:r>
            <w:r>
              <w:rPr>
                <w:rFonts w:ascii="Times New Roman" w:hAnsi="Times New Roman" w:eastAsia="等线" w:cs="Times New Roman"/>
                <w:color w:val="000000"/>
                <w:kern w:val="0"/>
                <w:sz w:val="24"/>
              </w:rPr>
              <w:t>ies</w:t>
            </w:r>
            <w:r>
              <w:rPr>
                <w:rFonts w:hint="eastAsia" w:ascii="Times New Roman" w:hAnsi="Times New Roman" w:eastAsia="等线" w:cs="Times New Roman"/>
                <w:color w:val="000000"/>
                <w:kern w:val="0"/>
                <w:sz w:val="24"/>
              </w:rPr>
              <w:t xml:space="preserve"> in the selection and use of genetic </w:t>
            </w:r>
            <w:r>
              <w:rPr>
                <w:rFonts w:ascii="Times New Roman" w:hAnsi="Times New Roman" w:eastAsia="等线" w:cs="Times New Roman"/>
                <w:color w:val="000000"/>
                <w:kern w:val="0"/>
                <w:sz w:val="24"/>
              </w:rPr>
              <w:t>IVs</w:t>
            </w:r>
            <w:r>
              <w:rPr>
                <w:rFonts w:hint="eastAsia" w:ascii="Times New Roman" w:hAnsi="Times New Roman" w:eastAsia="等线" w:cs="Times New Roman"/>
                <w:color w:val="000000"/>
                <w:kern w:val="0"/>
                <w:sz w:val="24"/>
              </w:rPr>
              <w:t xml:space="preserve"> could affect our estimat</w:t>
            </w:r>
            <w:r>
              <w:rPr>
                <w:rFonts w:ascii="Times New Roman" w:hAnsi="Times New Roman" w:eastAsia="等线" w:cs="Times New Roman"/>
                <w:color w:val="000000"/>
                <w:kern w:val="0"/>
                <w:sz w:val="24"/>
              </w:rPr>
              <w:t>ion</w:t>
            </w:r>
            <w:r>
              <w:rPr>
                <w:rFonts w:hint="eastAsia" w:ascii="Times New Roman" w:hAnsi="Times New Roman" w:eastAsia="等线" w:cs="Times New Roman"/>
                <w:color w:val="000000"/>
                <w:kern w:val="0"/>
                <w:sz w:val="24"/>
              </w:rPr>
              <w:t xml:space="preserve"> of causality. </w:t>
            </w:r>
            <w:r>
              <w:rPr>
                <w:rFonts w:ascii="Times New Roman" w:hAnsi="Times New Roman" w:eastAsia="等线" w:cs="Times New Roman"/>
                <w:color w:val="000000"/>
                <w:kern w:val="0"/>
                <w:sz w:val="24"/>
              </w:rPr>
              <w:t xml:space="preserve">More </w:t>
            </w:r>
            <w:r>
              <w:rPr>
                <w:rFonts w:hint="eastAsia" w:ascii="Times New Roman" w:hAnsi="Times New Roman" w:eastAsia="等线" w:cs="Times New Roman"/>
                <w:color w:val="000000"/>
                <w:kern w:val="0"/>
                <w:sz w:val="24"/>
              </w:rPr>
              <w:t>studies are needed validat</w:t>
            </w:r>
            <w:r>
              <w:rPr>
                <w:rFonts w:ascii="Times New Roman" w:hAnsi="Times New Roman" w:eastAsia="等线" w:cs="Times New Roman"/>
                <w:color w:val="000000"/>
                <w:kern w:val="0"/>
                <w:sz w:val="24"/>
              </w:rPr>
              <w:t>e</w:t>
            </w:r>
            <w:r>
              <w:rPr>
                <w:rFonts w:hint="eastAsia" w:ascii="Times New Roman" w:hAnsi="Times New Roman" w:eastAsia="等线" w:cs="Times New Roman"/>
                <w:color w:val="000000"/>
                <w:kern w:val="0"/>
                <w:sz w:val="24"/>
              </w:rPr>
              <w:t xml:space="preserve"> our results </w:t>
            </w:r>
            <w:r>
              <w:rPr>
                <w:rFonts w:ascii="Times New Roman" w:hAnsi="Times New Roman" w:eastAsia="等线" w:cs="Times New Roman"/>
                <w:color w:val="000000"/>
                <w:kern w:val="0"/>
                <w:sz w:val="24"/>
              </w:rPr>
              <w:t>and</w:t>
            </w:r>
            <w:r>
              <w:rPr>
                <w:rFonts w:hint="eastAsia" w:ascii="Times New Roman" w:hAnsi="Times New Roman" w:eastAsia="等线" w:cs="Times New Roman"/>
                <w:color w:val="000000"/>
                <w:kern w:val="0"/>
                <w:sz w:val="24"/>
              </w:rPr>
              <w:t xml:space="preserve"> apply them in clinical practice. </w:t>
            </w:r>
          </w:p>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720" w:type="dxa"/>
          </w:tcPr>
          <w:p>
            <w:pPr>
              <w:tabs>
                <w:tab w:val="left" w:pos="1350"/>
              </w:tabs>
              <w:spacing w:before="96" w:beforeLines="40" w:after="96" w:afterLines="40" w:line="24" w:lineRule="atLeast"/>
              <w:rPr>
                <w:rFonts w:eastAsia="Times New Roman"/>
                <w:sz w:val="18"/>
                <w:szCs w:val="18"/>
                <w:lang w:val="en-GB" w:eastAsia="en-GB"/>
              </w:rPr>
            </w:pPr>
          </w:p>
        </w:tc>
        <w:tc>
          <w:tcPr>
            <w:tcW w:w="4320" w:type="dxa"/>
          </w:tcPr>
          <w:p>
            <w:pPr>
              <w:tabs>
                <w:tab w:val="left" w:pos="1350"/>
              </w:tabs>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22</w:t>
            </w: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等线" w:cs="Times New Roman"/>
                <w:color w:val="000000"/>
                <w:kern w:val="0"/>
                <w:sz w:val="24"/>
              </w:rPr>
              <w:t xml:space="preserve">Our MR study </w:t>
            </w:r>
            <w:r>
              <w:rPr>
                <w:rFonts w:ascii="Times New Roman" w:hAnsi="Times New Roman" w:eastAsia="等线" w:cs="Times New Roman"/>
                <w:color w:val="000000"/>
                <w:kern w:val="0"/>
                <w:sz w:val="24"/>
              </w:rPr>
              <w:t>identified various</w:t>
            </w:r>
            <w:r>
              <w:rPr>
                <w:rFonts w:hint="eastAsia" w:ascii="Times New Roman" w:hAnsi="Times New Roman" w:eastAsia="等线" w:cs="Times New Roman"/>
                <w:color w:val="000000"/>
                <w:kern w:val="0"/>
                <w:sz w:val="24"/>
              </w:rPr>
              <w:t xml:space="preserve"> inflammatory factors</w:t>
            </w:r>
            <w:r>
              <w:rPr>
                <w:rFonts w:ascii="Times New Roman" w:hAnsi="Times New Roman" w:eastAsia="等线" w:cs="Times New Roman"/>
                <w:color w:val="000000"/>
                <w:kern w:val="0"/>
                <w:sz w:val="24"/>
              </w:rPr>
              <w:t xml:space="preserve"> and immunophenotypes</w:t>
            </w:r>
            <w:r>
              <w:rPr>
                <w:rFonts w:hint="eastAsia" w:ascii="Times New Roman" w:hAnsi="Times New Roman" w:eastAsia="等线" w:cs="Times New Roman"/>
                <w:color w:val="000000"/>
                <w:kern w:val="0"/>
                <w:sz w:val="24"/>
              </w:rPr>
              <w:t xml:space="preserve"> </w:t>
            </w:r>
            <w:r>
              <w:rPr>
                <w:rFonts w:ascii="Times New Roman" w:hAnsi="Times New Roman" w:eastAsia="等线" w:cs="Times New Roman"/>
                <w:color w:val="000000"/>
                <w:kern w:val="0"/>
                <w:sz w:val="24"/>
              </w:rPr>
              <w:t>with a</w:t>
            </w:r>
            <w:r>
              <w:rPr>
                <w:rFonts w:hint="eastAsia" w:ascii="Times New Roman" w:hAnsi="Times New Roman" w:eastAsia="等线" w:cs="Times New Roman"/>
                <w:color w:val="000000"/>
                <w:kern w:val="0"/>
                <w:sz w:val="24"/>
              </w:rPr>
              <w:t xml:space="preserve"> causal </w:t>
            </w:r>
            <w:r>
              <w:rPr>
                <w:rFonts w:ascii="Times New Roman" w:hAnsi="Times New Roman" w:eastAsia="等线" w:cs="Times New Roman"/>
                <w:color w:val="000000"/>
                <w:kern w:val="0"/>
                <w:sz w:val="24"/>
              </w:rPr>
              <w:t>relationship</w:t>
            </w:r>
            <w:r>
              <w:rPr>
                <w:rFonts w:hint="eastAsia" w:ascii="Times New Roman" w:hAnsi="Times New Roman" w:eastAsia="等线" w:cs="Times New Roman"/>
                <w:color w:val="000000"/>
                <w:kern w:val="0"/>
                <w:sz w:val="24"/>
              </w:rPr>
              <w:t xml:space="preserve"> </w:t>
            </w:r>
            <w:r>
              <w:rPr>
                <w:rFonts w:ascii="Times New Roman" w:hAnsi="Times New Roman" w:eastAsia="等线" w:cs="Times New Roman"/>
                <w:color w:val="000000"/>
                <w:kern w:val="0"/>
                <w:sz w:val="24"/>
              </w:rPr>
              <w:t xml:space="preserve">to SLE, which could potentially be </w:t>
            </w:r>
            <w:r>
              <w:rPr>
                <w:rFonts w:hint="eastAsia" w:ascii="Times New Roman" w:hAnsi="Times New Roman" w:eastAsia="等线" w:cs="Times New Roman"/>
                <w:color w:val="000000"/>
                <w:kern w:val="0"/>
                <w:sz w:val="24"/>
              </w:rPr>
              <w:t>target</w:t>
            </w:r>
            <w:r>
              <w:rPr>
                <w:rFonts w:ascii="Times New Roman" w:hAnsi="Times New Roman" w:eastAsia="等线" w:cs="Times New Roman"/>
                <w:color w:val="000000"/>
                <w:kern w:val="0"/>
                <w:sz w:val="24"/>
              </w:rPr>
              <w:t>ed to treat the disease</w:t>
            </w:r>
            <w:r>
              <w:rPr>
                <w:rFonts w:hint="eastAsia" w:ascii="Times New Roman" w:hAnsi="Times New Roman" w:eastAsia="等线" w:cs="Times New Roman"/>
                <w:color w:val="000000"/>
                <w:kern w:val="0"/>
                <w:sz w:val="24"/>
              </w:rPr>
              <w:t xml:space="preserve">. </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23-24</w:t>
            </w:r>
          </w:p>
        </w:tc>
        <w:tc>
          <w:tcPr>
            <w:tcW w:w="4320" w:type="dxa"/>
            <w:shd w:val="clear" w:color="auto" w:fill="EEEEEE"/>
          </w:tcPr>
          <w:p>
            <w:pPr>
              <w:widowControl/>
              <w:spacing w:line="360" w:lineRule="auto"/>
              <w:ind w:firstLine="420" w:firstLineChars="0"/>
              <w:rPr>
                <w:rFonts w:hint="default" w:ascii="Times New Roman" w:hAnsi="Times New Roman" w:cs="Times New Roman"/>
                <w:color w:val="000000"/>
                <w:sz w:val="24"/>
                <w:shd w:val="clear" w:color="auto" w:fill="FFFFFF"/>
                <w:lang w:val="en-US" w:eastAsia="zh-CN"/>
              </w:rPr>
            </w:pPr>
            <w:r>
              <w:rPr>
                <w:rFonts w:hint="default" w:ascii="Times New Roman" w:hAnsi="Times New Roman" w:cs="Times New Roman"/>
                <w:color w:val="000000"/>
                <w:sz w:val="24"/>
                <w:shd w:val="clear" w:color="auto" w:fill="FFFFFF"/>
                <w:lang w:val="en-US" w:eastAsia="zh-CN"/>
              </w:rPr>
              <w:t>This work was supported by the Natural Science Foundation of Guangdong Province (2023A1515012477).</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tcPr>
          <w:p>
            <w:pPr>
              <w:widowControl/>
              <w:spacing w:line="360" w:lineRule="auto"/>
              <w:ind w:firstLine="420" w:firstLineChars="0"/>
              <w:rPr>
                <w:rFonts w:hint="eastAsia" w:ascii="Times New Roman" w:hAnsi="Times New Roman" w:eastAsia="等线" w:cs="Times New Roman"/>
                <w:b w:val="0"/>
                <w:bCs w:val="0"/>
                <w:color w:val="000000"/>
                <w:kern w:val="0"/>
                <w:sz w:val="24"/>
                <w:lang w:val="en-US" w:eastAsia="zh-CN"/>
              </w:rPr>
            </w:pPr>
            <w:r>
              <w:rPr>
                <w:rFonts w:hint="eastAsia" w:ascii="Times New Roman" w:hAnsi="Times New Roman" w:eastAsia="等线" w:cs="Times New Roman"/>
                <w:b w:val="0"/>
                <w:bCs w:val="0"/>
                <w:color w:val="000000"/>
                <w:kern w:val="0"/>
                <w:sz w:val="24"/>
                <w:lang w:val="en-US" w:eastAsia="zh-CN"/>
              </w:rPr>
              <w:t>The datasets used and/or analysed during the current study are available from the corresponding author on reasonable request.</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23</w:t>
            </w:r>
          </w:p>
        </w:tc>
        <w:tc>
          <w:tcPr>
            <w:tcW w:w="4320" w:type="dxa"/>
            <w:tcBorders>
              <w:bottom w:val="single" w:color="7F7F7F" w:sz="6" w:space="0"/>
            </w:tcBorders>
            <w:shd w:val="clear" w:color="auto" w:fill="EEEEEE"/>
          </w:tcPr>
          <w:p>
            <w:pPr>
              <w:widowControl/>
              <w:spacing w:line="360" w:lineRule="auto"/>
              <w:ind w:firstLine="420" w:firstLineChars="0"/>
              <w:rPr>
                <w:rFonts w:hint="eastAsia" w:ascii="Times New Roman" w:hAnsi="Times New Roman" w:eastAsia="等线" w:cs="Times New Roman"/>
                <w:b w:val="0"/>
                <w:bCs w:val="0"/>
                <w:color w:val="000000"/>
                <w:kern w:val="0"/>
                <w:sz w:val="24"/>
                <w:lang w:val="en-US" w:eastAsia="zh-CN"/>
              </w:rPr>
            </w:pPr>
            <w:r>
              <w:rPr>
                <w:rFonts w:hint="eastAsia" w:ascii="Times New Roman" w:hAnsi="Times New Roman" w:eastAsia="等线" w:cs="Times New Roman"/>
                <w:b w:val="0"/>
                <w:bCs w:val="0"/>
                <w:color w:val="000000"/>
                <w:kern w:val="0"/>
                <w:sz w:val="24"/>
                <w:lang w:val="en-US" w:eastAsia="zh-CN"/>
              </w:rPr>
              <w:t>The authors declare that they have no competing interests</w:t>
            </w:r>
          </w:p>
          <w:p>
            <w:pPr>
              <w:spacing w:before="96" w:beforeLines="40" w:after="96" w:afterLines="40" w:line="24" w:lineRule="atLeast"/>
              <w:rPr>
                <w:rFonts w:eastAsia="Times New Roman"/>
                <w:sz w:val="18"/>
                <w:szCs w:val="18"/>
                <w:lang w:val="en-GB" w:eastAsia="en-GB"/>
              </w:rPr>
            </w:pPr>
            <w:bookmarkStart w:id="3" w:name="_GoBack"/>
            <w:bookmarkEnd w:id="3"/>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5"/>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iMzhlZDU4YTY0ODg3ZTBiNzk0Mjc2Y2UwNmU1ODY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1FAC0FB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680"/>
        <w:tab w:val="right" w:pos="9360"/>
      </w:tabs>
      <w:spacing w:line="240" w:lineRule="auto"/>
    </w:pPr>
  </w:style>
  <w:style w:type="character" w:styleId="5">
    <w:name w:val="page number"/>
    <w:basedOn w:val="4"/>
    <w:semiHidden/>
    <w:unhideWhenUsed/>
    <w:uiPriority w:val="99"/>
  </w:style>
  <w:style w:type="character" w:styleId="6">
    <w:name w:val="line number"/>
    <w:basedOn w:val="4"/>
    <w:semiHidden/>
    <w:unhideWhenUsed/>
    <w:uiPriority w:val="99"/>
  </w:style>
  <w:style w:type="character" w:customStyle="1" w:styleId="7">
    <w:name w:val="Footer Char"/>
    <w:basedOn w:val="4"/>
    <w:link w:val="2"/>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10</Pages>
  <Words>1118</Words>
  <Characters>6520</Characters>
  <Lines>286</Lines>
  <Paragraphs>146</Paragraphs>
  <TotalTime>0</TotalTime>
  <ScaleCrop>false</ScaleCrop>
  <LinksUpToDate>false</LinksUpToDate>
  <CharactersWithSpaces>7535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MAY</cp:lastModifiedBy>
  <cp:lastPrinted>2021-09-28T07:08:00Z</cp:lastPrinted>
  <dcterms:modified xsi:type="dcterms:W3CDTF">2024-07-26T12:17:35Z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2052-12.1.0.16929</vt:lpwstr>
  </property>
  <property fmtid="{D5CDD505-2E9C-101B-9397-08002B2CF9AE}" pid="27" name="ICV">
    <vt:lpwstr>075C1F3993A4485792AF23247BB0CC00_13</vt:lpwstr>
  </property>
</Properties>
</file>