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2E65E2" w14:textId="77777777" w:rsidR="008508AB" w:rsidRPr="00F11D8D" w:rsidRDefault="008508AB" w:rsidP="008508AB">
      <w:pPr>
        <w:pStyle w:val="Heading2"/>
        <w:spacing w:before="0" w:line="480" w:lineRule="auto"/>
        <w:rPr>
          <w:rFonts w:cstheme="majorHAnsi"/>
          <w:b/>
          <w:bCs/>
          <w:color w:val="auto"/>
          <w:sz w:val="24"/>
          <w:szCs w:val="24"/>
        </w:rPr>
      </w:pPr>
      <w:r>
        <w:rPr>
          <w:rFonts w:cstheme="majorHAnsi"/>
          <w:noProof/>
        </w:rPr>
        <w:drawing>
          <wp:anchor distT="0" distB="0" distL="114300" distR="114300" simplePos="0" relativeHeight="251659264" behindDoc="1" locked="0" layoutInCell="1" allowOverlap="1" wp14:anchorId="2ED04626" wp14:editId="071FE305">
            <wp:simplePos x="0" y="0"/>
            <wp:positionH relativeFrom="column">
              <wp:posOffset>4774</wp:posOffset>
            </wp:positionH>
            <wp:positionV relativeFrom="paragraph">
              <wp:posOffset>61144</wp:posOffset>
            </wp:positionV>
            <wp:extent cx="2517775" cy="2459355"/>
            <wp:effectExtent l="0" t="0" r="0" b="0"/>
            <wp:wrapTopAndBottom/>
            <wp:docPr id="171052943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517775" cy="245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ajorHAnsi"/>
          <w:b/>
          <w:bCs/>
          <w:color w:val="auto"/>
          <w:sz w:val="24"/>
          <w:szCs w:val="24"/>
        </w:rPr>
        <w:t xml:space="preserve">Extended </w:t>
      </w:r>
      <w:r w:rsidRPr="00F11D8D">
        <w:rPr>
          <w:rFonts w:cstheme="majorHAnsi"/>
          <w:b/>
          <w:bCs/>
          <w:color w:val="auto"/>
          <w:sz w:val="24"/>
          <w:szCs w:val="24"/>
        </w:rPr>
        <w:t xml:space="preserve">Figure </w:t>
      </w:r>
      <w:r>
        <w:rPr>
          <w:rFonts w:cstheme="majorHAnsi"/>
          <w:b/>
          <w:bCs/>
          <w:color w:val="auto"/>
          <w:sz w:val="24"/>
          <w:szCs w:val="24"/>
        </w:rPr>
        <w:t>1</w:t>
      </w:r>
      <w:r w:rsidRPr="00F11D8D">
        <w:rPr>
          <w:rFonts w:cstheme="majorHAnsi"/>
          <w:b/>
          <w:bCs/>
          <w:color w:val="auto"/>
          <w:sz w:val="24"/>
          <w:szCs w:val="24"/>
        </w:rPr>
        <w:t>:</w:t>
      </w:r>
      <w:r>
        <w:rPr>
          <w:rFonts w:cstheme="majorHAnsi"/>
          <w:b/>
          <w:bCs/>
          <w:color w:val="auto"/>
          <w:sz w:val="24"/>
          <w:szCs w:val="24"/>
        </w:rPr>
        <w:t xml:space="preserve"> OxPC lesions are unremitting after 100 days</w:t>
      </w:r>
      <w:r w:rsidRPr="00F11D8D">
        <w:rPr>
          <w:rFonts w:cstheme="majorHAnsi"/>
          <w:b/>
          <w:bCs/>
          <w:color w:val="auto"/>
          <w:sz w:val="24"/>
          <w:szCs w:val="24"/>
        </w:rPr>
        <w:t xml:space="preserve">. </w:t>
      </w:r>
    </w:p>
    <w:p w14:paraId="1B077981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  <w:r w:rsidRPr="00F11D8D">
        <w:rPr>
          <w:rFonts w:asciiTheme="majorHAnsi" w:hAnsiTheme="majorHAnsi" w:cstheme="majorHAnsi"/>
        </w:rPr>
        <w:t>a</w:t>
      </w:r>
      <w:r>
        <w:rPr>
          <w:rFonts w:asciiTheme="majorHAnsi" w:hAnsiTheme="majorHAnsi" w:cstheme="majorHAnsi"/>
        </w:rPr>
        <w:t>-b</w:t>
      </w:r>
      <w:r w:rsidRPr="00F11D8D">
        <w:rPr>
          <w:rFonts w:asciiTheme="majorHAnsi" w:hAnsiTheme="majorHAnsi" w:cstheme="majorHAnsi"/>
        </w:rPr>
        <w:t xml:space="preserve">) </w:t>
      </w:r>
      <w:r>
        <w:rPr>
          <w:rFonts w:asciiTheme="majorHAnsi" w:hAnsiTheme="majorHAnsi" w:cstheme="majorHAnsi"/>
        </w:rPr>
        <w:t>Representative immunofluorescence images showing day 100 chronic OxPC lesions in the SCWM, labeled with DAPI (blue), IBA1 (red), E06</w:t>
      </w:r>
      <w:r>
        <w:rPr>
          <w:rFonts w:asciiTheme="majorHAnsi" w:hAnsiTheme="majorHAnsi" w:cstheme="majorHAnsi"/>
          <w:vertAlign w:val="superscript"/>
        </w:rPr>
        <w:t xml:space="preserve">+ </w:t>
      </w:r>
      <w:r>
        <w:rPr>
          <w:rFonts w:asciiTheme="majorHAnsi" w:hAnsiTheme="majorHAnsi" w:cstheme="majorHAnsi"/>
        </w:rPr>
        <w:t>OxPC (green), and GFAP (grey) (a), or with DAPI (blue), NFH (red), and MBP (grey) (b). c-e) Graphs comparing the average lesion epicenter size (c), the amount of E06</w:t>
      </w:r>
      <w:r>
        <w:rPr>
          <w:rFonts w:asciiTheme="majorHAnsi" w:hAnsiTheme="majorHAnsi" w:cstheme="majorHAnsi"/>
          <w:vertAlign w:val="superscript"/>
        </w:rPr>
        <w:t xml:space="preserve">+ </w:t>
      </w:r>
      <w:r>
        <w:rPr>
          <w:rFonts w:asciiTheme="majorHAnsi" w:hAnsiTheme="majorHAnsi" w:cstheme="majorHAnsi"/>
        </w:rPr>
        <w:t>OxPC (d), and NFH</w:t>
      </w:r>
      <w:r>
        <w:rPr>
          <w:rFonts w:asciiTheme="majorHAnsi" w:hAnsiTheme="majorHAnsi" w:cstheme="majorHAnsi"/>
          <w:vertAlign w:val="superscript"/>
        </w:rPr>
        <w:t xml:space="preserve">+ </w:t>
      </w:r>
      <w:r>
        <w:rPr>
          <w:rFonts w:asciiTheme="majorHAnsi" w:hAnsiTheme="majorHAnsi" w:cstheme="majorHAnsi"/>
        </w:rPr>
        <w:t xml:space="preserve">axon area (e), between OxPC lesions at the day 7, day 42, and day 100 time points. </w:t>
      </w:r>
      <w:r w:rsidRPr="00F11D8D">
        <w:rPr>
          <w:rFonts w:asciiTheme="majorHAnsi" w:hAnsiTheme="majorHAnsi" w:cstheme="majorHAnsi"/>
        </w:rPr>
        <w:t>Data acquired from 2 experiments</w:t>
      </w:r>
      <w:r>
        <w:rPr>
          <w:rFonts w:asciiTheme="majorHAnsi" w:hAnsiTheme="majorHAnsi" w:cstheme="majorHAnsi"/>
        </w:rPr>
        <w:t xml:space="preserve"> with 3 or 4 mice per group per experiment. </w:t>
      </w:r>
      <w:r w:rsidRPr="00F11D8D">
        <w:rPr>
          <w:rFonts w:asciiTheme="majorHAnsi" w:hAnsiTheme="majorHAnsi" w:cstheme="majorHAnsi"/>
        </w:rPr>
        <w:t>S</w:t>
      </w:r>
      <w:r>
        <w:rPr>
          <w:rFonts w:asciiTheme="majorHAnsi" w:hAnsiTheme="majorHAnsi" w:cstheme="majorHAnsi"/>
        </w:rPr>
        <w:t>tatistical s</w:t>
      </w:r>
      <w:r w:rsidRPr="00F11D8D">
        <w:rPr>
          <w:rFonts w:asciiTheme="majorHAnsi" w:hAnsiTheme="majorHAnsi" w:cstheme="majorHAnsi"/>
        </w:rPr>
        <w:t xml:space="preserve">ignificance </w:t>
      </w:r>
      <w:r>
        <w:rPr>
          <w:rFonts w:asciiTheme="majorHAnsi" w:hAnsiTheme="majorHAnsi" w:cstheme="majorHAnsi"/>
        </w:rPr>
        <w:t>reported as p-values</w:t>
      </w:r>
      <w:r w:rsidRPr="00F11D8D">
        <w:rPr>
          <w:rFonts w:asciiTheme="majorHAnsi" w:hAnsiTheme="majorHAnsi" w:cstheme="majorHAnsi"/>
        </w:rPr>
        <w:t xml:space="preserve">, </w:t>
      </w:r>
      <w:r>
        <w:rPr>
          <w:rFonts w:asciiTheme="majorHAnsi" w:hAnsiTheme="majorHAnsi" w:cstheme="majorHAnsi"/>
        </w:rPr>
        <w:t>ordinary one-way ANOVA with Tukey’s multiple comparison test</w:t>
      </w:r>
      <w:r w:rsidRPr="00F11D8D"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/>
        </w:rPr>
        <w:t xml:space="preserve"> </w:t>
      </w:r>
      <w:r w:rsidRPr="00F11D8D">
        <w:rPr>
          <w:rFonts w:asciiTheme="majorHAnsi" w:hAnsiTheme="majorHAnsi" w:cstheme="majorHAnsi"/>
        </w:rPr>
        <w:t>Data are represented as mean ± SD.</w:t>
      </w:r>
    </w:p>
    <w:p w14:paraId="08CCFAA5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</w:p>
    <w:p w14:paraId="3AB848EF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</w:p>
    <w:p w14:paraId="4AD2CD1E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</w:p>
    <w:p w14:paraId="1413DF01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</w:p>
    <w:p w14:paraId="595EDA71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</w:p>
    <w:p w14:paraId="26EEF9EB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</w:p>
    <w:p w14:paraId="38F6702F" w14:textId="77777777" w:rsidR="008508AB" w:rsidRPr="00F11D8D" w:rsidRDefault="008508AB" w:rsidP="008508AB">
      <w:pPr>
        <w:pStyle w:val="Heading2"/>
        <w:spacing w:before="0" w:line="480" w:lineRule="auto"/>
        <w:rPr>
          <w:rFonts w:cstheme="majorHAnsi"/>
          <w:b/>
          <w:bCs/>
          <w:color w:val="auto"/>
          <w:sz w:val="24"/>
          <w:szCs w:val="24"/>
        </w:rPr>
      </w:pPr>
      <w:r>
        <w:rPr>
          <w:rFonts w:cstheme="majorHAnsi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D54E7AB" wp14:editId="6D487571">
            <wp:simplePos x="0" y="0"/>
            <wp:positionH relativeFrom="column">
              <wp:posOffset>7620</wp:posOffset>
            </wp:positionH>
            <wp:positionV relativeFrom="paragraph">
              <wp:posOffset>30480</wp:posOffset>
            </wp:positionV>
            <wp:extent cx="3804285" cy="2479040"/>
            <wp:effectExtent l="0" t="0" r="0" b="0"/>
            <wp:wrapTopAndBottom/>
            <wp:docPr id="648451862" name="Picture 10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451862" name="Picture 10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804285" cy="247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ajorHAnsi"/>
          <w:b/>
          <w:bCs/>
          <w:color w:val="auto"/>
          <w:sz w:val="24"/>
          <w:szCs w:val="24"/>
        </w:rPr>
        <w:t xml:space="preserve">Extended </w:t>
      </w:r>
      <w:r w:rsidRPr="00F11D8D">
        <w:rPr>
          <w:rFonts w:cstheme="majorHAnsi"/>
          <w:b/>
          <w:bCs/>
          <w:color w:val="auto"/>
          <w:sz w:val="24"/>
          <w:szCs w:val="24"/>
        </w:rPr>
        <w:t xml:space="preserve">Figure </w:t>
      </w:r>
      <w:r>
        <w:rPr>
          <w:rFonts w:cstheme="majorHAnsi"/>
          <w:b/>
          <w:bCs/>
          <w:color w:val="auto"/>
          <w:sz w:val="24"/>
          <w:szCs w:val="24"/>
        </w:rPr>
        <w:t>2</w:t>
      </w:r>
      <w:r w:rsidRPr="00F11D8D">
        <w:rPr>
          <w:rFonts w:cstheme="majorHAnsi"/>
          <w:b/>
          <w:bCs/>
          <w:color w:val="auto"/>
          <w:sz w:val="24"/>
          <w:szCs w:val="24"/>
        </w:rPr>
        <w:t>:</w:t>
      </w:r>
      <w:r>
        <w:rPr>
          <w:rFonts w:cstheme="majorHAnsi"/>
          <w:b/>
          <w:bCs/>
          <w:color w:val="auto"/>
          <w:sz w:val="24"/>
          <w:szCs w:val="24"/>
        </w:rPr>
        <w:t xml:space="preserve"> Minimal endogenous OxPC accumulation in the CNS during chronic EAE.</w:t>
      </w:r>
    </w:p>
    <w:p w14:paraId="613A7D4F" w14:textId="77777777" w:rsidR="008508AB" w:rsidRPr="00DF112C" w:rsidRDefault="008508AB" w:rsidP="008508AB">
      <w:pPr>
        <w:spacing w:line="480" w:lineRule="auto"/>
        <w:rPr>
          <w:rFonts w:asciiTheme="majorHAnsi" w:hAnsiTheme="majorHAnsi" w:cstheme="majorHAnsi"/>
        </w:rPr>
      </w:pPr>
      <w:r w:rsidRPr="00F11D8D">
        <w:rPr>
          <w:rFonts w:asciiTheme="majorHAnsi" w:hAnsiTheme="majorHAnsi" w:cstheme="majorHAnsi"/>
        </w:rPr>
        <w:t xml:space="preserve">a) </w:t>
      </w:r>
      <w:r>
        <w:rPr>
          <w:rFonts w:asciiTheme="majorHAnsi" w:hAnsiTheme="majorHAnsi" w:cstheme="majorHAnsi"/>
        </w:rPr>
        <w:t>Representative immunofluorescence images showing day 45 chronic EAE lesions in the spinal cord or the cerebellum, labeled with DAPI (blue), IBA1 (red) and E06</w:t>
      </w:r>
      <w:r>
        <w:rPr>
          <w:rFonts w:asciiTheme="majorHAnsi" w:hAnsiTheme="majorHAnsi" w:cstheme="majorHAnsi"/>
          <w:vertAlign w:val="superscript"/>
        </w:rPr>
        <w:t xml:space="preserve">+ </w:t>
      </w:r>
      <w:r>
        <w:rPr>
          <w:rFonts w:asciiTheme="majorHAnsi" w:hAnsiTheme="majorHAnsi" w:cstheme="majorHAnsi"/>
        </w:rPr>
        <w:t>OxPC (green). b) Graph comparing the amount of E06</w:t>
      </w:r>
      <w:r>
        <w:rPr>
          <w:rFonts w:asciiTheme="majorHAnsi" w:hAnsiTheme="majorHAnsi" w:cstheme="majorHAnsi"/>
          <w:vertAlign w:val="superscript"/>
        </w:rPr>
        <w:t xml:space="preserve">+ </w:t>
      </w:r>
      <w:r>
        <w:rPr>
          <w:rFonts w:asciiTheme="majorHAnsi" w:hAnsiTheme="majorHAnsi" w:cstheme="majorHAnsi"/>
        </w:rPr>
        <w:t xml:space="preserve">OxPC detected in the NAWM, spinal cord or cerebellum from mice with day 45 EAE. </w:t>
      </w:r>
      <w:r w:rsidRPr="00F11D8D">
        <w:rPr>
          <w:rFonts w:asciiTheme="majorHAnsi" w:hAnsiTheme="majorHAnsi" w:cstheme="majorHAnsi"/>
        </w:rPr>
        <w:t>Data acquired from 2 experiments</w:t>
      </w:r>
      <w:r>
        <w:rPr>
          <w:rFonts w:asciiTheme="majorHAnsi" w:hAnsiTheme="majorHAnsi" w:cstheme="majorHAnsi"/>
        </w:rPr>
        <w:t xml:space="preserve"> with 3 mice per experiment. </w:t>
      </w:r>
      <w:r w:rsidRPr="00F11D8D">
        <w:rPr>
          <w:rFonts w:asciiTheme="majorHAnsi" w:hAnsiTheme="majorHAnsi" w:cstheme="majorHAnsi"/>
        </w:rPr>
        <w:t>S</w:t>
      </w:r>
      <w:r>
        <w:rPr>
          <w:rFonts w:asciiTheme="majorHAnsi" w:hAnsiTheme="majorHAnsi" w:cstheme="majorHAnsi"/>
        </w:rPr>
        <w:t>tatistical s</w:t>
      </w:r>
      <w:r w:rsidRPr="00F11D8D">
        <w:rPr>
          <w:rFonts w:asciiTheme="majorHAnsi" w:hAnsiTheme="majorHAnsi" w:cstheme="majorHAnsi"/>
        </w:rPr>
        <w:t xml:space="preserve">ignificance </w:t>
      </w:r>
      <w:r>
        <w:rPr>
          <w:rFonts w:asciiTheme="majorHAnsi" w:hAnsiTheme="majorHAnsi" w:cstheme="majorHAnsi"/>
        </w:rPr>
        <w:t>reported as p-values</w:t>
      </w:r>
      <w:r w:rsidRPr="00F11D8D">
        <w:rPr>
          <w:rFonts w:asciiTheme="majorHAnsi" w:hAnsiTheme="majorHAnsi" w:cstheme="majorHAnsi"/>
        </w:rPr>
        <w:t xml:space="preserve">, </w:t>
      </w:r>
      <w:r>
        <w:rPr>
          <w:rFonts w:asciiTheme="majorHAnsi" w:hAnsiTheme="majorHAnsi" w:cstheme="majorHAnsi"/>
        </w:rPr>
        <w:t>ordinary one-way ANOVA with Tukey’s multiple comparison test</w:t>
      </w:r>
      <w:r w:rsidRPr="00F11D8D"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/>
        </w:rPr>
        <w:t xml:space="preserve"> </w:t>
      </w:r>
      <w:r w:rsidRPr="00F11D8D">
        <w:rPr>
          <w:rFonts w:asciiTheme="majorHAnsi" w:hAnsiTheme="majorHAnsi" w:cstheme="majorHAnsi"/>
        </w:rPr>
        <w:t>Data are represented as mean ± SD.</w:t>
      </w:r>
    </w:p>
    <w:p w14:paraId="1BE62F6B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</w:p>
    <w:p w14:paraId="68B5EF0A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</w:p>
    <w:p w14:paraId="26A0444D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</w:p>
    <w:p w14:paraId="6D690680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</w:p>
    <w:p w14:paraId="712B561B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</w:p>
    <w:p w14:paraId="26934285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</w:p>
    <w:p w14:paraId="7A6BB3C4" w14:textId="77777777" w:rsidR="008508AB" w:rsidRPr="00F11D8D" w:rsidRDefault="008508AB" w:rsidP="008508AB">
      <w:pPr>
        <w:pStyle w:val="Heading2"/>
        <w:spacing w:before="0" w:line="480" w:lineRule="auto"/>
        <w:rPr>
          <w:rFonts w:cstheme="majorHAnsi"/>
          <w:b/>
          <w:bCs/>
          <w:color w:val="auto"/>
          <w:sz w:val="24"/>
          <w:szCs w:val="24"/>
        </w:rPr>
      </w:pPr>
      <w:r>
        <w:rPr>
          <w:rFonts w:cstheme="majorHAnsi"/>
          <w:b/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 wp14:anchorId="0FCE66AA" wp14:editId="7C454FE9">
            <wp:simplePos x="0" y="0"/>
            <wp:positionH relativeFrom="column">
              <wp:posOffset>7620</wp:posOffset>
            </wp:positionH>
            <wp:positionV relativeFrom="paragraph">
              <wp:posOffset>40695</wp:posOffset>
            </wp:positionV>
            <wp:extent cx="4055110" cy="3705225"/>
            <wp:effectExtent l="0" t="0" r="0" b="0"/>
            <wp:wrapTopAndBottom/>
            <wp:docPr id="125466978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05511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ajorHAnsi"/>
          <w:b/>
          <w:bCs/>
          <w:color w:val="auto"/>
          <w:sz w:val="24"/>
          <w:szCs w:val="24"/>
        </w:rPr>
        <w:t xml:space="preserve">Extended </w:t>
      </w:r>
      <w:r w:rsidRPr="00F11D8D">
        <w:rPr>
          <w:rFonts w:cstheme="majorHAnsi"/>
          <w:b/>
          <w:bCs/>
          <w:color w:val="auto"/>
          <w:sz w:val="24"/>
          <w:szCs w:val="24"/>
        </w:rPr>
        <w:t xml:space="preserve">Figure </w:t>
      </w:r>
      <w:r>
        <w:rPr>
          <w:rFonts w:cstheme="majorHAnsi"/>
          <w:b/>
          <w:bCs/>
          <w:color w:val="auto"/>
          <w:sz w:val="24"/>
          <w:szCs w:val="24"/>
        </w:rPr>
        <w:t>3</w:t>
      </w:r>
      <w:r w:rsidRPr="00F11D8D">
        <w:rPr>
          <w:rFonts w:cstheme="majorHAnsi"/>
          <w:b/>
          <w:bCs/>
          <w:color w:val="auto"/>
          <w:sz w:val="24"/>
          <w:szCs w:val="24"/>
        </w:rPr>
        <w:t>:</w:t>
      </w:r>
      <w:r>
        <w:rPr>
          <w:rFonts w:cstheme="majorHAnsi"/>
          <w:b/>
          <w:bCs/>
          <w:color w:val="auto"/>
          <w:sz w:val="24"/>
          <w:szCs w:val="24"/>
        </w:rPr>
        <w:t xml:space="preserve"> Comparing additional senescence and inflammatory markers between young and middle-aged chronic OxPC lesions.</w:t>
      </w:r>
      <w:r w:rsidRPr="00F11D8D">
        <w:rPr>
          <w:rFonts w:cstheme="majorHAnsi"/>
          <w:b/>
          <w:bCs/>
          <w:color w:val="auto"/>
          <w:sz w:val="24"/>
          <w:szCs w:val="24"/>
        </w:rPr>
        <w:t xml:space="preserve"> </w:t>
      </w:r>
    </w:p>
    <w:p w14:paraId="10DC6309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  <w:r w:rsidRPr="00F11D8D">
        <w:rPr>
          <w:rFonts w:asciiTheme="majorHAnsi" w:eastAsiaTheme="majorEastAsia" w:hAnsiTheme="majorHAnsi" w:cstheme="majorHAnsi"/>
          <w:color w:val="000000" w:themeColor="text1"/>
          <w:lang w:val="en-US" w:eastAsia="zh-CN"/>
        </w:rPr>
        <w:t>a</w:t>
      </w:r>
      <w:r>
        <w:rPr>
          <w:rFonts w:asciiTheme="majorHAnsi" w:eastAsiaTheme="majorEastAsia" w:hAnsiTheme="majorHAnsi" w:cstheme="majorHAnsi"/>
          <w:color w:val="000000" w:themeColor="text1"/>
          <w:lang w:val="en-US" w:eastAsia="zh-CN"/>
        </w:rPr>
        <w:t>-c</w:t>
      </w:r>
      <w:r w:rsidRPr="00F11D8D">
        <w:rPr>
          <w:rFonts w:asciiTheme="majorHAnsi" w:eastAsiaTheme="majorEastAsia" w:hAnsiTheme="majorHAnsi" w:cstheme="majorHAnsi"/>
          <w:color w:val="000000" w:themeColor="text1"/>
          <w:lang w:val="en-US" w:eastAsia="zh-CN"/>
        </w:rPr>
        <w:t xml:space="preserve">) </w:t>
      </w:r>
      <w:r>
        <w:rPr>
          <w:rFonts w:asciiTheme="majorHAnsi" w:hAnsiTheme="majorHAnsi" w:cstheme="majorHAnsi"/>
        </w:rPr>
        <w:t>Representative immunofluorescence images of chronic OxPC lesions in 6wk and 52wk mice labeled with DAPI (blue), p16</w:t>
      </w:r>
      <w:r>
        <w:rPr>
          <w:rFonts w:asciiTheme="majorHAnsi" w:hAnsiTheme="majorHAnsi" w:cstheme="majorHAnsi"/>
          <w:vertAlign w:val="superscript"/>
        </w:rPr>
        <w:t>INK4A</w:t>
      </w:r>
      <w:r>
        <w:rPr>
          <w:rFonts w:asciiTheme="majorHAnsi" w:hAnsiTheme="majorHAnsi" w:cstheme="majorHAnsi"/>
        </w:rPr>
        <w:t xml:space="preserve"> (red), CD11b (grey) and NFH (green) (a), or with IBA1 (red) and iNOS (green) (b), or with Arg1 (red) and CD16/32 (green) (c). (d-h) Graphs comparing the density of p16</w:t>
      </w:r>
      <w:r>
        <w:rPr>
          <w:rFonts w:asciiTheme="majorHAnsi" w:hAnsiTheme="majorHAnsi" w:cstheme="majorHAnsi"/>
          <w:vertAlign w:val="superscript"/>
        </w:rPr>
        <w:t>INK4A</w:t>
      </w:r>
      <w:r>
        <w:rPr>
          <w:rFonts w:asciiTheme="majorHAnsi" w:hAnsiTheme="majorHAnsi" w:cstheme="majorHAnsi"/>
        </w:rPr>
        <w:t xml:space="preserve"> (d), the amount IBA1 that overlapped with iNOS (e) and total iNOS (f), the amount of Arg1 that overlapped with CD16/32 (g) and total Arg1(h), between day 42 OxPC lesion from 6wk and 52wk mice. Data was acquired from 2 experiments with 4 or 5 mice per group per experiment</w:t>
      </w:r>
      <w:r w:rsidRPr="00F11D8D">
        <w:rPr>
          <w:rFonts w:asciiTheme="majorHAnsi" w:hAnsiTheme="majorHAnsi" w:cstheme="majorHAnsi"/>
        </w:rPr>
        <w:t>. S</w:t>
      </w:r>
      <w:r>
        <w:rPr>
          <w:rFonts w:asciiTheme="majorHAnsi" w:hAnsiTheme="majorHAnsi" w:cstheme="majorHAnsi"/>
        </w:rPr>
        <w:t>tatistical s</w:t>
      </w:r>
      <w:r w:rsidRPr="00F11D8D">
        <w:rPr>
          <w:rFonts w:asciiTheme="majorHAnsi" w:hAnsiTheme="majorHAnsi" w:cstheme="majorHAnsi"/>
        </w:rPr>
        <w:t xml:space="preserve">ignificance </w:t>
      </w:r>
      <w:r>
        <w:rPr>
          <w:rFonts w:asciiTheme="majorHAnsi" w:hAnsiTheme="majorHAnsi" w:cstheme="majorHAnsi"/>
        </w:rPr>
        <w:t>reported as p-values</w:t>
      </w:r>
      <w:r w:rsidRPr="00F11D8D">
        <w:rPr>
          <w:rFonts w:asciiTheme="majorHAnsi" w:hAnsiTheme="majorHAnsi" w:cstheme="majorHAnsi"/>
        </w:rPr>
        <w:t>, two-tailed, unpaired t-test.</w:t>
      </w:r>
      <w:r>
        <w:rPr>
          <w:rFonts w:asciiTheme="majorHAnsi" w:hAnsiTheme="majorHAnsi" w:cstheme="majorHAnsi"/>
        </w:rPr>
        <w:t xml:space="preserve"> </w:t>
      </w:r>
      <w:r w:rsidRPr="00F11D8D">
        <w:rPr>
          <w:rFonts w:asciiTheme="majorHAnsi" w:hAnsiTheme="majorHAnsi" w:cstheme="majorHAnsi"/>
        </w:rPr>
        <w:t>Data are represented as mean ± SD.</w:t>
      </w:r>
    </w:p>
    <w:p w14:paraId="71D01B6B" w14:textId="77777777" w:rsidR="008508AB" w:rsidRDefault="008508AB" w:rsidP="008508AB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0A179AC7" wp14:editId="469984F5">
            <wp:simplePos x="0" y="0"/>
            <wp:positionH relativeFrom="column">
              <wp:posOffset>22639</wp:posOffset>
            </wp:positionH>
            <wp:positionV relativeFrom="paragraph">
              <wp:posOffset>55659</wp:posOffset>
            </wp:positionV>
            <wp:extent cx="2154555" cy="3625215"/>
            <wp:effectExtent l="0" t="0" r="0" b="0"/>
            <wp:wrapTopAndBottom/>
            <wp:docPr id="1673745006" name="Picture 13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745006" name="Picture 13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154555" cy="362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B8DF31" w14:textId="77777777" w:rsidR="008508AB" w:rsidRPr="00F11D8D" w:rsidRDefault="008508AB" w:rsidP="008508AB">
      <w:pPr>
        <w:pStyle w:val="Heading2"/>
        <w:spacing w:before="0" w:line="480" w:lineRule="auto"/>
        <w:rPr>
          <w:rFonts w:cstheme="majorHAnsi"/>
          <w:b/>
          <w:bCs/>
          <w:color w:val="auto"/>
          <w:sz w:val="24"/>
          <w:szCs w:val="24"/>
        </w:rPr>
      </w:pPr>
      <w:r>
        <w:rPr>
          <w:rFonts w:cstheme="majorHAnsi"/>
          <w:b/>
          <w:bCs/>
          <w:color w:val="auto"/>
          <w:sz w:val="24"/>
          <w:szCs w:val="24"/>
        </w:rPr>
        <w:t xml:space="preserve">Extended </w:t>
      </w:r>
      <w:r w:rsidRPr="00F11D8D">
        <w:rPr>
          <w:rFonts w:cstheme="majorHAnsi"/>
          <w:b/>
          <w:bCs/>
          <w:color w:val="auto"/>
          <w:sz w:val="24"/>
          <w:szCs w:val="24"/>
        </w:rPr>
        <w:t xml:space="preserve">Figure </w:t>
      </w:r>
      <w:r>
        <w:rPr>
          <w:rFonts w:cstheme="majorHAnsi"/>
          <w:b/>
          <w:bCs/>
          <w:color w:val="auto"/>
          <w:sz w:val="24"/>
          <w:szCs w:val="24"/>
        </w:rPr>
        <w:t>4</w:t>
      </w:r>
      <w:r w:rsidRPr="00F11D8D">
        <w:rPr>
          <w:rFonts w:cstheme="majorHAnsi"/>
          <w:b/>
          <w:bCs/>
          <w:color w:val="auto"/>
          <w:sz w:val="24"/>
          <w:szCs w:val="24"/>
        </w:rPr>
        <w:t>:</w:t>
      </w:r>
      <w:r>
        <w:rPr>
          <w:rFonts w:cstheme="majorHAnsi"/>
          <w:b/>
          <w:bCs/>
          <w:color w:val="auto"/>
          <w:sz w:val="24"/>
          <w:szCs w:val="24"/>
        </w:rPr>
        <w:t xml:space="preserve"> Elevation of cleaved IL-1β in chronic OxPC lesions. </w:t>
      </w:r>
    </w:p>
    <w:p w14:paraId="6A573670" w14:textId="77777777" w:rsidR="008508AB" w:rsidRPr="00DF112C" w:rsidRDefault="008508AB" w:rsidP="008508AB">
      <w:pPr>
        <w:spacing w:line="480" w:lineRule="auto"/>
        <w:rPr>
          <w:rFonts w:asciiTheme="majorHAnsi" w:hAnsiTheme="majorHAnsi" w:cstheme="majorHAnsi"/>
        </w:rPr>
      </w:pPr>
      <w:r w:rsidRPr="00F11D8D">
        <w:rPr>
          <w:rFonts w:asciiTheme="majorHAnsi" w:hAnsiTheme="majorHAnsi" w:cstheme="majorHAnsi"/>
        </w:rPr>
        <w:t xml:space="preserve">a) </w:t>
      </w:r>
      <w:r>
        <w:rPr>
          <w:rFonts w:asciiTheme="majorHAnsi" w:hAnsiTheme="majorHAnsi" w:cstheme="majorHAnsi"/>
        </w:rPr>
        <w:t>Representative immunofluorescence images showing day 7, day 42, and day 100 chronic OxPC lesions labeled with DAPI (blue), CD45 (red) and cleaved IL-1β (green). b-d) Graphs comparing the amount of CD45 (b), cleaved IL-1β (c), and the amount of cleaved IL-1β that overlapped with CD45</w:t>
      </w:r>
      <w:r>
        <w:rPr>
          <w:rFonts w:asciiTheme="majorHAnsi" w:hAnsiTheme="majorHAnsi" w:cstheme="majorHAnsi"/>
          <w:vertAlign w:val="superscript"/>
        </w:rPr>
        <w:t xml:space="preserve">+ </w:t>
      </w:r>
      <w:r>
        <w:rPr>
          <w:rFonts w:asciiTheme="majorHAnsi" w:hAnsiTheme="majorHAnsi" w:cstheme="majorHAnsi"/>
        </w:rPr>
        <w:t xml:space="preserve">cells (d). </w:t>
      </w:r>
      <w:r w:rsidRPr="00F11D8D">
        <w:rPr>
          <w:rFonts w:asciiTheme="majorHAnsi" w:hAnsiTheme="majorHAnsi" w:cstheme="majorHAnsi"/>
        </w:rPr>
        <w:t>Data acquired from 2 experiments</w:t>
      </w:r>
      <w:r>
        <w:rPr>
          <w:rFonts w:asciiTheme="majorHAnsi" w:hAnsiTheme="majorHAnsi" w:cstheme="majorHAnsi"/>
        </w:rPr>
        <w:t xml:space="preserve"> with 3 or 4 mice per experiment. </w:t>
      </w:r>
      <w:r w:rsidRPr="00F11D8D">
        <w:rPr>
          <w:rFonts w:asciiTheme="majorHAnsi" w:hAnsiTheme="majorHAnsi" w:cstheme="majorHAnsi"/>
        </w:rPr>
        <w:t>S</w:t>
      </w:r>
      <w:r>
        <w:rPr>
          <w:rFonts w:asciiTheme="majorHAnsi" w:hAnsiTheme="majorHAnsi" w:cstheme="majorHAnsi"/>
        </w:rPr>
        <w:t>tatistical s</w:t>
      </w:r>
      <w:r w:rsidRPr="00F11D8D">
        <w:rPr>
          <w:rFonts w:asciiTheme="majorHAnsi" w:hAnsiTheme="majorHAnsi" w:cstheme="majorHAnsi"/>
        </w:rPr>
        <w:t xml:space="preserve">ignificance </w:t>
      </w:r>
      <w:r>
        <w:rPr>
          <w:rFonts w:asciiTheme="majorHAnsi" w:hAnsiTheme="majorHAnsi" w:cstheme="majorHAnsi"/>
        </w:rPr>
        <w:t>reported as p-values</w:t>
      </w:r>
      <w:r w:rsidRPr="00F11D8D">
        <w:rPr>
          <w:rFonts w:asciiTheme="majorHAnsi" w:hAnsiTheme="majorHAnsi" w:cstheme="majorHAnsi"/>
        </w:rPr>
        <w:t xml:space="preserve">, </w:t>
      </w:r>
      <w:r>
        <w:rPr>
          <w:rFonts w:asciiTheme="majorHAnsi" w:hAnsiTheme="majorHAnsi" w:cstheme="majorHAnsi"/>
        </w:rPr>
        <w:t>ordinary one-way ANOVA with Tukey’s multiple comparison test</w:t>
      </w:r>
      <w:r w:rsidRPr="00F11D8D"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/>
        </w:rPr>
        <w:t xml:space="preserve"> </w:t>
      </w:r>
      <w:r w:rsidRPr="00F11D8D">
        <w:rPr>
          <w:rFonts w:asciiTheme="majorHAnsi" w:hAnsiTheme="majorHAnsi" w:cstheme="majorHAnsi"/>
        </w:rPr>
        <w:t>Data are represented as mean ± SD.</w:t>
      </w:r>
    </w:p>
    <w:p w14:paraId="7FAD0F6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8AB"/>
    <w:rsid w:val="003C2EF4"/>
    <w:rsid w:val="008508AB"/>
    <w:rsid w:val="00B74216"/>
    <w:rsid w:val="00CA3240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4FF71"/>
  <w15:chartTrackingRefBased/>
  <w15:docId w15:val="{4045AC1E-CD9C-4F88-B59F-6893C9FE8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8AB"/>
    <w:pPr>
      <w:spacing w:after="0" w:line="240" w:lineRule="auto"/>
    </w:pPr>
    <w:rPr>
      <w:rFonts w:ascii="Arial" w:eastAsia="Times New Roman" w:hAnsi="Arial" w:cs="Times New Roman"/>
      <w:kern w:val="0"/>
      <w:sz w:val="24"/>
      <w:szCs w:val="24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08A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08A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08A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08A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08A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08A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08A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08A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08A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08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508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08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08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08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08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08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08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08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08A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08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08A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08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08A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08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08A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08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08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08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08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401</Words>
  <Characters>2290</Characters>
  <Application>Microsoft Office Word</Application>
  <DocSecurity>0</DocSecurity>
  <Lines>19</Lines>
  <Paragraphs>5</Paragraphs>
  <ScaleCrop>false</ScaleCrop>
  <Company>Springer Nature</Company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2024-08-04T17:26:00Z</dcterms:created>
  <dcterms:modified xsi:type="dcterms:W3CDTF">2024-08-04T17:26:00Z</dcterms:modified>
</cp:coreProperties>
</file>