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E0EC41" w14:textId="77777777" w:rsidR="00485D1B" w:rsidRPr="00E82647" w:rsidRDefault="00485D1B" w:rsidP="00485D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E82647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Appendix A</w:t>
      </w:r>
    </w:p>
    <w:p w14:paraId="00D46A03" w14:textId="77777777" w:rsidR="00485D1B" w:rsidRPr="00E82647" w:rsidRDefault="00485D1B" w:rsidP="00485D1B">
      <w:pPr>
        <w:spacing w:after="0" w:line="240" w:lineRule="auto"/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</w:pPr>
    </w:p>
    <w:p w14:paraId="6FF393E2" w14:textId="77777777" w:rsidR="00485D1B" w:rsidRPr="00E82647" w:rsidRDefault="00485D1B" w:rsidP="00485D1B">
      <w:pPr>
        <w:spacing w:after="0" w:line="240" w:lineRule="auto"/>
        <w:rPr>
          <w:rFonts w:ascii="Times New Roman" w:eastAsia="Calibri" w:hAnsi="Times New Roman" w:cs="Times New Roman"/>
          <w:b/>
          <w:bCs/>
          <w:kern w:val="2"/>
          <w14:ligatures w14:val="standardContextual"/>
        </w:rPr>
      </w:pPr>
      <w:r w:rsidRPr="00E82647">
        <w:rPr>
          <w:rFonts w:ascii="Times New Roman" w:eastAsia="Calibri" w:hAnsi="Times New Roman" w:cs="Times New Roman"/>
          <w:b/>
          <w:bCs/>
          <w:kern w:val="2"/>
          <w14:ligatures w14:val="standardContextual"/>
        </w:rPr>
        <w:t>Table Variable Definitions</w:t>
      </w:r>
    </w:p>
    <w:tbl>
      <w:tblPr>
        <w:tblStyle w:val="TableGrid11"/>
        <w:tblW w:w="10178" w:type="dxa"/>
        <w:tblLook w:val="04A0" w:firstRow="1" w:lastRow="0" w:firstColumn="1" w:lastColumn="0" w:noHBand="0" w:noVBand="1"/>
      </w:tblPr>
      <w:tblGrid>
        <w:gridCol w:w="1484"/>
        <w:gridCol w:w="6624"/>
        <w:gridCol w:w="2070"/>
      </w:tblGrid>
      <w:tr w:rsidR="00485D1B" w:rsidRPr="00E82647" w14:paraId="32A9A545" w14:textId="77777777" w:rsidTr="00E544B0">
        <w:trPr>
          <w:trHeight w:val="47"/>
        </w:trPr>
        <w:tc>
          <w:tcPr>
            <w:tcW w:w="14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7D380A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Variable</w:t>
            </w:r>
          </w:p>
        </w:tc>
        <w:tc>
          <w:tcPr>
            <w:tcW w:w="6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DBD570" w14:textId="77777777" w:rsidR="00485D1B" w:rsidRPr="00E82647" w:rsidRDefault="00485D1B" w:rsidP="00E544B0">
            <w:pPr>
              <w:tabs>
                <w:tab w:val="left" w:pos="1652"/>
              </w:tabs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ab/>
              <w:t>Definition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9802A1" w14:textId="77777777" w:rsidR="00485D1B" w:rsidRPr="00E82647" w:rsidRDefault="00485D1B" w:rsidP="00E544B0">
            <w:pPr>
              <w:ind w:firstLine="720"/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Source</w:t>
            </w:r>
          </w:p>
        </w:tc>
      </w:tr>
      <w:tr w:rsidR="00485D1B" w:rsidRPr="00E82647" w14:paraId="24A53A1C" w14:textId="77777777" w:rsidTr="00E544B0">
        <w:trPr>
          <w:trHeight w:val="926"/>
        </w:trPr>
        <w:tc>
          <w:tcPr>
            <w:tcW w:w="14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36062F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Political Risk (Prisk)</w:t>
            </w:r>
          </w:p>
        </w:tc>
        <w:tc>
          <w:tcPr>
            <w:tcW w:w="6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9802CF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The proportion of each firm's quarterly earnings conference calls is devoted to political risks. The annual political risk is the average of quarterly political risk values for a specific year. For my analysis, I scaled it by 1000.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0687C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(Hassan et al., 2019).</w:t>
            </w:r>
          </w:p>
        </w:tc>
      </w:tr>
      <w:tr w:rsidR="00485D1B" w:rsidRPr="00E82647" w14:paraId="2FCE6EDC" w14:textId="77777777" w:rsidTr="00E544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4"/>
        </w:trPr>
        <w:tc>
          <w:tcPr>
            <w:tcW w:w="1484" w:type="dxa"/>
          </w:tcPr>
          <w:p w14:paraId="71B31A09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Political Risk- Economic</w:t>
            </w:r>
          </w:p>
        </w:tc>
        <w:tc>
          <w:tcPr>
            <w:tcW w:w="6624" w:type="dxa"/>
          </w:tcPr>
          <w:p w14:paraId="7EFAD19D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The economic policy-specific component of political risk is equal to the proportion of individual firms' quarterly earnings conference calls related to economic policy-related political risk.</w:t>
            </w:r>
          </w:p>
        </w:tc>
        <w:tc>
          <w:tcPr>
            <w:tcW w:w="2070" w:type="dxa"/>
          </w:tcPr>
          <w:p w14:paraId="77486819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(Hassan et al., 2019).</w:t>
            </w:r>
          </w:p>
        </w:tc>
      </w:tr>
      <w:tr w:rsidR="00485D1B" w:rsidRPr="00E82647" w14:paraId="38792E35" w14:textId="77777777" w:rsidTr="00E544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8"/>
        </w:trPr>
        <w:tc>
          <w:tcPr>
            <w:tcW w:w="1484" w:type="dxa"/>
          </w:tcPr>
          <w:p w14:paraId="1D7FB76E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Political Risk- Environment</w:t>
            </w:r>
          </w:p>
        </w:tc>
        <w:tc>
          <w:tcPr>
            <w:tcW w:w="6624" w:type="dxa"/>
          </w:tcPr>
          <w:p w14:paraId="47ACB1B4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The environmental policy-specific measure of political risk is equal to the proportion of individual firms' quarterly earnings conference calls related to economic policy-related political risk. This includes air act, renewable energy, climate change, clean air, greenhouse gas, and other ecological issues</w:t>
            </w:r>
          </w:p>
        </w:tc>
        <w:tc>
          <w:tcPr>
            <w:tcW w:w="2070" w:type="dxa"/>
          </w:tcPr>
          <w:p w14:paraId="472A2FD1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(Hassan et al., 2019).</w:t>
            </w:r>
          </w:p>
        </w:tc>
      </w:tr>
      <w:tr w:rsidR="00485D1B" w:rsidRPr="00E82647" w14:paraId="65377C2A" w14:textId="77777777" w:rsidTr="00E544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1484" w:type="dxa"/>
          </w:tcPr>
          <w:p w14:paraId="1BEE7375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Political Risk- Trade</w:t>
            </w:r>
          </w:p>
        </w:tc>
        <w:tc>
          <w:tcPr>
            <w:tcW w:w="6624" w:type="dxa"/>
          </w:tcPr>
          <w:p w14:paraId="25D01EEE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This comprises free trade, trade agreements, trade barriers, globalization, and labor standards.</w:t>
            </w:r>
          </w:p>
        </w:tc>
        <w:tc>
          <w:tcPr>
            <w:tcW w:w="2070" w:type="dxa"/>
          </w:tcPr>
          <w:p w14:paraId="3C3F589E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(Hassan et al., 2019).</w:t>
            </w:r>
          </w:p>
        </w:tc>
      </w:tr>
      <w:tr w:rsidR="00485D1B" w:rsidRPr="00E82647" w14:paraId="45323C5F" w14:textId="77777777" w:rsidTr="00E544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1484" w:type="dxa"/>
          </w:tcPr>
          <w:p w14:paraId="1CA33E23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Political Risk- Institution</w:t>
            </w:r>
          </w:p>
        </w:tc>
        <w:tc>
          <w:tcPr>
            <w:tcW w:w="6624" w:type="dxa"/>
          </w:tcPr>
          <w:p w14:paraId="3D938740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The environmental policy-specific measure includes campaign finance, finance reform, federal elections, and political system</w:t>
            </w:r>
          </w:p>
        </w:tc>
        <w:tc>
          <w:tcPr>
            <w:tcW w:w="2070" w:type="dxa"/>
          </w:tcPr>
          <w:p w14:paraId="5FB8877A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(Hassan et al., 2019).</w:t>
            </w:r>
          </w:p>
        </w:tc>
      </w:tr>
      <w:tr w:rsidR="00485D1B" w:rsidRPr="00E82647" w14:paraId="21A17414" w14:textId="77777777" w:rsidTr="00E544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1484" w:type="dxa"/>
          </w:tcPr>
          <w:p w14:paraId="3342D550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Political Risk- Health</w:t>
            </w:r>
          </w:p>
        </w:tc>
        <w:tc>
          <w:tcPr>
            <w:tcW w:w="6624" w:type="dxa"/>
          </w:tcPr>
          <w:p w14:paraId="25FE3EDF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Health risk contains issues related to prescription drugs, medicare, government takeover, and drug plan</w:t>
            </w:r>
          </w:p>
        </w:tc>
        <w:tc>
          <w:tcPr>
            <w:tcW w:w="2070" w:type="dxa"/>
          </w:tcPr>
          <w:p w14:paraId="25BEBE90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(Hassan et al., 2019).</w:t>
            </w:r>
          </w:p>
        </w:tc>
      </w:tr>
      <w:tr w:rsidR="00485D1B" w:rsidRPr="00E82647" w14:paraId="449EFC3E" w14:textId="77777777" w:rsidTr="00E544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1484" w:type="dxa"/>
          </w:tcPr>
          <w:p w14:paraId="49EEEDF8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Political Risk- Security</w:t>
            </w:r>
          </w:p>
        </w:tc>
        <w:tc>
          <w:tcPr>
            <w:tcW w:w="6624" w:type="dxa"/>
          </w:tcPr>
          <w:p w14:paraId="6E2C209A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Incorporates issues like terrorism, nuclear weapons, and the U.S. troops</w:t>
            </w:r>
          </w:p>
        </w:tc>
        <w:tc>
          <w:tcPr>
            <w:tcW w:w="2070" w:type="dxa"/>
          </w:tcPr>
          <w:p w14:paraId="2DEBA829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(Hassan et al., 2019).</w:t>
            </w:r>
          </w:p>
        </w:tc>
      </w:tr>
      <w:tr w:rsidR="00485D1B" w:rsidRPr="00E82647" w14:paraId="5768AA86" w14:textId="77777777" w:rsidTr="00E544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1484" w:type="dxa"/>
          </w:tcPr>
          <w:p w14:paraId="223FBE14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Political Risk- Tax</w:t>
            </w:r>
          </w:p>
        </w:tc>
        <w:tc>
          <w:tcPr>
            <w:tcW w:w="6624" w:type="dxa"/>
          </w:tcPr>
          <w:p w14:paraId="026BB9CB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Covers estate tax, tax relief, bush tax, and tax reform</w:t>
            </w:r>
          </w:p>
        </w:tc>
        <w:tc>
          <w:tcPr>
            <w:tcW w:w="2070" w:type="dxa"/>
          </w:tcPr>
          <w:p w14:paraId="79C360E2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(Hassan et al., 2019).</w:t>
            </w:r>
          </w:p>
        </w:tc>
      </w:tr>
      <w:tr w:rsidR="00485D1B" w:rsidRPr="00E82647" w14:paraId="00CF2337" w14:textId="77777777" w:rsidTr="00E544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1484" w:type="dxa"/>
          </w:tcPr>
          <w:p w14:paraId="6562C127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Political Risk- Technology</w:t>
            </w:r>
          </w:p>
        </w:tc>
        <w:tc>
          <w:tcPr>
            <w:tcW w:w="6624" w:type="dxa"/>
          </w:tcPr>
          <w:p w14:paraId="1898D348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It considers fairness doctrine, cyber warfare and high-tech jobs, among others</w:t>
            </w:r>
          </w:p>
        </w:tc>
        <w:tc>
          <w:tcPr>
            <w:tcW w:w="2070" w:type="dxa"/>
          </w:tcPr>
          <w:p w14:paraId="39EE2A07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(Hassan et al., 2019).</w:t>
            </w:r>
          </w:p>
        </w:tc>
      </w:tr>
      <w:tr w:rsidR="00485D1B" w:rsidRPr="00E82647" w14:paraId="2F123557" w14:textId="77777777" w:rsidTr="00E544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4"/>
        </w:trPr>
        <w:tc>
          <w:tcPr>
            <w:tcW w:w="1484" w:type="dxa"/>
          </w:tcPr>
          <w:p w14:paraId="2586B233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Wages or labor compensation</w:t>
            </w:r>
          </w:p>
        </w:tc>
        <w:tc>
          <w:tcPr>
            <w:tcW w:w="6624" w:type="dxa"/>
          </w:tcPr>
          <w:p w14:paraId="3B6F115D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Wages are a measure of the amount and trend of workers' purchasing power and an estimate of their standard of life. Total Wages is the total labor expenses deflated by 10000.</w:t>
            </w:r>
          </w:p>
        </w:tc>
        <w:tc>
          <w:tcPr>
            <w:tcW w:w="2070" w:type="dxa"/>
          </w:tcPr>
          <w:p w14:paraId="2EFA0307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Author's calculation.</w:t>
            </w:r>
          </w:p>
          <w:p w14:paraId="4852E46E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Compustat</w:t>
            </w:r>
          </w:p>
        </w:tc>
      </w:tr>
      <w:tr w:rsidR="00485D1B" w:rsidRPr="00E82647" w14:paraId="31DB78E3" w14:textId="77777777" w:rsidTr="00E544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1484" w:type="dxa"/>
          </w:tcPr>
          <w:p w14:paraId="68951B3A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Employment growth</w:t>
            </w:r>
          </w:p>
        </w:tc>
        <w:tc>
          <w:tcPr>
            <w:tcW w:w="6624" w:type="dxa"/>
          </w:tcPr>
          <w:p w14:paraId="3B426AFE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The ratio of the total number of employees minus lagged total number of employees divided by the lagged total number of employees.</w:t>
            </w:r>
          </w:p>
        </w:tc>
        <w:tc>
          <w:tcPr>
            <w:tcW w:w="2070" w:type="dxa"/>
          </w:tcPr>
          <w:p w14:paraId="7E0F73D4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Author's calculation Compustat</w:t>
            </w:r>
          </w:p>
        </w:tc>
      </w:tr>
      <w:tr w:rsidR="00485D1B" w:rsidRPr="00E82647" w14:paraId="622F936B" w14:textId="77777777" w:rsidTr="00E544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1484" w:type="dxa"/>
          </w:tcPr>
          <w:p w14:paraId="4BB97375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Labor productivity</w:t>
            </w:r>
          </w:p>
        </w:tc>
        <w:tc>
          <w:tcPr>
            <w:tcW w:w="6624" w:type="dxa"/>
          </w:tcPr>
          <w:p w14:paraId="248F24ED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 xml:space="preserve">Sales minus cost of goods sold divided by employees. </w:t>
            </w:r>
          </w:p>
        </w:tc>
        <w:tc>
          <w:tcPr>
            <w:tcW w:w="2070" w:type="dxa"/>
          </w:tcPr>
          <w:p w14:paraId="22884E46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Author's calculation Compustat</w:t>
            </w:r>
          </w:p>
        </w:tc>
      </w:tr>
      <w:tr w:rsidR="00485D1B" w:rsidRPr="00E82647" w14:paraId="4C5548BA" w14:textId="77777777" w:rsidTr="00E544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1484" w:type="dxa"/>
          </w:tcPr>
          <w:p w14:paraId="56374E5B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Firm size (size)</w:t>
            </w:r>
          </w:p>
        </w:tc>
        <w:tc>
          <w:tcPr>
            <w:tcW w:w="6624" w:type="dxa"/>
          </w:tcPr>
          <w:p w14:paraId="22C5D4C6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The natural logarithm of total assets</w:t>
            </w:r>
          </w:p>
        </w:tc>
        <w:tc>
          <w:tcPr>
            <w:tcW w:w="2070" w:type="dxa"/>
          </w:tcPr>
          <w:p w14:paraId="1A806FFF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Author's calculation Compustat</w:t>
            </w:r>
          </w:p>
        </w:tc>
      </w:tr>
      <w:tr w:rsidR="00485D1B" w:rsidRPr="00E82647" w14:paraId="2B044492" w14:textId="77777777" w:rsidTr="00E544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1484" w:type="dxa"/>
          </w:tcPr>
          <w:p w14:paraId="7ED3DF28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Firm age (age)</w:t>
            </w:r>
          </w:p>
        </w:tc>
        <w:tc>
          <w:tcPr>
            <w:tcW w:w="6624" w:type="dxa"/>
          </w:tcPr>
          <w:p w14:paraId="21250EB3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Firm age is measured as the time between its going public and the current time (also in years).</w:t>
            </w:r>
          </w:p>
        </w:tc>
        <w:tc>
          <w:tcPr>
            <w:tcW w:w="2070" w:type="dxa"/>
          </w:tcPr>
          <w:p w14:paraId="25B1A499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Author's calculation</w:t>
            </w:r>
          </w:p>
        </w:tc>
      </w:tr>
      <w:tr w:rsidR="00485D1B" w:rsidRPr="00E82647" w14:paraId="5D8ACE53" w14:textId="77777777" w:rsidTr="00E544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1484" w:type="dxa"/>
          </w:tcPr>
          <w:p w14:paraId="5DC75759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Total debt</w:t>
            </w:r>
          </w:p>
        </w:tc>
        <w:tc>
          <w:tcPr>
            <w:tcW w:w="6624" w:type="dxa"/>
          </w:tcPr>
          <w:p w14:paraId="436EE805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Sum of short-term debt (current liabilities) and total long-term debt scaled by total assets</w:t>
            </w:r>
          </w:p>
        </w:tc>
        <w:tc>
          <w:tcPr>
            <w:tcW w:w="2070" w:type="dxa"/>
          </w:tcPr>
          <w:p w14:paraId="10C7D6DE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Author's calculation Compustat</w:t>
            </w:r>
          </w:p>
        </w:tc>
      </w:tr>
      <w:tr w:rsidR="00485D1B" w:rsidRPr="00E82647" w14:paraId="7EC99B01" w14:textId="77777777" w:rsidTr="00E544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8"/>
        </w:trPr>
        <w:tc>
          <w:tcPr>
            <w:tcW w:w="1484" w:type="dxa"/>
          </w:tcPr>
          <w:p w14:paraId="311A3187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Altman Z score (z-score)</w:t>
            </w:r>
          </w:p>
        </w:tc>
        <w:tc>
          <w:tcPr>
            <w:tcW w:w="6624" w:type="dxa"/>
          </w:tcPr>
          <w:p w14:paraId="54EAC6AF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I use the Altman Z-score model to measure financial distress. The Z-score of a firm is computed as per Altman (1968, 2000). The sum of 1.2 times net working capital, 1.4 times retained earnings, 3.3 times pretax income, sales, 0.6 times market value, and 1 times sale all divided by total asset</w:t>
            </w:r>
          </w:p>
        </w:tc>
        <w:tc>
          <w:tcPr>
            <w:tcW w:w="2070" w:type="dxa"/>
          </w:tcPr>
          <w:p w14:paraId="4DD4FBB8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Author's calculation Compustat</w:t>
            </w:r>
          </w:p>
        </w:tc>
      </w:tr>
      <w:tr w:rsidR="00485D1B" w:rsidRPr="00E82647" w14:paraId="288EA924" w14:textId="77777777" w:rsidTr="00E544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1484" w:type="dxa"/>
          </w:tcPr>
          <w:p w14:paraId="174C7B6A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lastRenderedPageBreak/>
              <w:t>Sale growth</w:t>
            </w:r>
          </w:p>
        </w:tc>
        <w:tc>
          <w:tcPr>
            <w:tcW w:w="6624" w:type="dxa"/>
          </w:tcPr>
          <w:p w14:paraId="6C274355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Annual sales growth rate. Percentage of sales growth from the previous year to the current year.</w:t>
            </w:r>
          </w:p>
        </w:tc>
        <w:tc>
          <w:tcPr>
            <w:tcW w:w="2070" w:type="dxa"/>
          </w:tcPr>
          <w:p w14:paraId="394F0C11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Author's calculation Compustat</w:t>
            </w:r>
          </w:p>
        </w:tc>
      </w:tr>
      <w:tr w:rsidR="00485D1B" w:rsidRPr="00E82647" w14:paraId="36D90175" w14:textId="77777777" w:rsidTr="00E544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1484" w:type="dxa"/>
          </w:tcPr>
          <w:p w14:paraId="03FB9011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Net Working capital</w:t>
            </w:r>
          </w:p>
        </w:tc>
        <w:tc>
          <w:tcPr>
            <w:tcW w:w="6624" w:type="dxa"/>
          </w:tcPr>
          <w:p w14:paraId="64D28250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The difference between working capital and cash, scaled by total assets.</w:t>
            </w:r>
          </w:p>
        </w:tc>
        <w:tc>
          <w:tcPr>
            <w:tcW w:w="2070" w:type="dxa"/>
          </w:tcPr>
          <w:p w14:paraId="7ADE225B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Author's calculation Compustat</w:t>
            </w:r>
          </w:p>
        </w:tc>
      </w:tr>
      <w:tr w:rsidR="00485D1B" w:rsidRPr="00E82647" w14:paraId="3DBC7457" w14:textId="77777777" w:rsidTr="00E544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1484" w:type="dxa"/>
          </w:tcPr>
          <w:p w14:paraId="3E19BDD8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Dividend dummy</w:t>
            </w:r>
          </w:p>
        </w:tc>
        <w:tc>
          <w:tcPr>
            <w:tcW w:w="6624" w:type="dxa"/>
          </w:tcPr>
          <w:p w14:paraId="7C94E739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A dummy variable equals 1 if firm pays a dividend to common shareholders and 0 otherwise.</w:t>
            </w:r>
          </w:p>
        </w:tc>
        <w:tc>
          <w:tcPr>
            <w:tcW w:w="2070" w:type="dxa"/>
          </w:tcPr>
          <w:p w14:paraId="77777B27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Author's calculation Compustat</w:t>
            </w:r>
          </w:p>
        </w:tc>
      </w:tr>
      <w:tr w:rsidR="00485D1B" w:rsidRPr="00E82647" w14:paraId="51D508A1" w14:textId="77777777" w:rsidTr="00E544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1484" w:type="dxa"/>
          </w:tcPr>
          <w:p w14:paraId="01C7FA1D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Cashflow</w:t>
            </w:r>
          </w:p>
        </w:tc>
        <w:tc>
          <w:tcPr>
            <w:tcW w:w="6624" w:type="dxa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6408"/>
            </w:tblGrid>
            <w:tr w:rsidR="00485D1B" w:rsidRPr="00E82647" w14:paraId="0479EEDA" w14:textId="77777777" w:rsidTr="00E544B0">
              <w:tc>
                <w:tcPr>
                  <w:tcW w:w="808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FD2C91A" w14:textId="77777777" w:rsidR="00485D1B" w:rsidRPr="00E82647" w:rsidRDefault="00485D1B" w:rsidP="00E544B0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kern w:val="2"/>
                      <w14:ligatures w14:val="standardContextual"/>
                    </w:rPr>
                  </w:pPr>
                </w:p>
              </w:tc>
            </w:tr>
          </w:tbl>
          <w:p w14:paraId="54CCC3BC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Sum of total income before extraordinary items and depreciation expense divided by total assets.</w:t>
            </w:r>
          </w:p>
        </w:tc>
        <w:tc>
          <w:tcPr>
            <w:tcW w:w="2070" w:type="dxa"/>
          </w:tcPr>
          <w:p w14:paraId="4E7DF962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Author's calculation Compustat</w:t>
            </w:r>
          </w:p>
        </w:tc>
      </w:tr>
      <w:tr w:rsidR="00485D1B" w:rsidRPr="00E82647" w14:paraId="45ACCA15" w14:textId="77777777" w:rsidTr="00E544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1484" w:type="dxa"/>
          </w:tcPr>
          <w:p w14:paraId="74B8F522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Tobin Q</w:t>
            </w:r>
          </w:p>
        </w:tc>
        <w:tc>
          <w:tcPr>
            <w:tcW w:w="6624" w:type="dxa"/>
          </w:tcPr>
          <w:p w14:paraId="76A101B9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Total assets less the book value of equity scaled by the market value of equity over total assets</w:t>
            </w:r>
          </w:p>
        </w:tc>
        <w:tc>
          <w:tcPr>
            <w:tcW w:w="2070" w:type="dxa"/>
          </w:tcPr>
          <w:p w14:paraId="19CC1776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Author's calculation Compustat</w:t>
            </w:r>
          </w:p>
        </w:tc>
      </w:tr>
      <w:tr w:rsidR="00485D1B" w:rsidRPr="00E82647" w14:paraId="00585046" w14:textId="77777777" w:rsidTr="00E544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1484" w:type="dxa"/>
          </w:tcPr>
          <w:p w14:paraId="10D154A9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R&amp;D intensity</w:t>
            </w:r>
          </w:p>
        </w:tc>
        <w:tc>
          <w:tcPr>
            <w:tcW w:w="6624" w:type="dxa"/>
          </w:tcPr>
          <w:p w14:paraId="49A98061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R&amp;D expenses scaled by total assets. For missing R&amp;D expenses, the value of R&amp;D is set to zero</w:t>
            </w:r>
          </w:p>
        </w:tc>
        <w:tc>
          <w:tcPr>
            <w:tcW w:w="2070" w:type="dxa"/>
          </w:tcPr>
          <w:p w14:paraId="06AEF0CB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Author's calculation Compustat</w:t>
            </w:r>
          </w:p>
        </w:tc>
      </w:tr>
      <w:tr w:rsidR="00485D1B" w:rsidRPr="00E82647" w14:paraId="3DCF9DC7" w14:textId="77777777" w:rsidTr="00E544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1484" w:type="dxa"/>
          </w:tcPr>
          <w:p w14:paraId="570C4D91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Capital intensity</w:t>
            </w:r>
          </w:p>
        </w:tc>
        <w:tc>
          <w:tcPr>
            <w:tcW w:w="6624" w:type="dxa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6408"/>
            </w:tblGrid>
            <w:tr w:rsidR="00485D1B" w:rsidRPr="00E82647" w14:paraId="7BF2C0EF" w14:textId="77777777" w:rsidTr="00E544B0">
              <w:trPr>
                <w:trHeight w:val="319"/>
              </w:trPr>
              <w:tc>
                <w:tcPr>
                  <w:tcW w:w="808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E08A01A" w14:textId="77777777" w:rsidR="00485D1B" w:rsidRPr="00E82647" w:rsidRDefault="00485D1B" w:rsidP="00E544B0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kern w:val="2"/>
                      <w14:ligatures w14:val="standardContextual"/>
                    </w:rPr>
                  </w:pPr>
                  <w:r w:rsidRPr="00E82647">
                    <w:rPr>
                      <w:rFonts w:ascii="Times New Roman" w:eastAsia="Calibri" w:hAnsi="Times New Roman" w:cs="Times New Roman"/>
                      <w:kern w:val="2"/>
                      <w14:ligatures w14:val="standardContextual"/>
                    </w:rPr>
                    <w:t>Capital expenditure scaled by total assets.</w:t>
                  </w:r>
                </w:p>
              </w:tc>
            </w:tr>
          </w:tbl>
          <w:p w14:paraId="2AE09992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70" w:type="dxa"/>
          </w:tcPr>
          <w:p w14:paraId="05703C8D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Author's calculation Compustat</w:t>
            </w:r>
          </w:p>
        </w:tc>
      </w:tr>
      <w:tr w:rsidR="00485D1B" w:rsidRPr="00E82647" w14:paraId="55DDB671" w14:textId="77777777" w:rsidTr="00E544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1484" w:type="dxa"/>
          </w:tcPr>
          <w:p w14:paraId="60E4A9BE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Market to Book ratio</w:t>
            </w:r>
          </w:p>
        </w:tc>
        <w:tc>
          <w:tcPr>
            <w:tcW w:w="6624" w:type="dxa"/>
          </w:tcPr>
          <w:p w14:paraId="3F50BEAE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Market-to-book ratio. The market value of the firm divided by the enterprise value</w:t>
            </w:r>
          </w:p>
        </w:tc>
        <w:tc>
          <w:tcPr>
            <w:tcW w:w="2070" w:type="dxa"/>
          </w:tcPr>
          <w:p w14:paraId="17AFFF31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Author's calculation Compustat</w:t>
            </w:r>
          </w:p>
        </w:tc>
      </w:tr>
      <w:tr w:rsidR="00485D1B" w:rsidRPr="00E82647" w14:paraId="32CB8E04" w14:textId="77777777" w:rsidTr="00E544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1484" w:type="dxa"/>
          </w:tcPr>
          <w:p w14:paraId="35ACFD5F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Cash holding</w:t>
            </w:r>
          </w:p>
        </w:tc>
        <w:tc>
          <w:tcPr>
            <w:tcW w:w="6624" w:type="dxa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6408"/>
            </w:tblGrid>
            <w:tr w:rsidR="00485D1B" w:rsidRPr="00E82647" w14:paraId="13AC4117" w14:textId="77777777" w:rsidTr="00E544B0">
              <w:tc>
                <w:tcPr>
                  <w:tcW w:w="808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880E3B4" w14:textId="77777777" w:rsidR="00485D1B" w:rsidRPr="00E82647" w:rsidRDefault="00485D1B" w:rsidP="00E544B0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kern w:val="2"/>
                      <w14:ligatures w14:val="standardContextual"/>
                    </w:rPr>
                  </w:pPr>
                  <w:r w:rsidRPr="00E82647">
                    <w:rPr>
                      <w:rFonts w:ascii="Times New Roman" w:eastAsia="Calibri" w:hAnsi="Times New Roman" w:cs="Times New Roman"/>
                      <w:kern w:val="2"/>
                      <w14:ligatures w14:val="standardContextual"/>
                    </w:rPr>
                    <w:t>Cash scaled by the book value of total assets</w:t>
                  </w:r>
                </w:p>
              </w:tc>
            </w:tr>
          </w:tbl>
          <w:p w14:paraId="5249DAE2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70" w:type="dxa"/>
          </w:tcPr>
          <w:p w14:paraId="765EED89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Author's calculation Compustat</w:t>
            </w:r>
          </w:p>
        </w:tc>
      </w:tr>
      <w:tr w:rsidR="00485D1B" w:rsidRPr="00E82647" w14:paraId="0F27AF60" w14:textId="77777777" w:rsidTr="00E544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1484" w:type="dxa"/>
          </w:tcPr>
          <w:p w14:paraId="46140300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 xml:space="preserve">Profitability </w:t>
            </w:r>
          </w:p>
        </w:tc>
        <w:tc>
          <w:tcPr>
            <w:tcW w:w="6624" w:type="dxa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6408"/>
            </w:tblGrid>
            <w:tr w:rsidR="00485D1B" w:rsidRPr="00E82647" w14:paraId="5D4678F2" w14:textId="77777777" w:rsidTr="00E544B0">
              <w:tc>
                <w:tcPr>
                  <w:tcW w:w="825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8C3DEC9" w14:textId="77777777" w:rsidR="00485D1B" w:rsidRPr="00E82647" w:rsidRDefault="00485D1B" w:rsidP="00E544B0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kern w:val="2"/>
                      <w14:ligatures w14:val="standardContextual"/>
                    </w:rPr>
                  </w:pPr>
                  <w:r w:rsidRPr="00E82647">
                    <w:rPr>
                      <w:rFonts w:ascii="Times New Roman" w:eastAsia="Calibri" w:hAnsi="Times New Roman" w:cs="Times New Roman"/>
                      <w:kern w:val="2"/>
                      <w14:ligatures w14:val="standardContextual"/>
                    </w:rPr>
                    <w:t>Operating income before depreciation scaled by total assets</w:t>
                  </w:r>
                </w:p>
              </w:tc>
            </w:tr>
          </w:tbl>
          <w:p w14:paraId="739AB108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70" w:type="dxa"/>
          </w:tcPr>
          <w:p w14:paraId="108666F0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Author's calculation Compustat</w:t>
            </w:r>
          </w:p>
        </w:tc>
      </w:tr>
      <w:tr w:rsidR="00485D1B" w:rsidRPr="00E82647" w14:paraId="1F663133" w14:textId="77777777" w:rsidTr="00E544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1484" w:type="dxa"/>
          </w:tcPr>
          <w:p w14:paraId="007FB378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Labor Share</w:t>
            </w:r>
          </w:p>
        </w:tc>
        <w:tc>
          <w:tcPr>
            <w:tcW w:w="6624" w:type="dxa"/>
          </w:tcPr>
          <w:p w14:paraId="3E14C1E9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It is measured as staff expenses scaled by total sale</w:t>
            </w:r>
          </w:p>
        </w:tc>
        <w:tc>
          <w:tcPr>
            <w:tcW w:w="2070" w:type="dxa"/>
          </w:tcPr>
          <w:p w14:paraId="3D5FCDC7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Author's calculation Compustat</w:t>
            </w:r>
          </w:p>
        </w:tc>
      </w:tr>
      <w:tr w:rsidR="00485D1B" w:rsidRPr="00E82647" w14:paraId="6C10BFDD" w14:textId="77777777" w:rsidTr="00E544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4"/>
        </w:trPr>
        <w:tc>
          <w:tcPr>
            <w:tcW w:w="1484" w:type="dxa"/>
          </w:tcPr>
          <w:p w14:paraId="2E7A2634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 xml:space="preserve">Competition </w:t>
            </w:r>
          </w:p>
        </w:tc>
        <w:tc>
          <w:tcPr>
            <w:tcW w:w="6624" w:type="dxa"/>
          </w:tcPr>
          <w:p w14:paraId="1F1866F8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HHI is measured as the sum of squared market shares of each firm in each industry (three-digit SIC code). Therefore, higher HHI indicates concentration and less competitive markets.</w:t>
            </w:r>
          </w:p>
        </w:tc>
        <w:tc>
          <w:tcPr>
            <w:tcW w:w="2070" w:type="dxa"/>
          </w:tcPr>
          <w:p w14:paraId="0632F5EA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Author's calculation Compustat</w:t>
            </w:r>
          </w:p>
        </w:tc>
      </w:tr>
      <w:tr w:rsidR="00485D1B" w:rsidRPr="00E82647" w14:paraId="2421BE26" w14:textId="77777777" w:rsidTr="00E544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4"/>
        </w:trPr>
        <w:tc>
          <w:tcPr>
            <w:tcW w:w="1484" w:type="dxa"/>
          </w:tcPr>
          <w:p w14:paraId="599D616B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 xml:space="preserve">Industry volatility </w:t>
            </w:r>
          </w:p>
        </w:tc>
        <w:tc>
          <w:tcPr>
            <w:tcW w:w="6624" w:type="dxa"/>
          </w:tcPr>
          <w:p w14:paraId="05AF2183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The average standard deviation of a firm's cashflow in each industry. To define industry, I utilize a three-digit SIC code. The standard deviation of cash flow is calculated by dividing firm-level cash flow by total assets.</w:t>
            </w:r>
          </w:p>
        </w:tc>
        <w:tc>
          <w:tcPr>
            <w:tcW w:w="2070" w:type="dxa"/>
          </w:tcPr>
          <w:p w14:paraId="2AA557B0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Author's calculation Compustat</w:t>
            </w:r>
          </w:p>
        </w:tc>
      </w:tr>
      <w:tr w:rsidR="00485D1B" w:rsidRPr="00E82647" w14:paraId="0F3104BB" w14:textId="77777777" w:rsidTr="00E544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0"/>
        </w:trPr>
        <w:tc>
          <w:tcPr>
            <w:tcW w:w="1484" w:type="dxa"/>
          </w:tcPr>
          <w:p w14:paraId="3D888F06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Federal interest rate</w:t>
            </w:r>
          </w:p>
        </w:tc>
        <w:tc>
          <w:tcPr>
            <w:tcW w:w="6624" w:type="dxa"/>
          </w:tcPr>
          <w:p w14:paraId="3AE39D24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Federal funds rate is the overnight interest rate for depository institutions trading federal funds held at Federal Reserve Banks.</w:t>
            </w:r>
          </w:p>
        </w:tc>
        <w:tc>
          <w:tcPr>
            <w:tcW w:w="2070" w:type="dxa"/>
          </w:tcPr>
          <w:p w14:paraId="49103E40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Federal Reserve Bank of St. Louis (FRED)</w:t>
            </w:r>
          </w:p>
        </w:tc>
      </w:tr>
      <w:tr w:rsidR="00485D1B" w:rsidRPr="00E82647" w14:paraId="077166A3" w14:textId="77777777" w:rsidTr="00E544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0"/>
        </w:trPr>
        <w:tc>
          <w:tcPr>
            <w:tcW w:w="1484" w:type="dxa"/>
          </w:tcPr>
          <w:p w14:paraId="668F277D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High interest</w:t>
            </w:r>
          </w:p>
        </w:tc>
        <w:tc>
          <w:tcPr>
            <w:tcW w:w="6624" w:type="dxa"/>
          </w:tcPr>
          <w:p w14:paraId="1CEAD109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A dummy variable that equals 1 if the federal interest rate is higher than the median value and 0 otherwise.</w:t>
            </w:r>
          </w:p>
        </w:tc>
        <w:tc>
          <w:tcPr>
            <w:tcW w:w="2070" w:type="dxa"/>
          </w:tcPr>
          <w:p w14:paraId="77620BF3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FRED</w:t>
            </w:r>
          </w:p>
        </w:tc>
      </w:tr>
      <w:tr w:rsidR="00485D1B" w:rsidRPr="00E82647" w14:paraId="51A8414C" w14:textId="77777777" w:rsidTr="00E544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1484" w:type="dxa"/>
          </w:tcPr>
          <w:p w14:paraId="247B2A59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Inflation rate</w:t>
            </w:r>
          </w:p>
        </w:tc>
        <w:tc>
          <w:tcPr>
            <w:tcW w:w="6624" w:type="dxa"/>
          </w:tcPr>
          <w:p w14:paraId="2414557A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Consumer price index measures inflation as an annual percentage change in average consumer's cost of goods and services.</w:t>
            </w:r>
          </w:p>
        </w:tc>
        <w:tc>
          <w:tcPr>
            <w:tcW w:w="2070" w:type="dxa"/>
          </w:tcPr>
          <w:p w14:paraId="3B1FE530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FRED</w:t>
            </w:r>
          </w:p>
        </w:tc>
      </w:tr>
      <w:tr w:rsidR="00485D1B" w:rsidRPr="00E82647" w14:paraId="0B667364" w14:textId="77777777" w:rsidTr="00E544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1484" w:type="dxa"/>
          </w:tcPr>
          <w:p w14:paraId="3EDDD8CD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Financial Crisis (2007-2008)</w:t>
            </w:r>
          </w:p>
        </w:tc>
        <w:tc>
          <w:tcPr>
            <w:tcW w:w="6624" w:type="dxa"/>
          </w:tcPr>
          <w:p w14:paraId="5FD3024B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A dummy variable that equals 1 if the year equals 2007-2008 and 0 otherwise.</w:t>
            </w:r>
          </w:p>
        </w:tc>
        <w:tc>
          <w:tcPr>
            <w:tcW w:w="2070" w:type="dxa"/>
          </w:tcPr>
          <w:p w14:paraId="3D0BDE93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Author's calculation</w:t>
            </w:r>
          </w:p>
        </w:tc>
      </w:tr>
      <w:tr w:rsidR="00485D1B" w:rsidRPr="00E82647" w14:paraId="29B3B99C" w14:textId="77777777" w:rsidTr="00E544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4"/>
        </w:trPr>
        <w:tc>
          <w:tcPr>
            <w:tcW w:w="1484" w:type="dxa"/>
          </w:tcPr>
          <w:p w14:paraId="74656977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 xml:space="preserve">Real Gross Domestic Product </w:t>
            </w:r>
          </w:p>
        </w:tc>
        <w:tc>
          <w:tcPr>
            <w:tcW w:w="6624" w:type="dxa"/>
          </w:tcPr>
          <w:p w14:paraId="718BE586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The real GDP is the inflation-adjusted worth of goods and services made by labor and property in the United States.</w:t>
            </w:r>
          </w:p>
        </w:tc>
        <w:tc>
          <w:tcPr>
            <w:tcW w:w="2070" w:type="dxa"/>
          </w:tcPr>
          <w:p w14:paraId="1EF14A15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FRED</w:t>
            </w:r>
          </w:p>
        </w:tc>
      </w:tr>
      <w:tr w:rsidR="00485D1B" w:rsidRPr="00E82647" w14:paraId="43CB30C3" w14:textId="77777777" w:rsidTr="00E544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4"/>
        </w:trPr>
        <w:tc>
          <w:tcPr>
            <w:tcW w:w="1484" w:type="dxa"/>
            <w:tcBorders>
              <w:bottom w:val="single" w:sz="4" w:space="0" w:color="auto"/>
            </w:tcBorders>
          </w:tcPr>
          <w:p w14:paraId="6EE44F10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lastRenderedPageBreak/>
              <w:t>Partisan Conflict</w:t>
            </w:r>
          </w:p>
        </w:tc>
        <w:tc>
          <w:tcPr>
            <w:tcW w:w="6624" w:type="dxa"/>
            <w:tcBorders>
              <w:bottom w:val="single" w:sz="4" w:space="0" w:color="auto"/>
            </w:tcBorders>
          </w:tcPr>
          <w:p w14:paraId="47BA1E42" w14:textId="77777777" w:rsidR="00485D1B" w:rsidRPr="00E82647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Tracks the level of political disagreement among federal lawmakers in the United States. It is Developed by Azzimonti (2018). Index values higher indicate greater political conflict.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4A27B726" w14:textId="77777777" w:rsidR="00485D1B" w:rsidRDefault="00485D1B" w:rsidP="00E544B0">
            <w:pPr>
              <w:rPr>
                <w:rFonts w:ascii="Times New Roman" w:eastAsia="Calibri" w:hAnsi="Times New Roman" w:cs="Times New Roman"/>
              </w:rPr>
            </w:pPr>
            <w:r w:rsidRPr="00E82647">
              <w:rPr>
                <w:rFonts w:ascii="Times New Roman" w:eastAsia="Calibri" w:hAnsi="Times New Roman" w:cs="Times New Roman"/>
              </w:rPr>
              <w:t>Federal Reserve Bank of Philadelphia</w:t>
            </w:r>
          </w:p>
          <w:p w14:paraId="70A9F93B" w14:textId="77777777" w:rsidR="00485D1B" w:rsidRPr="00E82647" w:rsidRDefault="00485D1B" w:rsidP="00E544B0">
            <w:pPr>
              <w:jc w:val="right"/>
              <w:rPr>
                <w:rFonts w:ascii="Times New Roman" w:eastAsia="Calibri" w:hAnsi="Times New Roman" w:cs="Times New Roman"/>
              </w:rPr>
            </w:pPr>
          </w:p>
        </w:tc>
      </w:tr>
    </w:tbl>
    <w:p w14:paraId="651A8B12" w14:textId="77777777" w:rsidR="00485D1B" w:rsidRPr="00E82647" w:rsidRDefault="00485D1B" w:rsidP="00485D1B"/>
    <w:p w14:paraId="6D311287" w14:textId="77777777" w:rsidR="00E8638D" w:rsidRDefault="00E8638D"/>
    <w:sectPr w:rsidR="00E8638D" w:rsidSect="00485D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D1B"/>
    <w:rsid w:val="000C76F0"/>
    <w:rsid w:val="00485D1B"/>
    <w:rsid w:val="008E5DE7"/>
    <w:rsid w:val="00E86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98A1D"/>
  <w15:chartTrackingRefBased/>
  <w15:docId w15:val="{5656A2CA-667D-47DA-8DBF-549410EAE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5D1B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5D1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5D1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5D1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5D1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5D1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5D1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5D1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5D1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5D1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5D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5D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5D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5D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5D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5D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5D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5D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5D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5D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85D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5D1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85D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5D1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85D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5D1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85D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5D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5D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5D1B"/>
    <w:rPr>
      <w:b/>
      <w:bCs/>
      <w:smallCaps/>
      <w:color w:val="0F4761" w:themeColor="accent1" w:themeShade="BF"/>
      <w:spacing w:val="5"/>
    </w:rPr>
  </w:style>
  <w:style w:type="table" w:customStyle="1" w:styleId="TableGrid11">
    <w:name w:val="Table Grid11"/>
    <w:basedOn w:val="TableNormal"/>
    <w:next w:val="TableGrid"/>
    <w:uiPriority w:val="39"/>
    <w:rsid w:val="00485D1B"/>
    <w:pPr>
      <w:spacing w:after="0" w:line="240" w:lineRule="auto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485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872</Words>
  <Characters>4973</Characters>
  <Application>Microsoft Office Word</Application>
  <DocSecurity>0</DocSecurity>
  <Lines>41</Lines>
  <Paragraphs>11</Paragraphs>
  <ScaleCrop>false</ScaleCrop>
  <Company/>
  <LinksUpToDate>false</LinksUpToDate>
  <CharactersWithSpaces>5834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2024-08-28T04:04:00Z</dcterms:created>
  <dcterms:modified xsi:type="dcterms:W3CDTF">2024-08-28T04:04:00Z</dcterms:modified>
</cp:coreProperties>
</file>