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99765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  <w:t>Supplementary material</w:t>
      </w:r>
    </w:p>
    <w:p w14:paraId="11FB162C">
      <w:pPr>
        <w:jc w:val="left"/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174625</wp:posOffset>
                </wp:positionV>
                <wp:extent cx="3422015" cy="4465955"/>
                <wp:effectExtent l="5080" t="4445" r="17145" b="1016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087" cy="4465956"/>
                          <a:chOff x="0" y="0"/>
                          <a:chExt cx="3422087" cy="4130260"/>
                        </a:xfrm>
                      </wpg:grpSpPr>
                      <wps:wsp>
                        <wps:cNvPr id="2" name="文本框 2"/>
                        <wps:cNvSpPr txBox="1"/>
                        <wps:spPr>
                          <a:xfrm>
                            <a:off x="1866337" y="787400"/>
                            <a:ext cx="1543050" cy="482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8C742C5">
                              <w:pPr>
                                <w:pStyle w:val="6"/>
                                <w:keepNext w:val="0"/>
                                <w:keepLines w:val="0"/>
                                <w:widowControl/>
                                <w:suppressLineNumbers w:val="0"/>
                                <w:pBdr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</w:pBdr>
                                <w:shd w:val="clear" w:fill="FFFFFF"/>
                                <w:wordWrap w:val="0"/>
                                <w:spacing w:before="0" w:beforeAutospacing="0" w:after="0" w:afterAutospacing="0" w:line="14" w:lineRule="atLeast"/>
                                <w:ind w:left="0" w:right="0" w:firstLine="0"/>
                                <w:rPr>
                                  <w:rFonts w:hint="default" w:ascii="Lucida Console" w:hAnsi="Lucida Console" w:eastAsia="Lucida Console" w:cs="Lucida Console"/>
                                  <w:i w:val="0"/>
                                  <w:iCs w:val="0"/>
                                  <w:caps w:val="0"/>
                                  <w:color w:val="000000"/>
                                  <w:spacing w:val="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Excluded participants &lt;18 ye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  <w:t>ars old (n=32203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  <w:t>)</w:t>
                              </w:r>
                            </w:p>
                            <w:p w14:paraId="38AC1D5F">
                              <w:pP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</w:pP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>
                        <wps:cNvPr id="3" name="文本框 3"/>
                        <wps:cNvSpPr txBox="1"/>
                        <wps:spPr>
                          <a:xfrm>
                            <a:off x="1872654" y="1627321"/>
                            <a:ext cx="1549433" cy="6289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851E4CE">
                              <w:pPr>
                                <w:pStyle w:val="6"/>
                                <w:keepNext w:val="0"/>
                                <w:keepLines w:val="0"/>
                                <w:widowControl/>
                                <w:suppressLineNumbers w:val="0"/>
                                <w:pBdr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</w:pBdr>
                                <w:shd w:val="clear" w:fill="FFFFFF"/>
                                <w:wordWrap w:val="0"/>
                                <w:spacing w:before="0" w:beforeAutospacing="0" w:after="0" w:afterAutospacing="0" w:line="14" w:lineRule="atLeast"/>
                                <w:ind w:left="0" w:right="0" w:firstLine="0"/>
                                <w:jc w:val="left"/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xcluded participants without 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  <w:t>Body Roundness Index specimens (n=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  <w:t>2987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1879640" y="2463591"/>
                            <a:ext cx="1536732" cy="7945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3AC255">
                              <w:pPr>
                                <w:jc w:val="left"/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  <w:lang w:val="fr-FR"/>
                                </w:rPr>
                              </w:pP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fr-FR"/>
                                </w:rPr>
                                <w:t>Excluded participants with incomplete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fr-FR"/>
                                </w:rPr>
                                <w:t>hemoglobin A1c or fasting plasma glucose (n = 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fr-FR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22860" y="3647525"/>
                            <a:ext cx="1543082" cy="4827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1BF385B">
                              <w:pPr>
                                <w:jc w:val="left"/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  <w:lang w:val="en-US" w:eastAsia="zh-CN"/>
                                </w:rPr>
                                <w:t>46,447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w:t xml:space="preserve"> particip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ants were included in the study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0" y="0"/>
                            <a:ext cx="1543050" cy="482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1064C01">
                              <w:pP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Total subjects in NHANES</w:t>
                              </w:r>
                            </w:p>
                            <w:p w14:paraId="46494C7E">
                              <w:pP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</w:pP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20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  <w:t>05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w:t>–20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  <w:lang w:val="en-US" w:eastAsia="zh-CN"/>
                                </w:rPr>
                                <w:t>20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i/>
                                  <w:iCs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  <w:lang w:val="en-US" w:eastAsia="zh-CN"/>
                                </w:rPr>
                                <w:t>81664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w:t>)</w:t>
                              </w:r>
                            </w:p>
                            <w:p w14:paraId="10828C31">
                              <w:pP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>
                        <wps:cNvPr id="9" name="直接箭头连接符 9"/>
                        <wps:cNvCnPr>
                          <a:stCxn id="8" idx="2"/>
                        </wps:cNvCnPr>
                        <wps:spPr>
                          <a:xfrm>
                            <a:off x="771525" y="482600"/>
                            <a:ext cx="7620" cy="315363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箭头连接符 10"/>
                        <wps:cNvCnPr>
                          <a:endCxn id="2" idx="1"/>
                        </wps:cNvCnPr>
                        <wps:spPr>
                          <a:xfrm flipV="1">
                            <a:off x="786837" y="1028700"/>
                            <a:ext cx="1079500" cy="63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箭头连接符 11"/>
                        <wps:cNvCnPr>
                          <a:endCxn id="3" idx="1"/>
                        </wps:cNvCnPr>
                        <wps:spPr>
                          <a:xfrm flipV="1">
                            <a:off x="793187" y="1941960"/>
                            <a:ext cx="1079500" cy="127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接箭头连接符 12"/>
                        <wps:cNvCnPr>
                          <a:endCxn id="4" idx="1"/>
                        </wps:cNvCnPr>
                        <wps:spPr>
                          <a:xfrm>
                            <a:off x="787400" y="2861426"/>
                            <a:ext cx="1092200" cy="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7.8pt;margin-top:13.75pt;height:351.65pt;width:269.45pt;z-index:251659264;mso-width-relative:page;mso-height-relative:page;" coordsize="3422087,4130260" o:gfxdata="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">
                <o:lock v:ext="edit" aspectratio="f"/>
                <v:shape id="_x0000_s1026" o:spid="_x0000_s1026" o:spt="202" type="#_x0000_t202" style="position:absolute;left:1866337;top:787400;height:482600;width:1543050;" fillcolor="#FFFFFF [3201]" filled="t" stroked="t" coordsize="21600,21600" o:gfxdata="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bwNh+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28C742C5">
                        <w:pPr>
                          <w:pStyle w:val="6"/>
                          <w:keepNext w:val="0"/>
                          <w:keepLines w:val="0"/>
                          <w:widowControl/>
                          <w:suppressLineNumbers w:val="0"/>
                          <w:p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pBdr>
                          <w:shd w:val="clear" w:fill="FFFFFF"/>
                          <w:wordWrap w:val="0"/>
                          <w:spacing w:before="0" w:beforeAutospacing="0" w:after="0" w:afterAutospacing="0" w:line="14" w:lineRule="atLeast"/>
                          <w:ind w:left="0" w:right="0" w:firstLine="0"/>
                          <w:rPr>
                            <w:rFonts w:hint="default" w:ascii="Lucida Console" w:hAnsi="Lucida Console" w:eastAsia="Lucida Console" w:cs="Lucida Console"/>
                            <w:i w:val="0"/>
                            <w:iCs w:val="0"/>
                            <w:caps w:val="0"/>
                            <w:color w:val="000000"/>
                            <w:spacing w:val="0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w:t>Excluded participants &lt;18 ye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ars old (n=32203</w:t>
                        </w:r>
                        <w:r>
                          <w:rPr>
                            <w:rFonts w:hint="eastAsia" w:ascii="Times New Roman" w:hAnsi="Times New Roman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)</w:t>
                        </w:r>
                      </w:p>
                      <w:p w14:paraId="38AC1D5F">
                        <w:pP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  <w:t>)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872654;top:1627321;height:628965;width:1549433;" fillcolor="#FFFFFF [3201]" filled="t" stroked="t" coordsize="21600,21600" o:gfxdata="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m8k4S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7851E4CE">
                        <w:pPr>
                          <w:pStyle w:val="6"/>
                          <w:keepNext w:val="0"/>
                          <w:keepLines w:val="0"/>
                          <w:widowControl/>
                          <w:suppressLineNumbers w:val="0"/>
                          <w:p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pBdr>
                          <w:shd w:val="clear" w:fill="FFFFFF"/>
                          <w:wordWrap w:val="0"/>
                          <w:spacing w:before="0" w:beforeAutospacing="0" w:after="0" w:afterAutospacing="0" w:line="14" w:lineRule="atLeast"/>
                          <w:ind w:left="0" w:right="0" w:firstLine="0"/>
                          <w:jc w:val="left"/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xcluded participants without 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Body Roundness Index specimens (n=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2987</w:t>
                        </w:r>
                        <w:r>
                          <w:rPr>
                            <w:rFonts w:hint="eastAsia" w:ascii="Times New Roman" w:hAnsi="Times New Roman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)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879640;top:2463591;height:794574;width:1536732;" fillcolor="#FFFFFF [3201]" filled="t" stroked="t" coordsize="21600,21600" o:gfxdata="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ZVC/C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683AC255">
                        <w:pPr>
                          <w:jc w:val="left"/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  <w:lang w:val="fr-FR"/>
                          </w:rPr>
                        </w:pP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fr-FR"/>
                          </w:rPr>
                          <w:t>Excluded participants with incomplete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fr-FR"/>
                          </w:rPr>
                          <w:t>hemoglobin A1c or fasting plasma glucose (n = 2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fr-FR"/>
                          </w:rPr>
                          <w:t>)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2860;top:3647525;height:482735;width:1543082;" fillcolor="#FFFFFF [3201]" filled="t" stroked="t" coordsize="21600,21600" o:gfxdata="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aHlYe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71BF385B">
                        <w:pPr>
                          <w:jc w:val="left"/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  <w:lang w:val="en-US" w:eastAsia="zh-CN"/>
                          </w:rPr>
                          <w:t>46,447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  <w:t xml:space="preserve"> particip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w:t>ants were included in the study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0;top:0;height:482600;width:1543050;" fillcolor="#FFFFFF [3201]" filled="t" stroked="t" coordsize="21600,21600" o:gfxdata="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PcYAfWzAAAA2gAAAA8AAAAA&#10;AAAAAQAgAAAAIgAAAGRycy9kb3ducmV2LnhtbFBLAQIUABQAAAAIAIdO4kAzLwWeOwAAADkAAAAQ&#10;AAAAAAAAAAEAIAAAAAIBAABkcnMvc2hhcGV4bWwueG1sUEsFBgAAAAAGAAYAWwEAAKwDAAAA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51064C01">
                        <w:pP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w:t>Total subjects in NHANES</w:t>
                        </w:r>
                      </w:p>
                      <w:p w14:paraId="46494C7E">
                        <w:pP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w:t>20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05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  <w:t>–20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  <w:lang w:val="en-US" w:eastAsia="zh-CN"/>
                          </w:rPr>
                          <w:t>20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eastAsia="宋体" w:cs="Times New Roman"/>
                            <w:i/>
                            <w:iCs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  <w:t>n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  <w:t>=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  <w:lang w:val="en-US" w:eastAsia="zh-CN"/>
                          </w:rPr>
                          <w:t>81664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  <w:t>)</w:t>
                        </w:r>
                      </w:p>
                      <w:p w14:paraId="10828C31">
                        <w:pP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26" o:spid="_x0000_s1026" o:spt="32" type="#_x0000_t32" style="position:absolute;left:771525;top:482600;height:3153632;width:7620;" filled="f" stroked="t" coordsize="21600,21600" o:gfxdata="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pSO77sAAADa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786837;top:1028700;flip:y;height:6350;width:1079500;" filled="f" stroked="t" coordsize="21600,21600" o:gfxdata="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vWHu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793187;top:1941960;flip:y;height:12700;width:1079500;" filled="f" stroked="t" coordsize="21600,21600" o:gfxdata="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PHEdb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787400;top:2861426;height:1;width:1092200;" filled="f" stroked="t" coordsize="21600,21600" o:gfxdata="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blWyO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4AA85C95">
      <w:pPr>
        <w:jc w:val="left"/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5EE4D89F">
      <w:pPr>
        <w:jc w:val="left"/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0FE6A03C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1C6727FD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71565F74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6B1ED1E5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134A4341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6ACAD991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0E14C254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05CAE1B6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219316AA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7AB6A9BE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184AE705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544CF2F4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5A4DA4BB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79B60E96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088FAD2E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30B3C5C9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33E331AE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419DA86C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1C870254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61A432B8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</w:p>
    <w:p w14:paraId="34353593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ADB3E08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BD25D38">
      <w:pPr>
        <w:spacing w:line="360" w:lineRule="auto"/>
        <w:jc w:val="center"/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Fig. S1.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  <w:t>Flowchart for inclusion of study participants</w:t>
      </w:r>
    </w:p>
    <w:p w14:paraId="209A37CF">
      <w:pPr>
        <w:spacing w:line="360" w:lineRule="auto"/>
        <w:jc w:val="center"/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  <w:t>Abbreviation: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NHANES,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  <w:t>National Health and Nutrition Examination Survey</w:t>
      </w:r>
    </w:p>
    <w:p w14:paraId="1C12DDDE">
      <w:pP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  <w:br w:type="page"/>
      </w:r>
    </w:p>
    <w:p w14:paraId="37B9B116">
      <w:pPr>
        <w:jc w:val="center"/>
        <w:rPr>
          <w:rFonts w:hint="default" w:ascii="Times New Roman" w:hAnsi="Times New Roman"/>
          <w:b w:val="0"/>
          <w:bCs w:val="0"/>
          <w:sz w:val="18"/>
          <w:szCs w:val="18"/>
          <w:highlight w:val="none"/>
          <w:lang w:val="en-US"/>
        </w:rPr>
      </w:pPr>
      <w:bookmarkStart w:id="0" w:name="_GoBack"/>
      <w:r>
        <w:rPr>
          <w:rFonts w:ascii="Times New Roman" w:hAnsi="Times New Roman"/>
          <w:b w:val="0"/>
          <w:bCs w:val="0"/>
          <w:sz w:val="18"/>
          <w:szCs w:val="18"/>
          <w:highlight w:val="none"/>
        </w:rPr>
        <w:t xml:space="preserve">Table S1. </w:t>
      </w:r>
      <w:r>
        <w:rPr>
          <w:rFonts w:hint="eastAsia" w:ascii="Times New Roman" w:hAnsi="Times New Roman"/>
          <w:b w:val="0"/>
          <w:bCs w:val="0"/>
          <w:sz w:val="18"/>
          <w:szCs w:val="18"/>
          <w:highlight w:val="none"/>
          <w:lang w:val="en-US" w:eastAsia="zh-CN"/>
        </w:rPr>
        <w:t>Confounding variable list</w:t>
      </w:r>
      <w:bookmarkEnd w:id="0"/>
    </w:p>
    <w:tbl>
      <w:tblPr>
        <w:tblStyle w:val="8"/>
        <w:tblW w:w="8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09"/>
        <w:gridCol w:w="992"/>
        <w:gridCol w:w="4909"/>
      </w:tblGrid>
      <w:tr w14:paraId="36987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05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74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Covariate</w:t>
            </w:r>
          </w:p>
        </w:tc>
        <w:tc>
          <w:tcPr>
            <w:tcW w:w="5901" w:type="dxa"/>
            <w:gridSpan w:val="2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 w14:paraId="7243D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Detailed definition</w:t>
            </w:r>
          </w:p>
        </w:tc>
      </w:tr>
      <w:tr w14:paraId="32B05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306" w:type="dxa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2CD8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Categorical variable</w:t>
            </w:r>
          </w:p>
        </w:tc>
      </w:tr>
      <w:tr w14:paraId="39A6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11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Sex</w:t>
            </w: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7A4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Male</w:t>
            </w:r>
          </w:p>
        </w:tc>
      </w:tr>
      <w:tr w14:paraId="05256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8D5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1AE7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Female</w:t>
            </w:r>
          </w:p>
        </w:tc>
      </w:tr>
      <w:tr w14:paraId="7C9F8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CB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Race/ethnicity</w:t>
            </w: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74CD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Non-Hispanic white</w:t>
            </w:r>
          </w:p>
        </w:tc>
      </w:tr>
      <w:tr w14:paraId="35E46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continue"/>
            <w:tcBorders>
              <w:right w:val="single" w:color="auto" w:sz="4" w:space="0"/>
            </w:tcBorders>
            <w:vAlign w:val="center"/>
          </w:tcPr>
          <w:p w14:paraId="03C46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ED76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Non-Hispanic black</w:t>
            </w:r>
          </w:p>
        </w:tc>
      </w:tr>
      <w:tr w14:paraId="18F52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continue"/>
            <w:tcBorders>
              <w:right w:val="single" w:color="auto" w:sz="4" w:space="0"/>
            </w:tcBorders>
            <w:vAlign w:val="center"/>
          </w:tcPr>
          <w:p w14:paraId="417AD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A108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Mexican American</w:t>
            </w:r>
          </w:p>
        </w:tc>
      </w:tr>
      <w:tr w14:paraId="5A0DC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continue"/>
            <w:tcBorders>
              <w:right w:val="single" w:color="auto" w:sz="4" w:space="0"/>
            </w:tcBorders>
            <w:vAlign w:val="center"/>
          </w:tcPr>
          <w:p w14:paraId="161FA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02B8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Other Hispanic</w:t>
            </w:r>
          </w:p>
        </w:tc>
      </w:tr>
      <w:tr w14:paraId="0ED9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EBC6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A683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Other race/multiple races</w:t>
            </w:r>
          </w:p>
        </w:tc>
      </w:tr>
      <w:tr w14:paraId="67B3C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75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Education level</w:t>
            </w: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AD8F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&lt;High school</w:t>
            </w:r>
          </w:p>
        </w:tc>
      </w:tr>
      <w:tr w14:paraId="33305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continue"/>
            <w:tcBorders>
              <w:right w:val="single" w:color="auto" w:sz="4" w:space="0"/>
            </w:tcBorders>
            <w:vAlign w:val="center"/>
          </w:tcPr>
          <w:p w14:paraId="2177D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6FEC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Completed high school</w:t>
            </w:r>
          </w:p>
        </w:tc>
      </w:tr>
      <w:tr w14:paraId="245D6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5395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A5ED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&gt;High school</w:t>
            </w:r>
          </w:p>
        </w:tc>
      </w:tr>
      <w:tr w14:paraId="3E8D5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22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Marital status</w:t>
            </w: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96A9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Married/Living with partner</w:t>
            </w:r>
          </w:p>
        </w:tc>
      </w:tr>
      <w:tr w14:paraId="04F41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46F1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/>
            <w:vAlign w:val="center"/>
          </w:tcPr>
          <w:p w14:paraId="52ED7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Widowed/Divorced/Separated/Never married</w:t>
            </w:r>
          </w:p>
        </w:tc>
      </w:tr>
      <w:tr w14:paraId="2B801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6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72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Alcohol consumption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DD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Former</w:t>
            </w:r>
          </w:p>
        </w:tc>
        <w:tc>
          <w:tcPr>
            <w:tcW w:w="4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DFFA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 xml:space="preserve"> ≥12 drinks in a lifetime and no alcohol consumption the previous year</w:t>
            </w:r>
          </w:p>
        </w:tc>
      </w:tr>
      <w:tr w14:paraId="32EA3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vMerge w:val="continue"/>
            <w:tcBorders>
              <w:right w:val="single" w:color="auto" w:sz="4" w:space="0"/>
            </w:tcBorders>
            <w:vAlign w:val="center"/>
          </w:tcPr>
          <w:p w14:paraId="0A7BE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06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Heavy</w:t>
            </w:r>
          </w:p>
        </w:tc>
        <w:tc>
          <w:tcPr>
            <w:tcW w:w="4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FD1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≥ 3 drinks/day for women and ≥4 drinks/day for men, or binge drinking ≥ 5 days/month</w:t>
            </w:r>
          </w:p>
        </w:tc>
      </w:tr>
      <w:tr w14:paraId="08247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vMerge w:val="continue"/>
            <w:tcBorders>
              <w:right w:val="single" w:color="auto" w:sz="4" w:space="0"/>
            </w:tcBorders>
            <w:vAlign w:val="center"/>
          </w:tcPr>
          <w:p w14:paraId="1620D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D6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Mild</w:t>
            </w:r>
          </w:p>
        </w:tc>
        <w:tc>
          <w:tcPr>
            <w:tcW w:w="4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8B27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≥ 1 drink/day for women and ≥ 2 drinks/day for men</w:t>
            </w:r>
          </w:p>
        </w:tc>
      </w:tr>
      <w:tr w14:paraId="7E8DF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vMerge w:val="continue"/>
            <w:tcBorders>
              <w:right w:val="single" w:color="auto" w:sz="4" w:space="0"/>
            </w:tcBorders>
            <w:vAlign w:val="center"/>
          </w:tcPr>
          <w:p w14:paraId="1C6A8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B3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Moderate</w:t>
            </w:r>
          </w:p>
        </w:tc>
        <w:tc>
          <w:tcPr>
            <w:tcW w:w="4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C034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≥ 2 drinks/day for women and ≥ 3 drinks/day for men, or binge drinking ≥ 2 days/month</w:t>
            </w:r>
          </w:p>
        </w:tc>
      </w:tr>
      <w:tr w14:paraId="62859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F2E0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1C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Never</w:t>
            </w:r>
          </w:p>
        </w:tc>
        <w:tc>
          <w:tcPr>
            <w:tcW w:w="4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503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&lt; 12 drinks in a lifetime</w:t>
            </w:r>
          </w:p>
        </w:tc>
      </w:tr>
      <w:tr w14:paraId="6AA0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E2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Smoking status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3B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Never smoking</w:t>
            </w:r>
          </w:p>
        </w:tc>
        <w:tc>
          <w:tcPr>
            <w:tcW w:w="4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9A4C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Smoked &lt;100 cigarettes.</w:t>
            </w:r>
          </w:p>
        </w:tc>
      </w:tr>
      <w:tr w14:paraId="79F18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continue"/>
            <w:tcBorders>
              <w:right w:val="single" w:color="auto" w:sz="4" w:space="0"/>
            </w:tcBorders>
            <w:vAlign w:val="center"/>
          </w:tcPr>
          <w:p w14:paraId="277FE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C4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Former smoker</w:t>
            </w:r>
          </w:p>
        </w:tc>
        <w:tc>
          <w:tcPr>
            <w:tcW w:w="4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C5A7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Not currently smoking but smoked ≥100 cigarettes.</w:t>
            </w:r>
          </w:p>
        </w:tc>
      </w:tr>
      <w:tr w14:paraId="79120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AB09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E2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Current smoker</w:t>
            </w:r>
          </w:p>
        </w:tc>
        <w:tc>
          <w:tcPr>
            <w:tcW w:w="4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6A6A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≥100 cigarettes and currently smoking every day or some days.</w:t>
            </w:r>
          </w:p>
        </w:tc>
      </w:tr>
      <w:tr w14:paraId="633DE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696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7D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Physical activity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62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Inactive</w:t>
            </w:r>
          </w:p>
        </w:tc>
        <w:tc>
          <w:tcPr>
            <w:tcW w:w="4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716E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Reporting no moderate activity or vigorous activity.</w:t>
            </w:r>
          </w:p>
        </w:tc>
      </w:tr>
      <w:tr w14:paraId="3C7A6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continue"/>
            <w:tcBorders>
              <w:right w:val="single" w:color="auto" w:sz="4" w:space="0"/>
            </w:tcBorders>
            <w:vAlign w:val="center"/>
          </w:tcPr>
          <w:p w14:paraId="489FA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5D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Moderate</w:t>
            </w:r>
          </w:p>
        </w:tc>
        <w:tc>
          <w:tcPr>
            <w:tcW w:w="4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FC02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Moderate physical activity (e.g., brisk walking, swimming, bicycling at a regular pace) reported.</w:t>
            </w:r>
          </w:p>
        </w:tc>
      </w:tr>
      <w:tr w14:paraId="729E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continue"/>
            <w:tcBorders>
              <w:right w:val="single" w:color="auto" w:sz="4" w:space="0"/>
            </w:tcBorders>
            <w:vAlign w:val="center"/>
          </w:tcPr>
          <w:p w14:paraId="7AED8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DF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Vigorous</w:t>
            </w:r>
          </w:p>
        </w:tc>
        <w:tc>
          <w:tcPr>
            <w:tcW w:w="4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F7802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High-intensity activities, fitness, and sports such as running or basketball reported.</w:t>
            </w:r>
          </w:p>
        </w:tc>
      </w:tr>
      <w:tr w14:paraId="6CF4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59D6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A1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Both moderate and vigorous</w:t>
            </w:r>
          </w:p>
        </w:tc>
        <w:tc>
          <w:tcPr>
            <w:tcW w:w="4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2AE1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Both moderate and vigorous activity reported.</w:t>
            </w:r>
          </w:p>
        </w:tc>
      </w:tr>
      <w:tr w14:paraId="77372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696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C6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Metabolic Syndrome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91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Yes</w:t>
            </w:r>
          </w:p>
        </w:tc>
        <w:tc>
          <w:tcPr>
            <w:tcW w:w="490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7A89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Defined according to the updated National Cholesterol Education Program/Adult Treatment Panel III criteria for Americans.</w:t>
            </w:r>
          </w:p>
        </w:tc>
      </w:tr>
      <w:tr w14:paraId="185F8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9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2551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5C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No</w:t>
            </w:r>
          </w:p>
        </w:tc>
        <w:tc>
          <w:tcPr>
            <w:tcW w:w="4909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2364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5BCF6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96" w:type="dxa"/>
            <w:vMerge w:val="restart"/>
            <w:tcBorders>
              <w:right w:val="single" w:color="auto" w:sz="4" w:space="0"/>
            </w:tcBorders>
            <w:vAlign w:val="center"/>
          </w:tcPr>
          <w:p w14:paraId="1F0AB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B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ody mass index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8EE3F">
            <w:pPr>
              <w:widowControl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highlight w:val="none"/>
              </w:rPr>
              <w:t>&lt;25.0 kg/m2</w:t>
            </w:r>
          </w:p>
        </w:tc>
        <w:tc>
          <w:tcPr>
            <w:tcW w:w="4909" w:type="dxa"/>
            <w:vMerge w:val="restart"/>
            <w:tcBorders>
              <w:left w:val="single" w:color="auto" w:sz="4" w:space="0"/>
            </w:tcBorders>
            <w:vAlign w:val="center"/>
          </w:tcPr>
          <w:p w14:paraId="73903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Weight (kg) divided by height (m) squared.</w:t>
            </w:r>
          </w:p>
        </w:tc>
      </w:tr>
      <w:tr w14:paraId="18BED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96" w:type="dxa"/>
            <w:vMerge w:val="continue"/>
            <w:tcBorders>
              <w:right w:val="single" w:color="auto" w:sz="4" w:space="0"/>
            </w:tcBorders>
            <w:vAlign w:val="center"/>
          </w:tcPr>
          <w:p w14:paraId="0EFD9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5665F">
            <w:pPr>
              <w:widowControl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highlight w:val="none"/>
              </w:rPr>
              <w:t>25.0 to &lt;30.0 kg/m2</w:t>
            </w:r>
          </w:p>
        </w:tc>
        <w:tc>
          <w:tcPr>
            <w:tcW w:w="4909" w:type="dxa"/>
            <w:vMerge w:val="continue"/>
            <w:tcBorders>
              <w:left w:val="single" w:color="auto" w:sz="4" w:space="0"/>
            </w:tcBorders>
            <w:vAlign w:val="center"/>
          </w:tcPr>
          <w:p w14:paraId="2C0DD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624E8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CA84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EBA91">
            <w:pPr>
              <w:widowControl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highlight w:val="none"/>
              </w:rPr>
              <w:t>≥30.0 kg/m2</w:t>
            </w:r>
          </w:p>
        </w:tc>
        <w:tc>
          <w:tcPr>
            <w:tcW w:w="4909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9BC9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070E6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696" w:type="dxa"/>
            <w:vMerge w:val="restart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F9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Hypertension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CF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Yes</w:t>
            </w:r>
          </w:p>
        </w:tc>
        <w:tc>
          <w:tcPr>
            <w:tcW w:w="49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62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Determined by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 the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history of physician-diagnosed hypertension, a measured average systolic blood pressure of at least 140 mmHg, a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measured average diastolic blood pressure of at least 90 mmHg, or a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history of antihypertensive medication use were all considered indicators of hypertension</w:t>
            </w:r>
          </w:p>
        </w:tc>
      </w:tr>
      <w:tr w14:paraId="784FA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69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9B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F9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No</w:t>
            </w:r>
          </w:p>
        </w:tc>
        <w:tc>
          <w:tcPr>
            <w:tcW w:w="49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B9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06C29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306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2A3A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Continuous variable</w:t>
            </w:r>
          </w:p>
        </w:tc>
      </w:tr>
      <w:tr w14:paraId="08580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0F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Age (years)</w:t>
            </w: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7F03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-</w:t>
            </w:r>
          </w:p>
        </w:tc>
      </w:tr>
      <w:tr w14:paraId="249A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8A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Total cholesterol (mmol/L)</w:t>
            </w:r>
          </w:p>
        </w:tc>
        <w:tc>
          <w:tcPr>
            <w:tcW w:w="6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DC35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Measured by single reagent enzymatic method, an endpoint reaction specific for cholesterol. Detailed laboratory test information is available at: https://wwwn.cdc.gov/Nchs/Nhanes/</w:t>
            </w:r>
          </w:p>
        </w:tc>
      </w:tr>
    </w:tbl>
    <w:p w14:paraId="40317FB9">
      <w:pPr>
        <w:spacing w:line="360" w:lineRule="auto"/>
        <w:jc w:val="center"/>
        <w:rPr>
          <w:rFonts w:ascii="Times New Roman" w:hAnsi="Times New Roman" w:eastAsia="宋体" w:cs="Times New Roman"/>
          <w:color w:val="000000"/>
          <w:kern w:val="0"/>
          <w:sz w:val="18"/>
          <w:szCs w:val="18"/>
          <w:highlight w:val="none"/>
        </w:rPr>
      </w:pPr>
    </w:p>
    <w:p w14:paraId="0AD00CA2"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18"/>
          <w:szCs w:val="18"/>
          <w:highlight w:val="none"/>
        </w:rPr>
      </w:pP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highlight w:val="none"/>
        </w:rPr>
        <w:br w:type="page"/>
      </w:r>
    </w:p>
    <w:p w14:paraId="3C29435E">
      <w:pPr>
        <w:widowControl/>
        <w:jc w:val="left"/>
        <w:rPr>
          <w:rFonts w:ascii="Times New Roman" w:hAnsi="Times New Roman" w:cs="Times New Roman"/>
          <w:sz w:val="18"/>
          <w:szCs w:val="18"/>
          <w:highlight w:val="none"/>
        </w:rPr>
      </w:pPr>
    </w:p>
    <w:p w14:paraId="7F9EA1EF">
      <w:pPr>
        <w:jc w:val="center"/>
        <w:rPr>
          <w:rFonts w:ascii="Times New Roman" w:hAnsi="Times New Roman" w:eastAsia="宋体" w:cs="Times New Roman"/>
          <w:color w:val="000000"/>
          <w:kern w:val="0"/>
          <w:sz w:val="18"/>
          <w:szCs w:val="18"/>
          <w:highlight w:val="none"/>
        </w:rPr>
      </w:pPr>
      <w:r>
        <w:rPr>
          <w:rFonts w:ascii="Times New Roman" w:hAnsi="Times New Roman" w:cs="Times New Roman"/>
          <w:sz w:val="18"/>
          <w:szCs w:val="18"/>
          <w:highlight w:val="none"/>
        </w:rPr>
        <w:t>Table S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2</w:t>
      </w:r>
      <w:r>
        <w:rPr>
          <w:rFonts w:ascii="Times New Roman" w:hAnsi="Times New Roman" w:cs="Times New Roman"/>
          <w:sz w:val="18"/>
          <w:szCs w:val="18"/>
          <w:highlight w:val="none"/>
        </w:rPr>
        <w:t xml:space="preserve">.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highlight w:val="none"/>
        </w:rPr>
        <w:t>Missing covariates of study participants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2526"/>
      </w:tblGrid>
      <w:tr w14:paraId="4350B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281FBB0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Variable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01F32F5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Number of patients (% missing)</w:t>
            </w:r>
          </w:p>
        </w:tc>
      </w:tr>
      <w:tr w14:paraId="574EB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</w:tcPr>
          <w:p w14:paraId="0559EC8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 xml:space="preserve">Age </w:t>
            </w:r>
          </w:p>
        </w:tc>
        <w:tc>
          <w:tcPr>
            <w:tcW w:w="0" w:type="auto"/>
          </w:tcPr>
          <w:p w14:paraId="3A71AB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0 (0%)</w:t>
            </w:r>
          </w:p>
        </w:tc>
      </w:tr>
      <w:tr w14:paraId="2A484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</w:tcPr>
          <w:p w14:paraId="7B4A765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Sex</w:t>
            </w:r>
          </w:p>
        </w:tc>
        <w:tc>
          <w:tcPr>
            <w:tcW w:w="0" w:type="auto"/>
          </w:tcPr>
          <w:p w14:paraId="77A939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0 (0%)</w:t>
            </w:r>
          </w:p>
        </w:tc>
      </w:tr>
      <w:tr w14:paraId="12A21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</w:tcPr>
          <w:p w14:paraId="44625D0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Race/ethnicity</w:t>
            </w:r>
          </w:p>
        </w:tc>
        <w:tc>
          <w:tcPr>
            <w:tcW w:w="0" w:type="auto"/>
          </w:tcPr>
          <w:p w14:paraId="20F59D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0 (0%)</w:t>
            </w:r>
          </w:p>
        </w:tc>
      </w:tr>
      <w:tr w14:paraId="66408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</w:tcPr>
          <w:p w14:paraId="57F458D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Education level</w:t>
            </w:r>
          </w:p>
        </w:tc>
        <w:tc>
          <w:tcPr>
            <w:tcW w:w="0" w:type="auto"/>
          </w:tcPr>
          <w:p w14:paraId="0038B2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436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0.94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  <w:tr w14:paraId="6C49B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</w:tcPr>
          <w:p w14:paraId="7453055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Marital status</w:t>
            </w:r>
          </w:p>
        </w:tc>
        <w:tc>
          <w:tcPr>
            <w:tcW w:w="0" w:type="auto"/>
          </w:tcPr>
          <w:p w14:paraId="34457B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2071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4.46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  <w:tr w14:paraId="7B328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</w:tcPr>
          <w:p w14:paraId="58C6FEB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Alcohol status</w:t>
            </w:r>
          </w:p>
        </w:tc>
        <w:tc>
          <w:tcPr>
            <w:tcW w:w="0" w:type="auto"/>
          </w:tcPr>
          <w:p w14:paraId="53A5BC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6664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14.35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  <w:tr w14:paraId="58784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</w:tcPr>
          <w:p w14:paraId="37468CC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Smoking status</w:t>
            </w:r>
          </w:p>
        </w:tc>
        <w:tc>
          <w:tcPr>
            <w:tcW w:w="0" w:type="auto"/>
          </w:tcPr>
          <w:p w14:paraId="560155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1404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3.02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  <w:tr w14:paraId="4D60D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</w:tcPr>
          <w:p w14:paraId="78DE1D3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Physical activity</w:t>
            </w:r>
          </w:p>
        </w:tc>
        <w:tc>
          <w:tcPr>
            <w:tcW w:w="0" w:type="auto"/>
          </w:tcPr>
          <w:p w14:paraId="50FC16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5043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10.86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  <w:tr w14:paraId="0C6B3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</w:tcPr>
          <w:p w14:paraId="6AD918C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BMI</w:t>
            </w:r>
          </w:p>
        </w:tc>
        <w:tc>
          <w:tcPr>
            <w:tcW w:w="0" w:type="auto"/>
          </w:tcPr>
          <w:p w14:paraId="74D861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41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0.09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  <w:tr w14:paraId="7F980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</w:tcPr>
          <w:p w14:paraId="4948F4F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Total cholesterol</w:t>
            </w:r>
          </w:p>
        </w:tc>
        <w:tc>
          <w:tcPr>
            <w:tcW w:w="0" w:type="auto"/>
          </w:tcPr>
          <w:p w14:paraId="1EDF89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2462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5.30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  <w:tr w14:paraId="79F6B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</w:tcPr>
          <w:p w14:paraId="185B3A3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Hypertension</w:t>
            </w:r>
          </w:p>
        </w:tc>
        <w:tc>
          <w:tcPr>
            <w:tcW w:w="0" w:type="auto"/>
          </w:tcPr>
          <w:p w14:paraId="7CACAC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13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0.03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  <w:tr w14:paraId="64C57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tcBorders>
              <w:bottom w:val="single" w:color="auto" w:sz="4" w:space="0"/>
            </w:tcBorders>
          </w:tcPr>
          <w:p w14:paraId="0F0AC28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Metabolic Syndrome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4A6812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762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1.64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</w:tbl>
    <w:p w14:paraId="5A95AF2E">
      <w:pPr>
        <w:jc w:val="left"/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highlight w:val="none"/>
        </w:rPr>
        <w:t>Abbreviations: BMI, body mass index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highlight w:val="none"/>
          <w:lang w:val="en-US" w:eastAsia="zh-CN"/>
        </w:rPr>
        <w:t xml:space="preserve"> ,All missing values in this study were handled by setting dummy variables</w:t>
      </w:r>
    </w:p>
    <w:p w14:paraId="5CA34114">
      <w:pPr>
        <w:rPr>
          <w:rFonts w:ascii="Times New Roman" w:hAnsi="Times New Roman" w:eastAsia="宋体" w:cs="Times New Roman"/>
          <w:kern w:val="0"/>
          <w:sz w:val="18"/>
          <w:szCs w:val="18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iYjk2ODYwYTg0NTA1YzhhZDNlOWFkNTA4OTQ5NzEifQ=="/>
  </w:docVars>
  <w:rsids>
    <w:rsidRoot w:val="00521905"/>
    <w:rsid w:val="0000307C"/>
    <w:rsid w:val="00011179"/>
    <w:rsid w:val="00012B30"/>
    <w:rsid w:val="000150B9"/>
    <w:rsid w:val="0002044B"/>
    <w:rsid w:val="000364F3"/>
    <w:rsid w:val="00036D31"/>
    <w:rsid w:val="00041C0D"/>
    <w:rsid w:val="00045A85"/>
    <w:rsid w:val="00061B31"/>
    <w:rsid w:val="000714E1"/>
    <w:rsid w:val="000773B7"/>
    <w:rsid w:val="000917C2"/>
    <w:rsid w:val="00127540"/>
    <w:rsid w:val="00131C13"/>
    <w:rsid w:val="00141E8B"/>
    <w:rsid w:val="00152CE5"/>
    <w:rsid w:val="001A585F"/>
    <w:rsid w:val="001B16C2"/>
    <w:rsid w:val="001D5917"/>
    <w:rsid w:val="001E6AF5"/>
    <w:rsid w:val="001F0E76"/>
    <w:rsid w:val="002179D6"/>
    <w:rsid w:val="00227EF8"/>
    <w:rsid w:val="0024005A"/>
    <w:rsid w:val="00265723"/>
    <w:rsid w:val="002A105F"/>
    <w:rsid w:val="002A7FEB"/>
    <w:rsid w:val="002E7A61"/>
    <w:rsid w:val="002F0561"/>
    <w:rsid w:val="00302A27"/>
    <w:rsid w:val="003100F6"/>
    <w:rsid w:val="00310DE3"/>
    <w:rsid w:val="003163D6"/>
    <w:rsid w:val="00335B3E"/>
    <w:rsid w:val="00350ED1"/>
    <w:rsid w:val="00360761"/>
    <w:rsid w:val="00362D1F"/>
    <w:rsid w:val="0037085C"/>
    <w:rsid w:val="00397A35"/>
    <w:rsid w:val="003A1CB1"/>
    <w:rsid w:val="003B2F90"/>
    <w:rsid w:val="003C09AC"/>
    <w:rsid w:val="003F7895"/>
    <w:rsid w:val="00402C09"/>
    <w:rsid w:val="00433F9C"/>
    <w:rsid w:val="00485637"/>
    <w:rsid w:val="004A66B7"/>
    <w:rsid w:val="004B7DCD"/>
    <w:rsid w:val="004D14F6"/>
    <w:rsid w:val="004D2006"/>
    <w:rsid w:val="004D4EF0"/>
    <w:rsid w:val="004D5310"/>
    <w:rsid w:val="004F38B4"/>
    <w:rsid w:val="00510300"/>
    <w:rsid w:val="00521905"/>
    <w:rsid w:val="00554EC2"/>
    <w:rsid w:val="0059203F"/>
    <w:rsid w:val="005B1CDF"/>
    <w:rsid w:val="005D085F"/>
    <w:rsid w:val="005F4037"/>
    <w:rsid w:val="0061154B"/>
    <w:rsid w:val="00625FE4"/>
    <w:rsid w:val="00633A97"/>
    <w:rsid w:val="00646545"/>
    <w:rsid w:val="00647CDF"/>
    <w:rsid w:val="006557C4"/>
    <w:rsid w:val="0068128C"/>
    <w:rsid w:val="00684609"/>
    <w:rsid w:val="006E48F9"/>
    <w:rsid w:val="006F047F"/>
    <w:rsid w:val="006F4EF9"/>
    <w:rsid w:val="006F5C73"/>
    <w:rsid w:val="00721019"/>
    <w:rsid w:val="00761090"/>
    <w:rsid w:val="00773FE0"/>
    <w:rsid w:val="00786EB0"/>
    <w:rsid w:val="007A7E72"/>
    <w:rsid w:val="00852E6D"/>
    <w:rsid w:val="0089762E"/>
    <w:rsid w:val="008A67EB"/>
    <w:rsid w:val="008D7106"/>
    <w:rsid w:val="008F0BDE"/>
    <w:rsid w:val="008F3BCD"/>
    <w:rsid w:val="009101E7"/>
    <w:rsid w:val="0092170D"/>
    <w:rsid w:val="0092275B"/>
    <w:rsid w:val="00936183"/>
    <w:rsid w:val="00983EAF"/>
    <w:rsid w:val="009A0C39"/>
    <w:rsid w:val="009A3F6B"/>
    <w:rsid w:val="009D6D84"/>
    <w:rsid w:val="00A162FE"/>
    <w:rsid w:val="00A22772"/>
    <w:rsid w:val="00A458B5"/>
    <w:rsid w:val="00A572B3"/>
    <w:rsid w:val="00A61953"/>
    <w:rsid w:val="00A71FE6"/>
    <w:rsid w:val="00AA3C24"/>
    <w:rsid w:val="00AB0405"/>
    <w:rsid w:val="00AC4EA8"/>
    <w:rsid w:val="00AD4CDA"/>
    <w:rsid w:val="00AF2A88"/>
    <w:rsid w:val="00AF6EEB"/>
    <w:rsid w:val="00AF77B9"/>
    <w:rsid w:val="00B241FC"/>
    <w:rsid w:val="00B4114E"/>
    <w:rsid w:val="00B664DC"/>
    <w:rsid w:val="00B73C9A"/>
    <w:rsid w:val="00B7606D"/>
    <w:rsid w:val="00B76289"/>
    <w:rsid w:val="00B946B2"/>
    <w:rsid w:val="00BD6AE5"/>
    <w:rsid w:val="00BF52BD"/>
    <w:rsid w:val="00BF64A9"/>
    <w:rsid w:val="00C2686E"/>
    <w:rsid w:val="00C41730"/>
    <w:rsid w:val="00C5062A"/>
    <w:rsid w:val="00C61EF5"/>
    <w:rsid w:val="00C62A1B"/>
    <w:rsid w:val="00C638F3"/>
    <w:rsid w:val="00C92221"/>
    <w:rsid w:val="00C94A10"/>
    <w:rsid w:val="00CA266F"/>
    <w:rsid w:val="00CA32CE"/>
    <w:rsid w:val="00CF2155"/>
    <w:rsid w:val="00D125B0"/>
    <w:rsid w:val="00D20631"/>
    <w:rsid w:val="00D20D8F"/>
    <w:rsid w:val="00D32AC4"/>
    <w:rsid w:val="00D7069E"/>
    <w:rsid w:val="00D71616"/>
    <w:rsid w:val="00D7339F"/>
    <w:rsid w:val="00DA2B01"/>
    <w:rsid w:val="00DC5036"/>
    <w:rsid w:val="00DC6FB1"/>
    <w:rsid w:val="00DD3311"/>
    <w:rsid w:val="00DD6900"/>
    <w:rsid w:val="00DF156C"/>
    <w:rsid w:val="00E0056C"/>
    <w:rsid w:val="00E0250D"/>
    <w:rsid w:val="00E16A51"/>
    <w:rsid w:val="00E225DD"/>
    <w:rsid w:val="00E33998"/>
    <w:rsid w:val="00E71752"/>
    <w:rsid w:val="00E77E2A"/>
    <w:rsid w:val="00E86EC7"/>
    <w:rsid w:val="00E90F92"/>
    <w:rsid w:val="00E93538"/>
    <w:rsid w:val="00EA0BB4"/>
    <w:rsid w:val="00ED0E24"/>
    <w:rsid w:val="00F07AFF"/>
    <w:rsid w:val="00F2186F"/>
    <w:rsid w:val="00F225F3"/>
    <w:rsid w:val="00F43AC0"/>
    <w:rsid w:val="00F61546"/>
    <w:rsid w:val="00F74804"/>
    <w:rsid w:val="00F930BA"/>
    <w:rsid w:val="00FA0EFB"/>
    <w:rsid w:val="00FD0CD0"/>
    <w:rsid w:val="00FF67FC"/>
    <w:rsid w:val="00FF7C7E"/>
    <w:rsid w:val="071762FA"/>
    <w:rsid w:val="07E62740"/>
    <w:rsid w:val="08C92AE3"/>
    <w:rsid w:val="0A1F64F7"/>
    <w:rsid w:val="0CB47D2A"/>
    <w:rsid w:val="0F54530C"/>
    <w:rsid w:val="1114419C"/>
    <w:rsid w:val="1EFB22A7"/>
    <w:rsid w:val="1F121B67"/>
    <w:rsid w:val="20DA482A"/>
    <w:rsid w:val="23916EC0"/>
    <w:rsid w:val="26395481"/>
    <w:rsid w:val="274E13B6"/>
    <w:rsid w:val="28F9286B"/>
    <w:rsid w:val="29417F43"/>
    <w:rsid w:val="2AAF61FF"/>
    <w:rsid w:val="2FFE7844"/>
    <w:rsid w:val="328A7C93"/>
    <w:rsid w:val="366057E6"/>
    <w:rsid w:val="37335AE2"/>
    <w:rsid w:val="38EE625E"/>
    <w:rsid w:val="3AE55345"/>
    <w:rsid w:val="3B21521B"/>
    <w:rsid w:val="3F40323E"/>
    <w:rsid w:val="42344F66"/>
    <w:rsid w:val="43034C5E"/>
    <w:rsid w:val="448654A3"/>
    <w:rsid w:val="4C0A31DE"/>
    <w:rsid w:val="4F1B1F16"/>
    <w:rsid w:val="52E16ECB"/>
    <w:rsid w:val="54992FD0"/>
    <w:rsid w:val="594548B4"/>
    <w:rsid w:val="5A2760A3"/>
    <w:rsid w:val="5D6A61CC"/>
    <w:rsid w:val="5FF20070"/>
    <w:rsid w:val="626835CA"/>
    <w:rsid w:val="627713E2"/>
    <w:rsid w:val="6BE90DE1"/>
    <w:rsid w:val="6C2039DA"/>
    <w:rsid w:val="6EB94F49"/>
    <w:rsid w:val="70DA254F"/>
    <w:rsid w:val="71C43374"/>
    <w:rsid w:val="744401B6"/>
    <w:rsid w:val="76AF4920"/>
    <w:rsid w:val="797B4C64"/>
    <w:rsid w:val="7F6C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rPr>
      <w:sz w:val="20"/>
      <w:szCs w:val="20"/>
    </w:rPr>
  </w:style>
  <w:style w:type="paragraph" w:styleId="3">
    <w:name w:val="Balloon Text"/>
    <w:basedOn w:val="1"/>
    <w:link w:val="2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16"/>
      <w:szCs w:val="16"/>
    </w:rPr>
  </w:style>
  <w:style w:type="table" w:customStyle="1" w:styleId="12">
    <w:name w:val="三线表"/>
    <w:basedOn w:val="8"/>
    <w:qFormat/>
    <w:uiPriority w:val="99"/>
    <w:rPr>
      <w:rFonts w:ascii="Times New Roman" w:hAnsi="Times New Roman" w:eastAsia="宋体" w:cs="Times New Roman"/>
      <w:kern w:val="0"/>
      <w:sz w:val="20"/>
      <w:szCs w:val="20"/>
    </w:rPr>
    <w:tblStylePr w:type="firstRow">
      <w:tcPr>
        <w:tcBorders>
          <w:top w:val="single" w:color="auto" w:sz="4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5">
    <w:name w:val="font1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  <w:vertAlign w:val="superscript"/>
    </w:rPr>
  </w:style>
  <w:style w:type="character" w:customStyle="1" w:styleId="16">
    <w:name w:val="font2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批注文字 字符"/>
    <w:basedOn w:val="9"/>
    <w:link w:val="2"/>
    <w:semiHidden/>
    <w:qFormat/>
    <w:uiPriority w:val="99"/>
    <w:rPr>
      <w:sz w:val="20"/>
      <w:szCs w:val="20"/>
    </w:rPr>
  </w:style>
  <w:style w:type="character" w:customStyle="1" w:styleId="19">
    <w:name w:val="批注主题 字符"/>
    <w:basedOn w:val="18"/>
    <w:link w:val="7"/>
    <w:semiHidden/>
    <w:qFormat/>
    <w:uiPriority w:val="99"/>
    <w:rPr>
      <w:b/>
      <w:bCs/>
      <w:sz w:val="20"/>
      <w:szCs w:val="20"/>
    </w:rPr>
  </w:style>
  <w:style w:type="character" w:customStyle="1" w:styleId="20">
    <w:name w:val="批注框文本 字符"/>
    <w:basedOn w:val="9"/>
    <w:link w:val="3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1">
    <w:name w:val="Bibliography"/>
    <w:basedOn w:val="1"/>
    <w:next w:val="1"/>
    <w:semiHidden/>
    <w:unhideWhenUsed/>
    <w:qFormat/>
    <w:uiPriority w:val="37"/>
  </w:style>
  <w:style w:type="character" w:customStyle="1" w:styleId="22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font5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7EB9FB-4451-4F38-9B58-C6CE203462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376</Words>
  <Characters>2338</Characters>
  <Lines>57</Lines>
  <Paragraphs>16</Paragraphs>
  <TotalTime>113</TotalTime>
  <ScaleCrop>false</ScaleCrop>
  <LinksUpToDate>false</LinksUpToDate>
  <CharactersWithSpaces>2620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2023-02-15T02:53:00Z</dcterms:created>
  <dc:creator>jiahui</dc:creator>
  <cp:lastModifiedBy>宋尚义</cp:lastModifiedBy>
  <dcterms:modified xsi:type="dcterms:W3CDTF">2024-07-19T09:22:58Z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e5d043f1f74a88961151aae40de772b0c46e88cf50f2a3138ad6c7a0342b293b</vt:lpwstr>
  </property>
  <property fmtid="{D5CDD505-2E9C-101B-9397-08002B2CF9AE}" pid="3" name="KSOProductBuildVer">
    <vt:lpwstr>2052-12.1.0.17147</vt:lpwstr>
  </property>
  <property fmtid="{D5CDD505-2E9C-101B-9397-08002B2CF9AE}" pid="4" name="ICV">
    <vt:lpwstr>5FD73FE80A7840AA9ABFB20DA08A652A_13</vt:lpwstr>
  </property>
</Properties>
</file>