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F3D56" w14:textId="77777777" w:rsidR="001238A8" w:rsidRPr="004E083F" w:rsidRDefault="00AE586B" w:rsidP="00027669">
      <w:pPr>
        <w:spacing w:line="360" w:lineRule="auto"/>
        <w:jc w:val="center"/>
        <w:rPr>
          <w:rFonts w:ascii="Times New Roman" w:hAnsi="Times New Roman" w:cs="Times New Roman"/>
          <w:b/>
          <w:sz w:val="24"/>
          <w:lang w:val="en-US"/>
        </w:rPr>
      </w:pPr>
      <w:r w:rsidRPr="004E083F">
        <w:rPr>
          <w:rFonts w:ascii="Times New Roman" w:hAnsi="Times New Roman" w:cs="Times New Roman"/>
          <w:b/>
          <w:sz w:val="24"/>
          <w:lang w:val="en-US"/>
        </w:rPr>
        <w:t>Supporting</w:t>
      </w:r>
      <w:r w:rsidR="001238A8" w:rsidRPr="004E083F">
        <w:rPr>
          <w:rFonts w:ascii="Times New Roman" w:hAnsi="Times New Roman" w:cs="Times New Roman"/>
          <w:b/>
          <w:sz w:val="24"/>
          <w:lang w:val="en-US"/>
        </w:rPr>
        <w:t xml:space="preserve"> </w:t>
      </w:r>
      <w:r w:rsidRPr="004E083F">
        <w:rPr>
          <w:rFonts w:ascii="Times New Roman" w:hAnsi="Times New Roman" w:cs="Times New Roman"/>
          <w:b/>
          <w:sz w:val="24"/>
          <w:lang w:val="en-US"/>
        </w:rPr>
        <w:t>I</w:t>
      </w:r>
      <w:r w:rsidR="001238A8" w:rsidRPr="004E083F">
        <w:rPr>
          <w:rFonts w:ascii="Times New Roman" w:hAnsi="Times New Roman" w:cs="Times New Roman"/>
          <w:b/>
          <w:sz w:val="24"/>
          <w:lang w:val="en-US"/>
        </w:rPr>
        <w:t>nformation:</w:t>
      </w:r>
    </w:p>
    <w:p w14:paraId="16E57B9D" w14:textId="3ED39392" w:rsidR="007A5029" w:rsidRPr="004E083F" w:rsidRDefault="007A5029" w:rsidP="00027669">
      <w:pPr>
        <w:autoSpaceDE w:val="0"/>
        <w:autoSpaceDN w:val="0"/>
        <w:adjustRightInd w:val="0"/>
        <w:spacing w:afterLines="100" w:after="240" w:line="360" w:lineRule="auto"/>
        <w:jc w:val="center"/>
        <w:rPr>
          <w:rFonts w:ascii="Times New Roman" w:hAnsi="Times New Roman" w:cs="Times New Roman"/>
          <w:b/>
          <w:sz w:val="28"/>
          <w:lang w:val="en-US"/>
        </w:rPr>
      </w:pPr>
      <w:r w:rsidRPr="004E083F">
        <w:rPr>
          <w:rFonts w:ascii="Times New Roman" w:hAnsi="Times New Roman" w:cs="Times New Roman"/>
          <w:b/>
          <w:sz w:val="28"/>
          <w:lang w:val="en-US"/>
        </w:rPr>
        <w:t xml:space="preserve">Pre-doped oxygenated defects activate </w:t>
      </w:r>
      <w:r w:rsidR="00C417D2" w:rsidRPr="004E083F">
        <w:rPr>
          <w:rFonts w:ascii="Times New Roman" w:hAnsi="Times New Roman" w:cs="Times New Roman"/>
          <w:b/>
          <w:sz w:val="28"/>
          <w:lang w:val="en-US"/>
        </w:rPr>
        <w:t>nitrogen</w:t>
      </w:r>
      <w:r w:rsidRPr="004E083F">
        <w:rPr>
          <w:rFonts w:ascii="Times New Roman" w:hAnsi="Times New Roman" w:cs="Times New Roman"/>
          <w:b/>
          <w:sz w:val="28"/>
          <w:lang w:val="en-US"/>
        </w:rPr>
        <w:t xml:space="preserve">-doped graphene for </w:t>
      </w:r>
      <w:r w:rsidR="00C417D2" w:rsidRPr="004E083F">
        <w:rPr>
          <w:rFonts w:ascii="Times New Roman" w:hAnsi="Times New Roman" w:cs="Times New Roman"/>
          <w:b/>
          <w:sz w:val="28"/>
          <w:lang w:val="en-US"/>
        </w:rPr>
        <w:t xml:space="preserve">the </w:t>
      </w:r>
      <w:r w:rsidRPr="004E083F">
        <w:rPr>
          <w:rFonts w:ascii="Times New Roman" w:hAnsi="Times New Roman" w:cs="Times New Roman"/>
          <w:b/>
          <w:sz w:val="28"/>
          <w:lang w:val="en-US"/>
        </w:rPr>
        <w:t>oxygen reduction reaction</w:t>
      </w:r>
    </w:p>
    <w:p w14:paraId="089C3BBC" w14:textId="33B8A118" w:rsidR="008D708B" w:rsidRPr="004E083F" w:rsidRDefault="008D708B" w:rsidP="00027669">
      <w:pPr>
        <w:autoSpaceDE w:val="0"/>
        <w:autoSpaceDN w:val="0"/>
        <w:adjustRightInd w:val="0"/>
        <w:spacing w:afterLines="100" w:after="240" w:line="360" w:lineRule="auto"/>
        <w:jc w:val="center"/>
        <w:rPr>
          <w:rFonts w:ascii="Times New Roman" w:hAnsi="Times New Roman" w:cs="Times New Roman"/>
          <w:lang w:val="en-US"/>
        </w:rPr>
      </w:pPr>
      <w:r w:rsidRPr="004E083F">
        <w:rPr>
          <w:rFonts w:ascii="Times New Roman" w:hAnsi="Times New Roman" w:cs="Times New Roman"/>
          <w:lang w:val="en-US"/>
        </w:rPr>
        <w:t>Lin Jiang</w:t>
      </w:r>
      <w:r w:rsidRPr="004E083F">
        <w:rPr>
          <w:rFonts w:ascii="Times New Roman" w:hAnsi="Times New Roman" w:cs="Times New Roman"/>
          <w:vertAlign w:val="superscript"/>
          <w:lang w:val="en-US"/>
        </w:rPr>
        <w:t>1</w:t>
      </w:r>
      <w:r w:rsidRPr="004E083F">
        <w:rPr>
          <w:rFonts w:ascii="Times New Roman" w:hAnsi="Times New Roman" w:cs="Times New Roman"/>
          <w:lang w:val="en-US"/>
        </w:rPr>
        <w:t>, Bas van Dijk</w:t>
      </w:r>
      <w:r w:rsidRPr="004E083F">
        <w:rPr>
          <w:rFonts w:ascii="Times New Roman" w:hAnsi="Times New Roman" w:cs="Times New Roman"/>
          <w:vertAlign w:val="superscript"/>
          <w:lang w:val="en-US"/>
        </w:rPr>
        <w:t>1</w:t>
      </w:r>
      <w:r w:rsidRPr="004E083F">
        <w:rPr>
          <w:rFonts w:ascii="Times New Roman" w:hAnsi="Times New Roman" w:cs="Times New Roman"/>
          <w:lang w:val="en-US"/>
        </w:rPr>
        <w:t xml:space="preserve">, </w:t>
      </w:r>
      <w:proofErr w:type="spellStart"/>
      <w:r w:rsidRPr="004E083F">
        <w:rPr>
          <w:rFonts w:ascii="Times New Roman" w:hAnsi="Times New Roman" w:cs="Times New Roman"/>
          <w:lang w:val="en-US"/>
        </w:rPr>
        <w:t>Longfei</w:t>
      </w:r>
      <w:proofErr w:type="spellEnd"/>
      <w:r w:rsidRPr="004E083F">
        <w:rPr>
          <w:rFonts w:ascii="Times New Roman" w:hAnsi="Times New Roman" w:cs="Times New Roman"/>
          <w:lang w:val="en-US"/>
        </w:rPr>
        <w:t xml:space="preserve"> Wu</w:t>
      </w:r>
      <w:r w:rsidRPr="004E083F">
        <w:rPr>
          <w:rFonts w:ascii="Times New Roman" w:hAnsi="Times New Roman" w:cs="Times New Roman"/>
          <w:vertAlign w:val="superscript"/>
          <w:lang w:val="en-US"/>
        </w:rPr>
        <w:t>2</w:t>
      </w:r>
      <w:r w:rsidRPr="004E083F">
        <w:rPr>
          <w:rFonts w:ascii="Times New Roman" w:hAnsi="Times New Roman" w:cs="Times New Roman"/>
          <w:lang w:val="en-US"/>
        </w:rPr>
        <w:t xml:space="preserve">, </w:t>
      </w:r>
      <w:r w:rsidR="007E3641" w:rsidRPr="004E083F">
        <w:rPr>
          <w:rFonts w:ascii="Times New Roman" w:hAnsi="Times New Roman" w:cs="Times New Roman"/>
          <w:lang w:val="en-US"/>
        </w:rPr>
        <w:t>Clement Maheu</w:t>
      </w:r>
      <w:r w:rsidR="007E3641" w:rsidRPr="004E083F">
        <w:rPr>
          <w:rFonts w:ascii="Times New Roman" w:hAnsi="Times New Roman" w:cs="Times New Roman"/>
          <w:vertAlign w:val="superscript"/>
          <w:lang w:val="en-US"/>
        </w:rPr>
        <w:t>3</w:t>
      </w:r>
      <w:r w:rsidR="007E3641" w:rsidRPr="004E083F">
        <w:rPr>
          <w:rFonts w:ascii="Times New Roman" w:hAnsi="Times New Roman" w:cs="Times New Roman"/>
          <w:lang w:val="en-US"/>
        </w:rPr>
        <w:t xml:space="preserve">, </w:t>
      </w:r>
      <w:r w:rsidRPr="004E083F">
        <w:rPr>
          <w:rFonts w:ascii="Times New Roman" w:hAnsi="Times New Roman" w:cs="Times New Roman"/>
          <w:lang w:val="en-US"/>
        </w:rPr>
        <w:t>Jan P. Hofmann</w:t>
      </w:r>
      <w:r w:rsidRPr="004E083F">
        <w:rPr>
          <w:rFonts w:ascii="Times New Roman" w:hAnsi="Times New Roman" w:cs="Times New Roman"/>
          <w:vertAlign w:val="superscript"/>
          <w:lang w:val="en-US"/>
        </w:rPr>
        <w:t>2</w:t>
      </w:r>
      <w:r w:rsidR="0070438B" w:rsidRPr="004E083F">
        <w:rPr>
          <w:rFonts w:ascii="Times New Roman" w:hAnsi="Times New Roman" w:cs="Times New Roman"/>
          <w:vertAlign w:val="superscript"/>
          <w:lang w:val="en-US"/>
        </w:rPr>
        <w:t>,3</w:t>
      </w:r>
      <w:r w:rsidRPr="004E083F">
        <w:rPr>
          <w:rFonts w:ascii="Times New Roman" w:hAnsi="Times New Roman" w:cs="Times New Roman"/>
          <w:lang w:val="en-US"/>
        </w:rPr>
        <w:t xml:space="preserve">, </w:t>
      </w:r>
      <w:proofErr w:type="spellStart"/>
      <w:r w:rsidRPr="004E083F">
        <w:rPr>
          <w:rFonts w:ascii="Times New Roman" w:hAnsi="Times New Roman" w:cs="Times New Roman"/>
          <w:lang w:val="en-US"/>
        </w:rPr>
        <w:t>Viorica</w:t>
      </w:r>
      <w:proofErr w:type="spellEnd"/>
      <w:r w:rsidRPr="004E083F">
        <w:rPr>
          <w:rFonts w:ascii="Times New Roman" w:hAnsi="Times New Roman" w:cs="Times New Roman"/>
          <w:lang w:val="en-US"/>
        </w:rPr>
        <w:t xml:space="preserve"> Tudor</w:t>
      </w:r>
      <w:r w:rsidRPr="004E083F">
        <w:rPr>
          <w:rFonts w:ascii="Times New Roman" w:hAnsi="Times New Roman" w:cs="Times New Roman"/>
          <w:vertAlign w:val="superscript"/>
          <w:lang w:val="en-US"/>
        </w:rPr>
        <w:t>1</w:t>
      </w:r>
      <w:r w:rsidRPr="004E083F">
        <w:rPr>
          <w:rFonts w:ascii="Times New Roman" w:hAnsi="Times New Roman" w:cs="Times New Roman"/>
          <w:lang w:val="en-US"/>
        </w:rPr>
        <w:t>, Marc T. M. Koper</w:t>
      </w:r>
      <w:r w:rsidRPr="004E083F">
        <w:rPr>
          <w:rFonts w:ascii="Times New Roman" w:hAnsi="Times New Roman" w:cs="Times New Roman"/>
          <w:vertAlign w:val="superscript"/>
          <w:lang w:val="en-US"/>
        </w:rPr>
        <w:t>1</w:t>
      </w:r>
      <w:r w:rsidRPr="004E083F">
        <w:rPr>
          <w:rFonts w:ascii="Times New Roman" w:hAnsi="Times New Roman" w:cs="Times New Roman"/>
          <w:lang w:val="en-US"/>
        </w:rPr>
        <w:t>, Dennis G. H. Hetterscheid</w:t>
      </w:r>
      <w:r w:rsidRPr="004E083F">
        <w:rPr>
          <w:rFonts w:ascii="Times New Roman" w:hAnsi="Times New Roman" w:cs="Times New Roman"/>
          <w:vertAlign w:val="superscript"/>
          <w:lang w:val="en-US"/>
        </w:rPr>
        <w:t>1</w:t>
      </w:r>
      <w:r w:rsidRPr="004E083F">
        <w:rPr>
          <w:rFonts w:ascii="Times New Roman" w:hAnsi="Times New Roman" w:cs="Times New Roman"/>
          <w:lang w:val="en-US"/>
        </w:rPr>
        <w:t xml:space="preserve">*, </w:t>
      </w:r>
      <w:proofErr w:type="spellStart"/>
      <w:r w:rsidRPr="004E083F">
        <w:rPr>
          <w:rFonts w:ascii="Times New Roman" w:eastAsia="Times New Roman" w:hAnsi="Times New Roman" w:cs="Times New Roman"/>
          <w:lang w:val="en-US" w:eastAsia="fr-FR"/>
        </w:rPr>
        <w:t>Grégory</w:t>
      </w:r>
      <w:proofErr w:type="spellEnd"/>
      <w:r w:rsidRPr="004E083F">
        <w:rPr>
          <w:rFonts w:ascii="Times New Roman" w:eastAsia="Times New Roman" w:hAnsi="Times New Roman" w:cs="Times New Roman"/>
          <w:lang w:val="en-US" w:eastAsia="fr-FR"/>
        </w:rPr>
        <w:t xml:space="preserve"> F. Schneider</w:t>
      </w:r>
      <w:r w:rsidRPr="004E083F">
        <w:rPr>
          <w:rFonts w:ascii="Times New Roman" w:hAnsi="Times New Roman" w:cs="Times New Roman"/>
          <w:vertAlign w:val="superscript"/>
          <w:lang w:val="en-US"/>
        </w:rPr>
        <w:t>1</w:t>
      </w:r>
      <w:r w:rsidRPr="004E083F">
        <w:rPr>
          <w:rFonts w:ascii="Times New Roman" w:hAnsi="Times New Roman" w:cs="Times New Roman"/>
          <w:lang w:val="en-US"/>
        </w:rPr>
        <w:t>*</w:t>
      </w:r>
    </w:p>
    <w:p w14:paraId="6CAC5045" w14:textId="77777777" w:rsidR="008D708B" w:rsidRPr="004E083F" w:rsidRDefault="008D708B" w:rsidP="00027669">
      <w:pPr>
        <w:autoSpaceDE w:val="0"/>
        <w:autoSpaceDN w:val="0"/>
        <w:adjustRightInd w:val="0"/>
        <w:spacing w:afterLines="100" w:after="240" w:line="360" w:lineRule="auto"/>
        <w:jc w:val="both"/>
        <w:rPr>
          <w:rFonts w:ascii="Times New Roman" w:hAnsi="Times New Roman" w:cs="Times New Roman"/>
          <w:i/>
          <w:lang w:val="en-US" w:eastAsia="fr-FR"/>
        </w:rPr>
      </w:pPr>
      <w:r w:rsidRPr="004E083F">
        <w:rPr>
          <w:rFonts w:ascii="Times New Roman" w:hAnsi="Times New Roman" w:cs="Times New Roman"/>
          <w:i/>
          <w:vertAlign w:val="superscript"/>
          <w:lang w:val="en-US" w:eastAsia="fr-FR"/>
        </w:rPr>
        <w:t>1</w:t>
      </w:r>
      <w:r w:rsidRPr="004E083F">
        <w:rPr>
          <w:rFonts w:ascii="Times New Roman" w:hAnsi="Times New Roman" w:cs="Times New Roman"/>
          <w:i/>
          <w:lang w:val="en-US" w:eastAsia="fr-FR"/>
        </w:rPr>
        <w:t xml:space="preserve"> Leiden Institute of Chemistry, Leiden University, Leiden, The Netherlands</w:t>
      </w:r>
    </w:p>
    <w:p w14:paraId="29905104" w14:textId="39B424F2" w:rsidR="008D708B" w:rsidRPr="004E083F" w:rsidRDefault="008D708B" w:rsidP="00027669">
      <w:pPr>
        <w:autoSpaceDE w:val="0"/>
        <w:autoSpaceDN w:val="0"/>
        <w:adjustRightInd w:val="0"/>
        <w:spacing w:afterLines="100" w:after="240" w:line="360" w:lineRule="auto"/>
        <w:jc w:val="both"/>
        <w:rPr>
          <w:rFonts w:ascii="Times New Roman" w:hAnsi="Times New Roman" w:cs="Times New Roman"/>
          <w:i/>
          <w:lang w:val="en-US" w:eastAsia="fr-FR"/>
        </w:rPr>
      </w:pPr>
      <w:r w:rsidRPr="004E083F">
        <w:rPr>
          <w:rFonts w:ascii="Times New Roman" w:hAnsi="Times New Roman" w:cs="Times New Roman"/>
          <w:i/>
          <w:vertAlign w:val="superscript"/>
          <w:lang w:val="en-US" w:eastAsia="fr-FR"/>
        </w:rPr>
        <w:t xml:space="preserve">2 </w:t>
      </w:r>
      <w:r w:rsidRPr="004E083F">
        <w:rPr>
          <w:rFonts w:ascii="Times New Roman" w:hAnsi="Times New Roman" w:cs="Times New Roman"/>
          <w:i/>
          <w:lang w:val="en-US" w:eastAsia="fr-FR"/>
        </w:rPr>
        <w:t>Laboratory for Inorganic Materials and Catalysis, Department of Chemical Engineering and Chemistry, Eindhoven University of Technology, Eindhoven, The Netherlands</w:t>
      </w:r>
    </w:p>
    <w:p w14:paraId="1C0439E9" w14:textId="77777777" w:rsidR="0070438B" w:rsidRPr="004E083F" w:rsidRDefault="0070438B" w:rsidP="0070438B">
      <w:pPr>
        <w:autoSpaceDE w:val="0"/>
        <w:autoSpaceDN w:val="0"/>
        <w:adjustRightInd w:val="0"/>
        <w:spacing w:afterLines="100" w:after="240" w:line="360" w:lineRule="auto"/>
        <w:jc w:val="both"/>
        <w:rPr>
          <w:rFonts w:ascii="Times New Roman" w:hAnsi="Times New Roman" w:cs="Times New Roman"/>
          <w:i/>
          <w:lang w:val="en-US"/>
        </w:rPr>
      </w:pPr>
      <w:r w:rsidRPr="004E083F">
        <w:rPr>
          <w:rFonts w:ascii="Times New Roman" w:hAnsi="Times New Roman" w:cs="Times New Roman"/>
          <w:i/>
          <w:vertAlign w:val="superscript"/>
          <w:lang w:val="en-US"/>
        </w:rPr>
        <w:t>3</w:t>
      </w:r>
      <w:r w:rsidRPr="004E083F">
        <w:rPr>
          <w:rFonts w:ascii="Times New Roman" w:hAnsi="Times New Roman" w:cs="Times New Roman"/>
          <w:i/>
          <w:lang w:val="en-US"/>
        </w:rPr>
        <w:t xml:space="preserve"> Surface Science Laboratory, Department of Materials and Earth Sciences, Technical University of Darmstadt, 64287 Darmstadt, Germany</w:t>
      </w:r>
    </w:p>
    <w:p w14:paraId="07031333" w14:textId="77777777" w:rsidR="0070438B" w:rsidRPr="004E083F" w:rsidRDefault="0070438B" w:rsidP="00027669">
      <w:pPr>
        <w:autoSpaceDE w:val="0"/>
        <w:autoSpaceDN w:val="0"/>
        <w:adjustRightInd w:val="0"/>
        <w:spacing w:afterLines="100" w:after="240" w:line="360" w:lineRule="auto"/>
        <w:jc w:val="both"/>
        <w:rPr>
          <w:rFonts w:ascii="Times New Roman" w:hAnsi="Times New Roman" w:cs="Times New Roman"/>
          <w:i/>
          <w:lang w:val="en-US"/>
        </w:rPr>
      </w:pPr>
    </w:p>
    <w:p w14:paraId="2080DA4D" w14:textId="77777777" w:rsidR="00AF776A" w:rsidRPr="004E083F" w:rsidRDefault="00AF776A" w:rsidP="00027669">
      <w:pPr>
        <w:autoSpaceDE w:val="0"/>
        <w:autoSpaceDN w:val="0"/>
        <w:adjustRightInd w:val="0"/>
        <w:spacing w:afterLines="100" w:after="240" w:line="360" w:lineRule="auto"/>
        <w:jc w:val="both"/>
        <w:rPr>
          <w:rFonts w:ascii="Times New Roman" w:hAnsi="Times New Roman" w:cs="Times New Roman"/>
          <w:lang w:val="en-US" w:eastAsia="fr-FR"/>
        </w:rPr>
      </w:pPr>
      <w:r w:rsidRPr="004E083F">
        <w:rPr>
          <w:rFonts w:ascii="Times New Roman" w:hAnsi="Times New Roman" w:cs="Times New Roman"/>
          <w:lang w:val="en-US" w:eastAsia="fr-FR"/>
        </w:rPr>
        <w:t xml:space="preserve">* to whom correspondence should be addressed: </w:t>
      </w:r>
    </w:p>
    <w:p w14:paraId="0A437945" w14:textId="77777777" w:rsidR="00AF776A" w:rsidRPr="004E083F" w:rsidRDefault="00AF776A" w:rsidP="00027669">
      <w:pPr>
        <w:autoSpaceDE w:val="0"/>
        <w:autoSpaceDN w:val="0"/>
        <w:adjustRightInd w:val="0"/>
        <w:spacing w:afterLines="100" w:after="240" w:line="360" w:lineRule="auto"/>
        <w:rPr>
          <w:rFonts w:ascii="Times New Roman" w:hAnsi="Times New Roman" w:cs="Times New Roman"/>
          <w:lang w:val="de-DE" w:eastAsia="fr-FR"/>
        </w:rPr>
      </w:pPr>
      <w:r w:rsidRPr="004E083F">
        <w:rPr>
          <w:rFonts w:ascii="Times New Roman" w:hAnsi="Times New Roman" w:cs="Times New Roman"/>
          <w:lang w:val="de-DE" w:eastAsia="fr-FR"/>
        </w:rPr>
        <w:t xml:space="preserve">Schneider, G.F., </w:t>
      </w:r>
      <w:hyperlink r:id="rId8" w:history="1">
        <w:r w:rsidRPr="004E083F">
          <w:rPr>
            <w:rStyle w:val="Hyperlink"/>
            <w:rFonts w:ascii="Times New Roman" w:hAnsi="Times New Roman" w:cs="Times New Roman"/>
            <w:color w:val="auto"/>
            <w:lang w:val="de-DE" w:eastAsia="fr-FR"/>
          </w:rPr>
          <w:t>g.f.schneider@chem.leidenuniv.nl</w:t>
        </w:r>
      </w:hyperlink>
      <w:hyperlink r:id="rId9" w:history="1"/>
      <w:r w:rsidRPr="004E083F">
        <w:rPr>
          <w:rFonts w:ascii="Times New Roman" w:hAnsi="Times New Roman" w:cs="Times New Roman"/>
          <w:lang w:val="de-DE" w:eastAsia="fr-FR"/>
        </w:rPr>
        <w:t xml:space="preserve">, </w:t>
      </w:r>
    </w:p>
    <w:p w14:paraId="598FEF82" w14:textId="77777777" w:rsidR="004B6AA8" w:rsidRPr="004E083F" w:rsidRDefault="00AF776A" w:rsidP="00027669">
      <w:pPr>
        <w:autoSpaceDE w:val="0"/>
        <w:autoSpaceDN w:val="0"/>
        <w:adjustRightInd w:val="0"/>
        <w:spacing w:afterLines="100" w:after="240" w:line="360" w:lineRule="auto"/>
        <w:rPr>
          <w:rFonts w:ascii="Times New Roman" w:hAnsi="Times New Roman" w:cs="Times New Roman"/>
          <w:lang w:eastAsia="fr-FR"/>
        </w:rPr>
      </w:pPr>
      <w:r w:rsidRPr="004E083F">
        <w:rPr>
          <w:rFonts w:ascii="Times New Roman" w:hAnsi="Times New Roman" w:cs="Times New Roman"/>
          <w:lang w:eastAsia="fr-FR"/>
        </w:rPr>
        <w:t>Hetterscheid, D.G.H.,</w:t>
      </w:r>
      <w:r w:rsidR="00E3231E" w:rsidRPr="004E083F">
        <w:rPr>
          <w:rFonts w:ascii="Times New Roman" w:hAnsi="Times New Roman" w:cs="Times New Roman"/>
          <w:lang w:eastAsia="fr-FR"/>
        </w:rPr>
        <w:t xml:space="preserve"> </w:t>
      </w:r>
      <w:hyperlink r:id="rId10" w:history="1">
        <w:r w:rsidRPr="004E083F">
          <w:rPr>
            <w:rStyle w:val="Hyperlink"/>
            <w:rFonts w:ascii="Times New Roman" w:hAnsi="Times New Roman" w:cs="Times New Roman"/>
            <w:color w:val="auto"/>
            <w:lang w:eastAsia="fr-FR"/>
          </w:rPr>
          <w:t>d.g.h.hetterscheid@chem.leidenuniv.nl</w:t>
        </w:r>
      </w:hyperlink>
      <w:r w:rsidRPr="004E083F">
        <w:rPr>
          <w:rFonts w:ascii="Times New Roman" w:hAnsi="Times New Roman" w:cs="Times New Roman"/>
          <w:lang w:eastAsia="fr-FR"/>
        </w:rPr>
        <w:t xml:space="preserve"> </w:t>
      </w:r>
    </w:p>
    <w:p w14:paraId="01E424D9" w14:textId="77777777" w:rsidR="00CC290A" w:rsidRPr="004E083F" w:rsidRDefault="00CC290A">
      <w:pPr>
        <w:rPr>
          <w:rFonts w:ascii="Times New Roman" w:hAnsi="Times New Roman" w:cs="Times New Roman"/>
          <w:b/>
        </w:rPr>
      </w:pPr>
      <w:r w:rsidRPr="004E083F">
        <w:rPr>
          <w:rFonts w:ascii="Times New Roman" w:hAnsi="Times New Roman" w:cs="Times New Roman"/>
          <w:b/>
        </w:rPr>
        <w:br w:type="page"/>
      </w:r>
    </w:p>
    <w:p w14:paraId="28664B69" w14:textId="77777777" w:rsidR="00CC290A" w:rsidRPr="004E083F" w:rsidRDefault="00CC290A" w:rsidP="00CC290A">
      <w:pPr>
        <w:spacing w:afterLines="100" w:after="240" w:line="360" w:lineRule="auto"/>
        <w:jc w:val="both"/>
        <w:rPr>
          <w:rFonts w:ascii="Times New Roman" w:hAnsi="Times New Roman" w:cs="Times New Roman"/>
          <w:b/>
          <w:lang w:val="en-US"/>
        </w:rPr>
      </w:pPr>
      <w:r w:rsidRPr="004E083F">
        <w:rPr>
          <w:rFonts w:ascii="Times New Roman" w:hAnsi="Times New Roman" w:cs="Times New Roman"/>
          <w:b/>
          <w:lang w:val="en-US"/>
        </w:rPr>
        <w:lastRenderedPageBreak/>
        <w:t>1. Methods</w:t>
      </w:r>
    </w:p>
    <w:p w14:paraId="7767C5EC" w14:textId="4D53CEE6"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 xml:space="preserve">1.1 Materials. </w:t>
      </w:r>
      <w:r w:rsidRPr="004E083F">
        <w:rPr>
          <w:rFonts w:ascii="Times New Roman" w:hAnsi="Times New Roman" w:cs="Times New Roman"/>
          <w:lang w:val="en-US"/>
        </w:rPr>
        <w:t xml:space="preserve">Chemical vapor deposition (CVD) graphene is grown on a polycrystalline copper foil (Alfa </w:t>
      </w:r>
      <w:proofErr w:type="spellStart"/>
      <w:r w:rsidRPr="004E083F">
        <w:rPr>
          <w:rFonts w:ascii="Times New Roman" w:hAnsi="Times New Roman" w:cs="Times New Roman"/>
          <w:lang w:val="en-US"/>
        </w:rPr>
        <w:t>Aesar</w:t>
      </w:r>
      <w:proofErr w:type="spellEnd"/>
      <w:r w:rsidRPr="004E083F">
        <w:rPr>
          <w:rFonts w:ascii="Times New Roman" w:hAnsi="Times New Roman" w:cs="Times New Roman"/>
          <w:lang w:val="en-US"/>
        </w:rPr>
        <w:t xml:space="preserve">, 99.999% purity, 25 </w:t>
      </w:r>
      <w:proofErr w:type="spellStart"/>
      <w:r w:rsidR="00DF6A99" w:rsidRPr="004E083F">
        <w:rPr>
          <w:rFonts w:ascii="Times New Roman" w:hAnsi="Times New Roman" w:cs="Times New Roman"/>
          <w:lang w:val="en-US"/>
        </w:rPr>
        <w:t>μ</w:t>
      </w:r>
      <w:r w:rsidRPr="004E083F">
        <w:rPr>
          <w:rFonts w:ascii="Times New Roman" w:hAnsi="Times New Roman" w:cs="Times New Roman"/>
          <w:lang w:val="en-US"/>
        </w:rPr>
        <w:t>m</w:t>
      </w:r>
      <w:proofErr w:type="spellEnd"/>
      <w:r w:rsidRPr="004E083F">
        <w:rPr>
          <w:rFonts w:ascii="Times New Roman" w:hAnsi="Times New Roman" w:cs="Times New Roman"/>
          <w:lang w:val="en-US"/>
        </w:rPr>
        <w:t xml:space="preserve"> thickness) in a commercially available hot-wall chamber (planarGROW-2B, </w:t>
      </w:r>
      <w:proofErr w:type="spellStart"/>
      <w:r w:rsidRPr="004E083F">
        <w:rPr>
          <w:rFonts w:ascii="Times New Roman" w:hAnsi="Times New Roman" w:cs="Times New Roman"/>
          <w:lang w:val="en-US"/>
        </w:rPr>
        <w:t>planarTECH</w:t>
      </w:r>
      <w:proofErr w:type="spellEnd"/>
      <w:r w:rsidRPr="004E083F">
        <w:rPr>
          <w:rFonts w:ascii="Times New Roman" w:hAnsi="Times New Roman" w:cs="Times New Roman"/>
          <w:lang w:val="en-US"/>
        </w:rPr>
        <w:t>). Epoxy resin (including the curing agent) was supplied by GENTEC. Poly(methyl methacrylate) (Sigma Aldrich) was used for CVD graphene transfer. Potassium chloride (</w:t>
      </w:r>
      <w:proofErr w:type="spellStart"/>
      <w:r w:rsidRPr="004E083F">
        <w:rPr>
          <w:rFonts w:ascii="Times New Roman" w:hAnsi="Times New Roman" w:cs="Times New Roman"/>
          <w:lang w:val="en-US"/>
        </w:rPr>
        <w:t>KCl</w:t>
      </w:r>
      <w:proofErr w:type="spellEnd"/>
      <w:r w:rsidRPr="004E083F">
        <w:rPr>
          <w:rFonts w:ascii="Times New Roman" w:hAnsi="Times New Roman" w:cs="Times New Roman"/>
          <w:lang w:val="en-US"/>
        </w:rPr>
        <w:t>, ≥99.0%), potassium ferricyanide (K</w:t>
      </w:r>
      <w:r w:rsidRPr="004E083F">
        <w:rPr>
          <w:rFonts w:ascii="Times New Roman" w:hAnsi="Times New Roman" w:cs="Times New Roman"/>
          <w:vertAlign w:val="subscript"/>
          <w:lang w:val="en-US"/>
        </w:rPr>
        <w:t>3</w:t>
      </w:r>
      <w:r w:rsidR="005B42AA" w:rsidRPr="004E083F">
        <w:rPr>
          <w:rFonts w:ascii="Times New Roman" w:hAnsi="Times New Roman" w:cs="Times New Roman"/>
          <w:lang w:val="en-US"/>
        </w:rPr>
        <w:t>[</w:t>
      </w:r>
      <w:r w:rsidRPr="004E083F">
        <w:rPr>
          <w:rFonts w:ascii="Times New Roman" w:hAnsi="Times New Roman" w:cs="Times New Roman"/>
          <w:lang w:val="en-US"/>
        </w:rPr>
        <w:t>Fe(CN)</w:t>
      </w:r>
      <w:r w:rsidRPr="004E083F">
        <w:rPr>
          <w:rFonts w:ascii="Times New Roman" w:hAnsi="Times New Roman" w:cs="Times New Roman"/>
          <w:vertAlign w:val="subscript"/>
          <w:lang w:val="en-US"/>
        </w:rPr>
        <w:t>6</w:t>
      </w:r>
      <w:r w:rsidR="005B42AA" w:rsidRPr="004E083F">
        <w:rPr>
          <w:rFonts w:ascii="Times New Roman" w:hAnsi="Times New Roman" w:cs="Times New Roman"/>
          <w:lang w:val="en-US"/>
        </w:rPr>
        <w:t>]</w:t>
      </w:r>
      <w:r w:rsidRPr="004E083F">
        <w:rPr>
          <w:rFonts w:ascii="Times New Roman" w:hAnsi="Times New Roman" w:cs="Times New Roman"/>
          <w:lang w:val="en-US"/>
        </w:rPr>
        <w:t>, ≥99.0%) and ammonia persulfate ((NH</w:t>
      </w:r>
      <w:r w:rsidRPr="004E083F">
        <w:rPr>
          <w:rFonts w:ascii="Times New Roman" w:hAnsi="Times New Roman" w:cs="Times New Roman"/>
          <w:vertAlign w:val="subscript"/>
          <w:lang w:val="en-US"/>
        </w:rPr>
        <w:t>4</w:t>
      </w:r>
      <w:r w:rsidRPr="004E083F">
        <w:rPr>
          <w:rFonts w:ascii="Times New Roman" w:hAnsi="Times New Roman" w:cs="Times New Roman"/>
          <w:lang w:val="en-US"/>
        </w:rPr>
        <w:t>)</w:t>
      </w:r>
      <w:r w:rsidRPr="004E083F">
        <w:rPr>
          <w:rFonts w:ascii="Times New Roman" w:hAnsi="Times New Roman" w:cs="Times New Roman"/>
          <w:vertAlign w:val="subscript"/>
          <w:lang w:val="en-US"/>
        </w:rPr>
        <w:t>2</w:t>
      </w:r>
      <w:r w:rsidRPr="004E083F">
        <w:rPr>
          <w:rFonts w:ascii="Times New Roman" w:hAnsi="Times New Roman" w:cs="Times New Roman"/>
          <w:lang w:val="en-US"/>
        </w:rPr>
        <w:t>S</w:t>
      </w:r>
      <w:r w:rsidRPr="004E083F">
        <w:rPr>
          <w:rFonts w:ascii="Times New Roman" w:hAnsi="Times New Roman" w:cs="Times New Roman"/>
          <w:vertAlign w:val="subscript"/>
          <w:lang w:val="en-US"/>
        </w:rPr>
        <w:t>2</w:t>
      </w:r>
      <w:r w:rsidRPr="004E083F">
        <w:rPr>
          <w:rFonts w:ascii="Times New Roman" w:hAnsi="Times New Roman" w:cs="Times New Roman"/>
          <w:lang w:val="en-US"/>
        </w:rPr>
        <w:t>O</w:t>
      </w:r>
      <w:r w:rsidRPr="004E083F">
        <w:rPr>
          <w:rFonts w:ascii="Times New Roman" w:hAnsi="Times New Roman" w:cs="Times New Roman"/>
          <w:vertAlign w:val="subscript"/>
          <w:lang w:val="en-US"/>
        </w:rPr>
        <w:t>8</w:t>
      </w:r>
      <w:r w:rsidRPr="004E083F">
        <w:rPr>
          <w:rFonts w:ascii="Times New Roman" w:hAnsi="Times New Roman" w:cs="Times New Roman"/>
          <w:lang w:val="en-US"/>
        </w:rPr>
        <w:t>, ≥98.0%) were supplied by Sigma Aldrich. Sulfuric acid (98% H</w:t>
      </w:r>
      <w:r w:rsidRPr="004E083F">
        <w:rPr>
          <w:rFonts w:ascii="Times New Roman" w:hAnsi="Times New Roman" w:cs="Times New Roman"/>
          <w:vertAlign w:val="subscript"/>
          <w:lang w:val="en-US"/>
        </w:rPr>
        <w:t>2</w:t>
      </w:r>
      <w:r w:rsidRPr="004E083F">
        <w:rPr>
          <w:rFonts w:ascii="Times New Roman" w:hAnsi="Times New Roman" w:cs="Times New Roman"/>
          <w:lang w:val="en-US"/>
        </w:rPr>
        <w:t>SO</w:t>
      </w:r>
      <w:r w:rsidRPr="004E083F">
        <w:rPr>
          <w:rFonts w:ascii="Times New Roman" w:hAnsi="Times New Roman" w:cs="Times New Roman"/>
          <w:vertAlign w:val="subscript"/>
          <w:lang w:val="en-US"/>
        </w:rPr>
        <w:t>4</w:t>
      </w:r>
      <w:r w:rsidRPr="004E083F">
        <w:rPr>
          <w:rFonts w:ascii="Times New Roman" w:hAnsi="Times New Roman" w:cs="Times New Roman"/>
          <w:lang w:val="en-US"/>
        </w:rPr>
        <w:t>, ≥99.999%) and sodium hydroxide monohydrate (NaOH·H</w:t>
      </w:r>
      <w:r w:rsidRPr="004E083F">
        <w:rPr>
          <w:rFonts w:ascii="Times New Roman" w:hAnsi="Times New Roman" w:cs="Times New Roman"/>
          <w:vertAlign w:val="subscript"/>
          <w:lang w:val="en-US"/>
        </w:rPr>
        <w:t>2</w:t>
      </w:r>
      <w:r w:rsidRPr="004E083F">
        <w:rPr>
          <w:rFonts w:ascii="Times New Roman" w:hAnsi="Times New Roman" w:cs="Times New Roman"/>
          <w:lang w:val="en-US"/>
        </w:rPr>
        <w:t xml:space="preserve">O, </w:t>
      </w:r>
      <w:proofErr w:type="spellStart"/>
      <w:r w:rsidRPr="004E083F">
        <w:rPr>
          <w:rFonts w:ascii="Times New Roman" w:hAnsi="Times New Roman" w:cs="Times New Roman"/>
          <w:lang w:val="en-US"/>
        </w:rPr>
        <w:t>TraceSelect</w:t>
      </w:r>
      <w:proofErr w:type="spellEnd"/>
      <w:r w:rsidRPr="004E083F">
        <w:rPr>
          <w:rFonts w:ascii="Times New Roman" w:hAnsi="Times New Roman" w:cs="Times New Roman"/>
          <w:lang w:val="en-US"/>
        </w:rPr>
        <w:t xml:space="preserve"> ≥99.9995%) were purchased from Honeywell </w:t>
      </w:r>
      <w:proofErr w:type="spellStart"/>
      <w:r w:rsidRPr="004E083F">
        <w:rPr>
          <w:rFonts w:ascii="Times New Roman" w:hAnsi="Times New Roman" w:cs="Times New Roman"/>
          <w:lang w:val="en-US"/>
        </w:rPr>
        <w:t>Fluka</w:t>
      </w:r>
      <w:proofErr w:type="spellEnd"/>
      <w:r w:rsidRPr="004E083F">
        <w:rPr>
          <w:rFonts w:ascii="Times New Roman" w:hAnsi="Times New Roman" w:cs="Times New Roman"/>
          <w:lang w:val="en-US"/>
        </w:rPr>
        <w:t>. Potassium perchlorate (NaClO</w:t>
      </w:r>
      <w:r w:rsidRPr="004E083F">
        <w:rPr>
          <w:rFonts w:ascii="Times New Roman" w:hAnsi="Times New Roman" w:cs="Times New Roman"/>
          <w:vertAlign w:val="subscript"/>
          <w:lang w:val="en-US"/>
        </w:rPr>
        <w:t>4</w:t>
      </w:r>
      <w:r w:rsidRPr="004E083F">
        <w:rPr>
          <w:rFonts w:ascii="Times New Roman" w:hAnsi="Times New Roman" w:cs="Times New Roman"/>
          <w:lang w:val="en-US"/>
        </w:rPr>
        <w:t>, EMSURE®) was ordered from Merck. The electrolyte solution was prepared with ultrapure water (Millipore Milli-Q gradient A10 system, 18.2 M</w:t>
      </w:r>
      <w:r w:rsidRPr="004E083F">
        <w:rPr>
          <w:rFonts w:ascii="Times New Roman" w:hAnsi="Times New Roman" w:cs="Times New Roman"/>
        </w:rPr>
        <w:t>Ω</w:t>
      </w:r>
      <w:r w:rsidRPr="004E083F">
        <w:rPr>
          <w:rFonts w:ascii="Times New Roman" w:hAnsi="Times New Roman" w:cs="Times New Roman"/>
          <w:lang w:val="en-US"/>
        </w:rPr>
        <w:t>.cm). All gases were supplied by Linde Gas (5.0).</w:t>
      </w:r>
    </w:p>
    <w:p w14:paraId="6320EA37" w14:textId="0D875C35"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1.2 Plasma condition.</w:t>
      </w:r>
      <w:r w:rsidRPr="004E083F">
        <w:rPr>
          <w:rFonts w:ascii="Times New Roman" w:hAnsi="Times New Roman" w:cs="Times New Roman"/>
          <w:lang w:val="en-US"/>
        </w:rPr>
        <w:t xml:space="preserve"> A capacitively coupled plasma system with a radio-frequency (RF) of 40 kHz and 200 W power from Diener electronic was employed at room temperature. The base pressure of this system is less than 0.02 mbar. To achieve mild plasma conditions, a Faraday cage equipped with grid was employed to shield all the energetic ions, thus forming a mild radical plasma to treat the graphene samples inside the cage. The parameters used for nitrogenation treatments were 16 W power and 0.8 mbar pressure for ammonia plasma. Oxygen</w:t>
      </w:r>
      <w:r w:rsidR="007E3641" w:rsidRPr="004E083F">
        <w:rPr>
          <w:rFonts w:ascii="Times New Roman" w:hAnsi="Times New Roman" w:cs="Times New Roman"/>
          <w:lang w:val="en-US"/>
        </w:rPr>
        <w:t xml:space="preserve"> and argon</w:t>
      </w:r>
      <w:r w:rsidRPr="004E083F">
        <w:rPr>
          <w:rFonts w:ascii="Times New Roman" w:hAnsi="Times New Roman" w:cs="Times New Roman"/>
          <w:lang w:val="en-US"/>
        </w:rPr>
        <w:t xml:space="preserve"> plasma</w:t>
      </w:r>
      <w:r w:rsidR="00671BCD" w:rsidRPr="004E083F">
        <w:rPr>
          <w:rFonts w:ascii="Times New Roman" w:hAnsi="Times New Roman" w:cs="Times New Roman"/>
          <w:lang w:val="en-US"/>
        </w:rPr>
        <w:t>s</w:t>
      </w:r>
      <w:r w:rsidRPr="004E083F">
        <w:rPr>
          <w:rFonts w:ascii="Times New Roman" w:hAnsi="Times New Roman" w:cs="Times New Roman"/>
          <w:lang w:val="en-US"/>
        </w:rPr>
        <w:t xml:space="preserve"> </w:t>
      </w:r>
      <w:r w:rsidR="00671BCD" w:rsidRPr="004E083F">
        <w:rPr>
          <w:rFonts w:ascii="Times New Roman" w:hAnsi="Times New Roman" w:cs="Times New Roman"/>
          <w:lang w:val="en-US"/>
        </w:rPr>
        <w:t xml:space="preserve">were </w:t>
      </w:r>
      <w:r w:rsidRPr="004E083F">
        <w:rPr>
          <w:rFonts w:ascii="Times New Roman" w:hAnsi="Times New Roman" w:cs="Times New Roman"/>
          <w:lang w:val="en-US"/>
        </w:rPr>
        <w:t>applied with 30W</w:t>
      </w:r>
      <w:r w:rsidR="007E3641" w:rsidRPr="004E083F">
        <w:rPr>
          <w:rFonts w:ascii="Times New Roman" w:hAnsi="Times New Roman" w:cs="Times New Roman"/>
          <w:lang w:val="en-US"/>
        </w:rPr>
        <w:t>/</w:t>
      </w:r>
      <w:r w:rsidRPr="004E083F">
        <w:rPr>
          <w:rFonts w:ascii="Times New Roman" w:hAnsi="Times New Roman" w:cs="Times New Roman"/>
          <w:lang w:val="en-US"/>
        </w:rPr>
        <w:t>0.5 mbar</w:t>
      </w:r>
      <w:r w:rsidR="007E3641" w:rsidRPr="004E083F">
        <w:rPr>
          <w:rFonts w:ascii="Times New Roman" w:hAnsi="Times New Roman" w:cs="Times New Roman"/>
          <w:lang w:val="en-US"/>
        </w:rPr>
        <w:t xml:space="preserve"> and 10 W/0.8 mbar</w:t>
      </w:r>
      <w:r w:rsidR="00671BCD" w:rsidRPr="004E083F">
        <w:rPr>
          <w:rFonts w:ascii="Times New Roman" w:hAnsi="Times New Roman" w:cs="Times New Roman"/>
          <w:lang w:val="en-US"/>
        </w:rPr>
        <w:t>, respectively</w:t>
      </w:r>
      <w:r w:rsidRPr="004E083F">
        <w:rPr>
          <w:rFonts w:ascii="Times New Roman" w:hAnsi="Times New Roman" w:cs="Times New Roman"/>
          <w:lang w:val="en-US"/>
        </w:rPr>
        <w:t>.</w:t>
      </w:r>
      <w:r w:rsidR="007E3641" w:rsidRPr="004E083F">
        <w:rPr>
          <w:rFonts w:ascii="Times New Roman" w:hAnsi="Times New Roman" w:cs="Times New Roman"/>
          <w:lang w:val="en-US"/>
        </w:rPr>
        <w:t xml:space="preserve"> </w:t>
      </w:r>
    </w:p>
    <w:p w14:paraId="00C62703" w14:textId="6BACB569"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 xml:space="preserve">1.3 </w:t>
      </w:r>
      <w:r w:rsidR="0070438B" w:rsidRPr="004E083F">
        <w:rPr>
          <w:rFonts w:ascii="Times New Roman" w:hAnsi="Times New Roman" w:cs="Times New Roman"/>
          <w:b/>
          <w:lang w:val="en-US"/>
        </w:rPr>
        <w:t xml:space="preserve">Structural </w:t>
      </w:r>
      <w:r w:rsidRPr="004E083F">
        <w:rPr>
          <w:rFonts w:ascii="Times New Roman" w:hAnsi="Times New Roman" w:cs="Times New Roman"/>
          <w:b/>
          <w:lang w:val="en-US"/>
        </w:rPr>
        <w:t>characterization.</w:t>
      </w:r>
      <w:r w:rsidRPr="004E083F">
        <w:rPr>
          <w:rFonts w:ascii="Times New Roman" w:hAnsi="Times New Roman" w:cs="Times New Roman"/>
          <w:lang w:val="en-US"/>
        </w:rPr>
        <w:t xml:space="preserve"> Raman spectra and mapping were collected using a WITEC alpha300 R – Confocal Raman Imaging with a laser wavelength of 532 nm. A 100</w:t>
      </w:r>
      <m:oMath>
        <m:r>
          <w:rPr>
            <w:rFonts w:ascii="Cambria Math" w:hAnsi="Cambria Math" w:cs="Times New Roman"/>
            <w:lang w:val="en-US"/>
          </w:rPr>
          <m:t>×</m:t>
        </m:r>
      </m:oMath>
      <w:r w:rsidRPr="004E083F">
        <w:rPr>
          <w:rFonts w:ascii="Times New Roman" w:hAnsi="Times New Roman" w:cs="Times New Roman"/>
          <w:lang w:val="en-US"/>
        </w:rPr>
        <w:t xml:space="preserve"> magnification objective was used to form a laser inspection region of 300 </w:t>
      </w:r>
      <m:oMath>
        <m:r>
          <m:rPr>
            <m:sty m:val="p"/>
          </m:rPr>
          <w:rPr>
            <w:rFonts w:ascii="Cambria Math" w:hAnsi="Cambria Math" w:cs="Times New Roman"/>
            <w:lang w:val="en-US"/>
          </w:rPr>
          <m:t>μm</m:t>
        </m:r>
      </m:oMath>
      <w:r w:rsidRPr="004E083F">
        <w:rPr>
          <w:rFonts w:ascii="Times New Roman" w:hAnsi="Times New Roman" w:cs="Times New Roman"/>
          <w:lang w:val="en-US"/>
        </w:rPr>
        <w:t xml:space="preserve"> in diameter. To minimize the potential damage from laser heating effect, the laser power was controlled under 2 </w:t>
      </w:r>
      <w:proofErr w:type="spellStart"/>
      <w:r w:rsidRPr="004E083F">
        <w:rPr>
          <w:rFonts w:ascii="Times New Roman" w:hAnsi="Times New Roman" w:cs="Times New Roman"/>
          <w:lang w:val="en-US"/>
        </w:rPr>
        <w:t>mW</w:t>
      </w:r>
      <w:proofErr w:type="spellEnd"/>
      <w:r w:rsidRPr="004E083F">
        <w:rPr>
          <w:rFonts w:ascii="Times New Roman" w:hAnsi="Times New Roman" w:cs="Times New Roman"/>
          <w:lang w:val="en-US"/>
        </w:rPr>
        <w:t xml:space="preserve">. </w:t>
      </w:r>
      <w:r w:rsidR="00671BCD" w:rsidRPr="004E083F">
        <w:rPr>
          <w:rFonts w:ascii="Times New Roman" w:hAnsi="Times New Roman" w:cs="Times New Roman"/>
          <w:lang w:val="en-US"/>
        </w:rPr>
        <w:t>All</w:t>
      </w:r>
      <w:r w:rsidRPr="004E083F">
        <w:rPr>
          <w:rFonts w:ascii="Times New Roman" w:hAnsi="Times New Roman" w:cs="Times New Roman"/>
          <w:lang w:val="en-US"/>
        </w:rPr>
        <w:t xml:space="preserve"> the measurements were performed under ambient conditions at room temperature. </w:t>
      </w:r>
    </w:p>
    <w:p w14:paraId="4CD34833" w14:textId="77777777" w:rsidR="00CC290A" w:rsidRPr="004E083F" w:rsidRDefault="00CC290A" w:rsidP="00E43E0C">
      <w:pPr>
        <w:spacing w:afterLines="100" w:after="240" w:line="360" w:lineRule="auto"/>
        <w:ind w:firstLine="420"/>
        <w:jc w:val="both"/>
        <w:rPr>
          <w:rFonts w:ascii="Times New Roman" w:hAnsi="Times New Roman" w:cs="Times New Roman"/>
          <w:lang w:val="en-US"/>
        </w:rPr>
      </w:pPr>
      <w:r w:rsidRPr="004E083F">
        <w:rPr>
          <w:rFonts w:ascii="Times New Roman" w:hAnsi="Times New Roman" w:cs="Times New Roman"/>
          <w:lang w:val="en-US"/>
        </w:rPr>
        <w:t xml:space="preserve">The electric transport measurements of graphene field-effect transistor devices were performed on a SR830 DSP lock-in amplifier with narrow filters. Electrolyte- or electrochemical-gated GFET measurements were carried out in 0.1 M </w:t>
      </w:r>
      <w:proofErr w:type="spellStart"/>
      <w:r w:rsidRPr="004E083F">
        <w:rPr>
          <w:rFonts w:ascii="Times New Roman" w:hAnsi="Times New Roman" w:cs="Times New Roman"/>
          <w:lang w:val="en-US"/>
        </w:rPr>
        <w:t>KCl</w:t>
      </w:r>
      <w:proofErr w:type="spellEnd"/>
      <w:r w:rsidRPr="004E083F">
        <w:rPr>
          <w:rFonts w:ascii="Times New Roman" w:hAnsi="Times New Roman" w:cs="Times New Roman"/>
          <w:lang w:val="en-US"/>
        </w:rPr>
        <w:t xml:space="preserve"> solution containing 10 mM Tris as the buffer (pH 8). The gate voltage was applied on a AgCl/Ag wire as the reference electrode, at a sweep rate of 100 mV s</w:t>
      </w:r>
      <w:r w:rsidRPr="004E083F">
        <w:rPr>
          <w:rFonts w:ascii="Times New Roman" w:hAnsi="Times New Roman" w:cs="Times New Roman"/>
          <w:vertAlign w:val="superscript"/>
          <w:lang w:val="en-US"/>
        </w:rPr>
        <w:t>-1</w:t>
      </w:r>
      <w:r w:rsidRPr="004E083F">
        <w:rPr>
          <w:rFonts w:ascii="Times New Roman" w:hAnsi="Times New Roman" w:cs="Times New Roman"/>
          <w:lang w:val="en-US"/>
        </w:rPr>
        <w:t xml:space="preserve">, while the source/drain current was fixed at 0.1 </w:t>
      </w:r>
      <m:oMath>
        <m:r>
          <m:rPr>
            <m:sty m:val="p"/>
          </m:rPr>
          <w:rPr>
            <w:rFonts w:ascii="Cambria Math" w:hAnsi="Cambria Math" w:cs="Times New Roman"/>
            <w:lang w:val="en-US"/>
          </w:rPr>
          <m:t>μA</m:t>
        </m:r>
      </m:oMath>
      <w:r w:rsidRPr="004E083F">
        <w:rPr>
          <w:rFonts w:ascii="Times New Roman" w:hAnsi="Times New Roman" w:cs="Times New Roman"/>
          <w:lang w:val="en-US"/>
        </w:rPr>
        <w:t xml:space="preserve">. </w:t>
      </w:r>
    </w:p>
    <w:p w14:paraId="0C383EC2" w14:textId="0BE87FEE" w:rsidR="00DF6A99" w:rsidRPr="004E083F" w:rsidRDefault="00DF6A99" w:rsidP="00DF6A99">
      <w:pPr>
        <w:spacing w:afterLines="100" w:after="240" w:line="360" w:lineRule="auto"/>
        <w:ind w:firstLine="420"/>
        <w:jc w:val="both"/>
        <w:rPr>
          <w:rFonts w:ascii="Times New Roman" w:hAnsi="Times New Roman" w:cs="Times New Roman"/>
          <w:lang w:val="en-US"/>
        </w:rPr>
      </w:pPr>
      <w:r w:rsidRPr="004E083F">
        <w:rPr>
          <w:rFonts w:ascii="Times New Roman" w:hAnsi="Times New Roman" w:cs="Times New Roman"/>
          <w:lang w:val="en-US"/>
        </w:rPr>
        <w:t xml:space="preserve">XPS measurements were performed at a Thermo Fischer </w:t>
      </w:r>
      <w:proofErr w:type="spellStart"/>
      <w:r w:rsidRPr="004E083F">
        <w:rPr>
          <w:rFonts w:ascii="Times New Roman" w:hAnsi="Times New Roman" w:cs="Times New Roman"/>
          <w:lang w:val="en-US"/>
        </w:rPr>
        <w:t>Escalab</w:t>
      </w:r>
      <w:proofErr w:type="spellEnd"/>
      <w:r w:rsidRPr="004E083F">
        <w:rPr>
          <w:rFonts w:ascii="Times New Roman" w:hAnsi="Times New Roman" w:cs="Times New Roman"/>
          <w:lang w:val="en-US"/>
        </w:rPr>
        <w:t xml:space="preserve"> 250 spectrometer. It is equipped with a monochromatic X-ray source (Al Kα = 1486.6 eV) and it has a spot size of 650 µm. Survey spectra were acquired with a pass energy of 50 eV, a step size of 0.1 and a dwell time of 50 </w:t>
      </w:r>
      <w:proofErr w:type="spellStart"/>
      <w:r w:rsidRPr="004E083F">
        <w:rPr>
          <w:rFonts w:ascii="Times New Roman" w:hAnsi="Times New Roman" w:cs="Times New Roman"/>
          <w:lang w:val="en-US"/>
        </w:rPr>
        <w:t>ms</w:t>
      </w:r>
      <w:proofErr w:type="spellEnd"/>
      <w:r w:rsidRPr="004E083F">
        <w:rPr>
          <w:rFonts w:ascii="Times New Roman" w:hAnsi="Times New Roman" w:cs="Times New Roman"/>
          <w:lang w:val="en-US"/>
        </w:rPr>
        <w:t xml:space="preserve"> per measurement point. The detailed scans were acquired with a lower pass energy (10 eV) and a lower step size (0.05 eV). Energy calibration was performed by referring to the C 1s sp</w:t>
      </w:r>
      <w:r w:rsidRPr="004E083F">
        <w:rPr>
          <w:rFonts w:ascii="Times New Roman" w:hAnsi="Times New Roman" w:cs="Times New Roman"/>
          <w:vertAlign w:val="superscript"/>
          <w:lang w:val="en-US"/>
        </w:rPr>
        <w:t>2</w:t>
      </w:r>
      <w:r w:rsidRPr="004E083F">
        <w:rPr>
          <w:rFonts w:ascii="Times New Roman" w:hAnsi="Times New Roman" w:cs="Times New Roman"/>
          <w:lang w:val="en-US"/>
        </w:rPr>
        <w:t xml:space="preserve"> peak of highly ordered pyrolytic graphite (HOPG) at 284.6 eV and </w:t>
      </w:r>
      <w:proofErr w:type="spellStart"/>
      <w:r w:rsidRPr="004E083F">
        <w:rPr>
          <w:rFonts w:ascii="Times New Roman" w:hAnsi="Times New Roman" w:cs="Times New Roman"/>
          <w:lang w:val="en-US"/>
        </w:rPr>
        <w:t>CasaXPS</w:t>
      </w:r>
      <w:proofErr w:type="spellEnd"/>
      <w:r w:rsidRPr="004E083F">
        <w:rPr>
          <w:rFonts w:ascii="Times New Roman" w:hAnsi="Times New Roman" w:cs="Times New Roman"/>
          <w:lang w:val="en-US"/>
        </w:rPr>
        <w:t xml:space="preserve"> software was used to analyze and fit the spectra. </w:t>
      </w:r>
      <w:r w:rsidRPr="004E083F">
        <w:rPr>
          <w:rFonts w:ascii="Times New Roman" w:hAnsi="Times New Roman" w:cs="Times New Roman"/>
          <w:lang w:val="en-US"/>
        </w:rPr>
        <w:lastRenderedPageBreak/>
        <w:t xml:space="preserve">Considering the probing depth of XPS (~3-5 nm), any impurities adsorbing at the surface or trapped at the interface will be </w:t>
      </w:r>
      <w:r w:rsidRPr="004E083F">
        <w:rPr>
          <w:rFonts w:ascii="Times New Roman" w:hAnsi="Times New Roman" w:cs="Times New Roman" w:hint="eastAsia"/>
          <w:lang w:val="en-US"/>
        </w:rPr>
        <w:t>detected</w:t>
      </w:r>
      <w:r w:rsidRPr="004E083F">
        <w:rPr>
          <w:rFonts w:ascii="Times New Roman" w:hAnsi="Times New Roman" w:cs="Times New Roman"/>
          <w:lang w:val="en-US"/>
        </w:rPr>
        <w:t>. Therefore, graphene on copper foil (the air-face) was used to avoid unnecessary transfer induced contaminations.</w:t>
      </w:r>
    </w:p>
    <w:p w14:paraId="02C4FBDB" w14:textId="46D8444D"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1.4 Electrochemical measurements.</w:t>
      </w:r>
      <w:r w:rsidRPr="004E083F">
        <w:rPr>
          <w:rFonts w:ascii="Times New Roman" w:hAnsi="Times New Roman" w:cs="Times New Roman"/>
          <w:lang w:val="en-US"/>
        </w:rPr>
        <w:t xml:space="preserve"> The electrochemical experiments were carried out in a custom made one-compartment three-electrode electrochemical cell at ambient conditions. The working electrode is the as-prepared graphene and the counter electrode a graphite rod. All potentials in this work are reported with respect to a reversible hydrogen electrode (RHE) reference electrode, a Pt mesh in H</w:t>
      </w:r>
      <w:r w:rsidRPr="004E083F">
        <w:rPr>
          <w:rFonts w:ascii="Times New Roman" w:hAnsi="Times New Roman" w:cs="Times New Roman"/>
          <w:vertAlign w:val="subscript"/>
          <w:lang w:val="en-US"/>
        </w:rPr>
        <w:t>2</w:t>
      </w:r>
      <w:r w:rsidRPr="004E083F">
        <w:rPr>
          <w:rFonts w:ascii="Times New Roman" w:hAnsi="Times New Roman" w:cs="Times New Roman"/>
          <w:lang w:val="en-US"/>
        </w:rPr>
        <w:t xml:space="preserve"> saturated electrolyte operating at the same pH and connected to cell via a </w:t>
      </w:r>
      <w:proofErr w:type="spellStart"/>
      <w:r w:rsidRPr="004E083F">
        <w:rPr>
          <w:rFonts w:ascii="Times New Roman" w:hAnsi="Times New Roman" w:cs="Times New Roman"/>
          <w:lang w:val="en-US"/>
        </w:rPr>
        <w:t>Luggin</w:t>
      </w:r>
      <w:proofErr w:type="spellEnd"/>
      <w:r w:rsidRPr="004E083F">
        <w:rPr>
          <w:rFonts w:ascii="Times New Roman" w:hAnsi="Times New Roman" w:cs="Times New Roman"/>
          <w:lang w:val="en-US"/>
        </w:rPr>
        <w:t xml:space="preserve"> capillary. </w:t>
      </w:r>
      <w:proofErr w:type="spellStart"/>
      <w:r w:rsidRPr="004E083F">
        <w:rPr>
          <w:rFonts w:ascii="Times New Roman" w:hAnsi="Times New Roman" w:cs="Times New Roman"/>
          <w:lang w:val="en-US"/>
        </w:rPr>
        <w:t>Autolab</w:t>
      </w:r>
      <w:proofErr w:type="spellEnd"/>
      <w:r w:rsidRPr="004E083F">
        <w:rPr>
          <w:rFonts w:ascii="Times New Roman" w:hAnsi="Times New Roman" w:cs="Times New Roman"/>
          <w:lang w:val="en-US"/>
        </w:rPr>
        <w:t xml:space="preserve"> PGSTAT 12 </w:t>
      </w:r>
      <w:proofErr w:type="spellStart"/>
      <w:r w:rsidRPr="004E083F">
        <w:rPr>
          <w:rFonts w:ascii="Times New Roman" w:hAnsi="Times New Roman" w:cs="Times New Roman"/>
          <w:lang w:val="en-US"/>
        </w:rPr>
        <w:t>potentiostats</w:t>
      </w:r>
      <w:proofErr w:type="spellEnd"/>
      <w:r w:rsidRPr="004E083F">
        <w:rPr>
          <w:rFonts w:ascii="Times New Roman" w:hAnsi="Times New Roman" w:cs="Times New Roman"/>
          <w:lang w:val="en-US"/>
        </w:rPr>
        <w:t xml:space="preserve"> operated by NOVA software were used for the electrochemical measurements. The measured current was normalized to the geometric surface area of the working electrode and not corrected for ohmic drop as the obtained currents were very low. Prior to the ORR experiments, the cell containing the electrolyte solution was purged and saturated with O</w:t>
      </w:r>
      <w:r w:rsidRPr="004E083F">
        <w:rPr>
          <w:rFonts w:ascii="Times New Roman" w:hAnsi="Times New Roman" w:cs="Times New Roman"/>
          <w:vertAlign w:val="subscript"/>
          <w:lang w:val="en-US"/>
        </w:rPr>
        <w:t>2</w:t>
      </w:r>
      <w:r w:rsidRPr="004E083F">
        <w:rPr>
          <w:rFonts w:ascii="Times New Roman" w:hAnsi="Times New Roman" w:cs="Times New Roman"/>
          <w:lang w:val="en-US"/>
        </w:rPr>
        <w:t>. For capacitive current measurements, argon was purged at least for 30 min to fully remove dissolved O</w:t>
      </w:r>
      <w:r w:rsidRPr="004E083F">
        <w:rPr>
          <w:rFonts w:ascii="Times New Roman" w:hAnsi="Times New Roman" w:cs="Times New Roman"/>
          <w:vertAlign w:val="subscript"/>
          <w:lang w:val="en-US"/>
        </w:rPr>
        <w:t>2</w:t>
      </w:r>
      <w:r w:rsidRPr="004E083F">
        <w:rPr>
          <w:rFonts w:ascii="Times New Roman" w:hAnsi="Times New Roman" w:cs="Times New Roman"/>
          <w:lang w:val="en-US"/>
        </w:rPr>
        <w:t xml:space="preserve"> in the solution.</w:t>
      </w:r>
      <w:r w:rsidRPr="004E083F">
        <w:rPr>
          <w:rFonts w:ascii="Times New Roman" w:hAnsi="Times New Roman" w:cs="Times New Roman"/>
          <w:b/>
          <w:lang w:val="en-US"/>
        </w:rPr>
        <w:t xml:space="preserve"> </w:t>
      </w:r>
      <w:r w:rsidRPr="004E083F">
        <w:rPr>
          <w:rFonts w:ascii="Times New Roman" w:hAnsi="Times New Roman" w:cs="Times New Roman"/>
          <w:lang w:val="en-US"/>
        </w:rPr>
        <w:t>The cyclic voltammetry and polarization curves were measured at a scan rate of 100 mV s</w:t>
      </w:r>
      <w:r w:rsidRPr="004E083F">
        <w:rPr>
          <w:rFonts w:ascii="Times New Roman" w:hAnsi="Times New Roman" w:cs="Times New Roman"/>
          <w:vertAlign w:val="superscript"/>
          <w:lang w:val="en-US"/>
        </w:rPr>
        <w:t>-1</w:t>
      </w:r>
      <w:r w:rsidRPr="004E083F">
        <w:rPr>
          <w:rFonts w:ascii="Times New Roman" w:hAnsi="Times New Roman" w:cs="Times New Roman"/>
          <w:lang w:val="en-US"/>
        </w:rPr>
        <w:t>.</w:t>
      </w:r>
    </w:p>
    <w:p w14:paraId="59FEBE4C" w14:textId="1666CC4D"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 xml:space="preserve">1.5 </w:t>
      </w:r>
      <w:r w:rsidR="00B97941" w:rsidRPr="004E083F">
        <w:rPr>
          <w:rFonts w:ascii="Times New Roman" w:hAnsi="Times New Roman" w:cs="Times New Roman"/>
          <w:b/>
          <w:lang w:val="en-US"/>
        </w:rPr>
        <w:t>Pristine G</w:t>
      </w:r>
      <w:r w:rsidRPr="004E083F">
        <w:rPr>
          <w:rFonts w:ascii="Times New Roman" w:hAnsi="Times New Roman" w:cs="Times New Roman"/>
          <w:b/>
          <w:lang w:val="en-US"/>
        </w:rPr>
        <w:t xml:space="preserve"> on epoxy support.</w:t>
      </w:r>
      <w:r w:rsidRPr="004E083F">
        <w:rPr>
          <w:rFonts w:ascii="Times New Roman" w:hAnsi="Times New Roman" w:cs="Times New Roman"/>
          <w:lang w:val="en-US"/>
        </w:rPr>
        <w:t xml:space="preserve"> The top side of the as-grown CVD graphene on copper foil (~1.5 mm </w:t>
      </w:r>
      <m:oMath>
        <m:r>
          <w:rPr>
            <w:rFonts w:ascii="Cambria Math" w:hAnsi="Cambria Math" w:cs="Times New Roman"/>
            <w:lang w:val="en-US"/>
          </w:rPr>
          <m:t>×</m:t>
        </m:r>
      </m:oMath>
      <w:r w:rsidRPr="004E083F">
        <w:rPr>
          <w:rFonts w:ascii="Times New Roman" w:hAnsi="Times New Roman" w:cs="Times New Roman"/>
          <w:lang w:val="en-US"/>
        </w:rPr>
        <w:t xml:space="preserve"> 10 mm) was glued to the epoxy resin layer (homogeneously mixed with the curing agent) sitting on a glass slide. After the epoxy resin was cured at room temperature for 24 hours, graphene had grown in the backside of the copper (now facing to the air) was removed using an oxygen plasma (100 W/0.5 mbar/2 min). After protecting the copper end with a clean and hydrophobic film of cellulose acetate butyrate (CAB), ammonia persulfate solution (0.5 M) was used to etch the non-protected copper and to expose the underlying graphene, referred to as pure graphene. Then the graphene was wired out (using silver epoxy) via the retained copper foil with a low contact resistance. For the fabrication of graphene field effect transistor devices, similar procedures were adopted except that two ends of the copper foil (a strip of copper) were preserved as source and drain electrodes, respectively. </w:t>
      </w:r>
    </w:p>
    <w:p w14:paraId="1CD75D3B" w14:textId="7F814E14" w:rsidR="00CC290A" w:rsidRPr="004E083F" w:rsidRDefault="00CC290A" w:rsidP="00CC290A">
      <w:pPr>
        <w:spacing w:afterLines="100" w:after="240" w:line="360" w:lineRule="auto"/>
        <w:jc w:val="both"/>
        <w:rPr>
          <w:rFonts w:ascii="Times New Roman" w:hAnsi="Times New Roman" w:cs="Times New Roman"/>
          <w:lang w:val="en-US"/>
        </w:rPr>
      </w:pPr>
      <w:r w:rsidRPr="004E083F">
        <w:rPr>
          <w:rFonts w:ascii="Times New Roman" w:hAnsi="Times New Roman" w:cs="Times New Roman"/>
          <w:b/>
          <w:lang w:val="en-US"/>
        </w:rPr>
        <w:t xml:space="preserve">1.6 </w:t>
      </w:r>
      <w:r w:rsidR="00B97941" w:rsidRPr="004E083F">
        <w:rPr>
          <w:rFonts w:ascii="Times New Roman" w:hAnsi="Times New Roman" w:cs="Times New Roman"/>
          <w:b/>
          <w:lang w:val="en-US"/>
        </w:rPr>
        <w:t>G</w:t>
      </w:r>
      <w:r w:rsidR="00B97941" w:rsidRPr="004E083F">
        <w:rPr>
          <w:rFonts w:ascii="Times New Roman" w:hAnsi="Times New Roman" w:cs="Times New Roman" w:hint="eastAsia"/>
          <w:b/>
          <w:lang w:val="en-US"/>
        </w:rPr>
        <w:t>@</w:t>
      </w:r>
      <w:r w:rsidR="00B97941" w:rsidRPr="004E083F">
        <w:rPr>
          <w:rFonts w:ascii="Times New Roman" w:hAnsi="Times New Roman" w:cs="Times New Roman"/>
          <w:b/>
          <w:lang w:val="en-US"/>
        </w:rPr>
        <w:t>GC</w:t>
      </w:r>
      <w:r w:rsidRPr="004E083F">
        <w:rPr>
          <w:rFonts w:ascii="Times New Roman" w:hAnsi="Times New Roman" w:cs="Times New Roman"/>
          <w:b/>
          <w:lang w:val="en-US"/>
        </w:rPr>
        <w:t>.</w:t>
      </w:r>
      <w:r w:rsidRPr="004E083F">
        <w:rPr>
          <w:rFonts w:ascii="Times New Roman" w:hAnsi="Times New Roman" w:cs="Times New Roman"/>
          <w:lang w:val="en-US"/>
        </w:rPr>
        <w:t xml:space="preserve"> </w:t>
      </w:r>
      <w:r w:rsidRPr="004E083F">
        <w:rPr>
          <w:rFonts w:ascii="Times New Roman" w:hAnsi="Times New Roman" w:cs="Times New Roman"/>
          <w:spacing w:val="-5"/>
          <w:shd w:val="clear" w:color="auto" w:fill="FFFFFF"/>
          <w:lang w:val="en-US"/>
        </w:rPr>
        <w:t>The glassy carbon (GC) disk electrode (0.196 cm</w:t>
      </w:r>
      <w:r w:rsidRPr="004E083F">
        <w:rPr>
          <w:rFonts w:ascii="Times New Roman" w:hAnsi="Times New Roman" w:cs="Times New Roman"/>
          <w:spacing w:val="-5"/>
          <w:shd w:val="clear" w:color="auto" w:fill="FFFFFF"/>
          <w:vertAlign w:val="superscript"/>
          <w:lang w:val="en-US"/>
        </w:rPr>
        <w:t>2</w:t>
      </w:r>
      <w:r w:rsidRPr="004E083F">
        <w:rPr>
          <w:rFonts w:ascii="Times New Roman" w:hAnsi="Times New Roman" w:cs="Times New Roman"/>
          <w:spacing w:val="-5"/>
          <w:shd w:val="clear" w:color="auto" w:fill="FFFFFF"/>
          <w:lang w:val="en-US"/>
        </w:rPr>
        <w:t xml:space="preserve">) and platinum ring were supplied by Pine Instruments and controlled by a Pine MSR rotator in a </w:t>
      </w:r>
      <w:proofErr w:type="spellStart"/>
      <w:r w:rsidRPr="004E083F">
        <w:rPr>
          <w:rFonts w:ascii="Times New Roman" w:hAnsi="Times New Roman" w:cs="Times New Roman"/>
          <w:spacing w:val="-5"/>
          <w:shd w:val="clear" w:color="auto" w:fill="FFFFFF"/>
          <w:lang w:val="en-US"/>
        </w:rPr>
        <w:t>ChangeDisk</w:t>
      </w:r>
      <w:proofErr w:type="spellEnd"/>
      <w:r w:rsidRPr="004E083F">
        <w:rPr>
          <w:rFonts w:ascii="Times New Roman" w:hAnsi="Times New Roman" w:cs="Times New Roman"/>
          <w:spacing w:val="-5"/>
          <w:shd w:val="clear" w:color="auto" w:fill="FFFFFF"/>
          <w:lang w:val="en-US"/>
        </w:rPr>
        <w:t xml:space="preserve"> configuration. Prior to use, both the disk and ring electrodes were mechanically and separately polished with 1.0, 0.3 and 0.05 micron alumina slurry respectively for 2 min with subsequent rinsing and sonication in water for 10 min. The separate polishing of ring and disk excluded any potential contamination of platinum onto the GC disk electrode. After polishing and cleaning, p</w:t>
      </w:r>
      <w:r w:rsidRPr="004E083F">
        <w:rPr>
          <w:rFonts w:ascii="Times New Roman" w:hAnsi="Times New Roman" w:cs="Times New Roman"/>
          <w:lang w:val="en-US"/>
        </w:rPr>
        <w:t>oly(methyl methacrylate) (PMMA) was spin-coated onto the CVD graphene on copper foil and cured to form a carrier film. After the underlying copper was etched in ammonium persulfate solution, PMMA-graphene layer floating on water (to rinse ammonium salt out) was transferred onto the target substrate</w:t>
      </w:r>
      <w:r w:rsidR="00B97941" w:rsidRPr="004E083F">
        <w:rPr>
          <w:rFonts w:ascii="Times New Roman" w:hAnsi="Times New Roman" w:cs="Times New Roman"/>
          <w:lang w:val="en-US"/>
        </w:rPr>
        <w:t xml:space="preserve">. As illustrated in Figure S3, monolayer graphene coated with PMMA layer was denoted as G’ and transferred onto the GC disk (G’@GC); G’ was transferred onto another monolayer CVD graphene on copper foil to prepare a bilayer graphene film, denoted as G@GC. </w:t>
      </w:r>
      <w:r w:rsidRPr="004E083F">
        <w:rPr>
          <w:rFonts w:ascii="Times New Roman" w:hAnsi="Times New Roman" w:cs="Times New Roman"/>
          <w:lang w:val="en-US"/>
        </w:rPr>
        <w:t xml:space="preserve">Finally the </w:t>
      </w:r>
      <w:r w:rsidRPr="004E083F">
        <w:rPr>
          <w:rFonts w:ascii="Times New Roman" w:hAnsi="Times New Roman" w:cs="Times New Roman"/>
          <w:lang w:val="en-US"/>
        </w:rPr>
        <w:lastRenderedPageBreak/>
        <w:t xml:space="preserve">transferred graphene was obtained by removing PMMA in acetone. Electrochemical RRDE experiments were carried out in a </w:t>
      </w:r>
      <w:r w:rsidRPr="004E083F">
        <w:rPr>
          <w:rFonts w:ascii="Times New Roman" w:hAnsi="Times New Roman" w:cs="Times New Roman"/>
          <w:spacing w:val="-5"/>
          <w:shd w:val="clear" w:color="auto" w:fill="FFFFFF"/>
          <w:lang w:val="en-US"/>
        </w:rPr>
        <w:t xml:space="preserve">two-compartment cell with a three-electrode set-up. The counter electrode was separated from the rotating disk electrode via a water permeable glass frit in a different compartment. A capacitor of 10 </w:t>
      </w:r>
      <m:oMath>
        <m:r>
          <m:rPr>
            <m:sty m:val="p"/>
          </m:rPr>
          <w:rPr>
            <w:rFonts w:ascii="Cambria Math" w:hAnsi="Cambria Math" w:cs="Times New Roman"/>
            <w:lang w:val="en-US"/>
          </w:rPr>
          <m:t>μF</m:t>
        </m:r>
      </m:oMath>
      <w:r w:rsidRPr="004E083F">
        <w:rPr>
          <w:rFonts w:ascii="Times New Roman" w:hAnsi="Times New Roman" w:cs="Times New Roman"/>
          <w:spacing w:val="-5"/>
          <w:shd w:val="clear" w:color="auto" w:fill="FFFFFF"/>
          <w:lang w:val="en-US"/>
        </w:rPr>
        <w:t xml:space="preserve"> was connected between the RHE and electrolyte solution through a platinum wire to lower the noise ratio especially for the ring current. </w:t>
      </w:r>
    </w:p>
    <w:p w14:paraId="0D204EF8" w14:textId="77777777" w:rsidR="003028F0" w:rsidRPr="004E083F" w:rsidRDefault="003028F0" w:rsidP="003028F0">
      <w:pPr>
        <w:spacing w:afterLines="100" w:after="240" w:line="360" w:lineRule="auto"/>
        <w:jc w:val="both"/>
        <w:rPr>
          <w:rFonts w:ascii="Times New Roman" w:hAnsi="Times New Roman" w:cs="Times New Roman"/>
          <w:b/>
          <w:lang w:val="en-US"/>
        </w:rPr>
      </w:pPr>
      <w:r w:rsidRPr="004E083F">
        <w:rPr>
          <w:rFonts w:ascii="Times New Roman" w:hAnsi="Times New Roman" w:cs="Times New Roman"/>
          <w:b/>
          <w:lang w:val="en-US"/>
        </w:rPr>
        <w:t xml:space="preserve">2. </w:t>
      </w:r>
      <w:r w:rsidR="002D0B07" w:rsidRPr="004E083F">
        <w:rPr>
          <w:rFonts w:ascii="Times New Roman" w:hAnsi="Times New Roman" w:cs="Times New Roman"/>
          <w:b/>
          <w:lang w:val="en-US"/>
        </w:rPr>
        <w:t>Supplementary notes</w:t>
      </w:r>
    </w:p>
    <w:p w14:paraId="2B822BDA" w14:textId="77777777" w:rsidR="003028F0" w:rsidRPr="004E083F" w:rsidRDefault="003028F0" w:rsidP="003028F0">
      <w:pPr>
        <w:spacing w:afterLines="100" w:after="240" w:line="360" w:lineRule="auto"/>
        <w:jc w:val="both"/>
        <w:rPr>
          <w:rFonts w:ascii="Times New Roman" w:eastAsia="Calibri" w:hAnsi="Times New Roman" w:cs="Times New Roman"/>
          <w:lang w:val="en-US"/>
        </w:rPr>
      </w:pPr>
      <w:r w:rsidRPr="004E083F">
        <w:rPr>
          <w:rFonts w:ascii="Times New Roman" w:hAnsi="Times New Roman" w:cs="Times New Roman"/>
          <w:b/>
          <w:lang w:val="en-US"/>
        </w:rPr>
        <w:t>2.1 Electrical doping effect in N-doped graphene</w:t>
      </w:r>
      <w:r w:rsidRPr="004E083F">
        <w:rPr>
          <w:rFonts w:ascii="Times New Roman" w:eastAsia="Calibri" w:hAnsi="Times New Roman" w:cs="Times New Roman"/>
          <w:lang w:val="en-US"/>
        </w:rPr>
        <w:t xml:space="preserve"> </w:t>
      </w:r>
    </w:p>
    <w:p w14:paraId="3BD92708" w14:textId="77777777" w:rsidR="003028F0" w:rsidRPr="004E083F" w:rsidRDefault="003028F0" w:rsidP="002D0B07">
      <w:pPr>
        <w:spacing w:afterLines="100" w:after="240" w:line="360" w:lineRule="auto"/>
        <w:jc w:val="both"/>
        <w:rPr>
          <w:rFonts w:ascii="Times New Roman" w:hAnsi="Times New Roman" w:cs="Times New Roman"/>
          <w:lang w:val="en-US"/>
        </w:rPr>
      </w:pPr>
      <w:r w:rsidRPr="004E083F">
        <w:rPr>
          <w:rFonts w:ascii="Times New Roman" w:hAnsi="Times New Roman" w:cs="Times New Roman"/>
          <w:lang w:val="en-US"/>
        </w:rPr>
        <w:t>It is known that the incorporation of N atoms into the two-dimensional in-plane of graphene can vary in different configurations of pyridinic, quaternary and pyrrolic N, that exert distinct effects on the electronic structures and transport properties of graphene.</w:t>
      </w:r>
      <w:r w:rsidRPr="004E083F">
        <w:rPr>
          <w:rFonts w:ascii="Times New Roman" w:hAnsi="Times New Roman" w:cs="Times New Roman"/>
          <w:lang w:val="en-US"/>
        </w:rPr>
        <w:fldChar w:fldCharType="begin"/>
      </w:r>
      <w:r w:rsidRPr="004E083F">
        <w:rPr>
          <w:rFonts w:ascii="Times New Roman" w:hAnsi="Times New Roman" w:cs="Times New Roman"/>
          <w:lang w:val="en-US"/>
        </w:rPr>
        <w:instrText xml:space="preserve"> ADDIN EN.CITE &lt;EndNote&gt;&lt;Cite&gt;&lt;Author&gt;Lu&lt;/Author&gt;&lt;Year&gt;2013&lt;/Year&gt;&lt;RecNum&gt;151&lt;/RecNum&gt;&lt;DisplayText&gt;&lt;style face="superscript"&gt;1&lt;/style&gt;&lt;/DisplayText&gt;&lt;record&gt;&lt;rec-number&gt;151&lt;/rec-number&gt;&lt;foreign-keys&gt;&lt;key app="EN" db-id="0dzwsrr97fdxxges9pfvwvekdzt9w2zdswef" timestamp="1535920570"&gt;151&lt;/key&gt;&lt;/foreign-keys&gt;&lt;ref-type name="Journal Article"&gt;17&lt;/ref-type&gt;&lt;contributors&gt;&lt;authors&gt;&lt;author&gt;Lu, Yu-Fen&lt;/author&gt;&lt;author&gt;Lo, Shun-Tsung&lt;/author&gt;&lt;author&gt;Lin, Jheng-Cyuan&lt;/author&gt;&lt;author&gt;Zhang, Wenjing&lt;/author&gt;&lt;author&gt;Lu, Jing-Yu&lt;/author&gt;&lt;author&gt;Liu, Fan-Hung&lt;/author&gt;&lt;author&gt;Tseng, Chuan-Ming&lt;/author&gt;&lt;author&gt;Lee, Yi-Hsien&lt;/author&gt;&lt;author&gt;Liang, Chi-Te&lt;/author&gt;&lt;author&gt;Li, Lain-Jong&lt;/author&gt;&lt;/authors&gt;&lt;/contributors&gt;&lt;titles&gt;&lt;title&gt;Nitrogen-doped graphene sheets grown by chemical vapor deposition: synthesis and influence of nitrogen impurities on carrier transport&lt;/title&gt;&lt;secondary-title&gt;ACS nano&lt;/secondary-title&gt;&lt;/titles&gt;&lt;periodical&gt;&lt;full-title&gt;ACS nano&lt;/full-title&gt;&lt;/periodical&gt;&lt;pages&gt;6522-6532&lt;/pages&gt;&lt;volume&gt;7&lt;/volume&gt;&lt;number&gt;8&lt;/number&gt;&lt;dates&gt;&lt;year&gt;2013&lt;/year&gt;&lt;/dates&gt;&lt;isbn&gt;1936-0851&lt;/isbn&gt;&lt;urls&gt;&lt;/urls&gt;&lt;/record&gt;&lt;/Cite&gt;&lt;/EndNote&gt;</w:instrText>
      </w:r>
      <w:r w:rsidRPr="004E083F">
        <w:rPr>
          <w:rFonts w:ascii="Times New Roman" w:hAnsi="Times New Roman" w:cs="Times New Roman"/>
          <w:lang w:val="en-US"/>
        </w:rPr>
        <w:fldChar w:fldCharType="separate"/>
      </w:r>
      <w:r w:rsidRPr="004E083F">
        <w:rPr>
          <w:rFonts w:ascii="Times New Roman" w:hAnsi="Times New Roman" w:cs="Times New Roman"/>
          <w:noProof/>
          <w:vertAlign w:val="superscript"/>
          <w:lang w:val="en-US"/>
        </w:rPr>
        <w:t>1</w:t>
      </w:r>
      <w:r w:rsidRPr="004E083F">
        <w:rPr>
          <w:rFonts w:ascii="Times New Roman" w:hAnsi="Times New Roman" w:cs="Times New Roman"/>
          <w:lang w:val="en-US"/>
        </w:rPr>
        <w:fldChar w:fldCharType="end"/>
      </w:r>
      <w:r w:rsidRPr="004E083F">
        <w:rPr>
          <w:rFonts w:ascii="Times New Roman" w:hAnsi="Times New Roman" w:cs="Times New Roman"/>
          <w:lang w:val="en-US"/>
        </w:rPr>
        <w:t xml:space="preserve"> Normally pyridinic and pyrrolic N p-dopes graphene while quaternary N introduces n-type doping in graphene. Of note, a weak n-doping effect can be found in hydrogenated pyridinic and pyrrolic N wherein the extra charge on N is forced into the delocalized carbon π-network.</w:t>
      </w:r>
      <w:r w:rsidRPr="004E083F">
        <w:rPr>
          <w:rFonts w:ascii="Times New Roman" w:hAnsi="Times New Roman" w:cs="Times New Roman"/>
          <w:lang w:val="en-US"/>
        </w:rPr>
        <w:fldChar w:fldCharType="begin"/>
      </w:r>
      <w:r w:rsidRPr="004E083F">
        <w:rPr>
          <w:rFonts w:ascii="Times New Roman" w:hAnsi="Times New Roman" w:cs="Times New Roman"/>
          <w:lang w:val="en-US"/>
        </w:rPr>
        <w:instrText xml:space="preserve"> ADDIN EN.CITE &lt;EndNote&gt;&lt;Cite&gt;&lt;Author&gt;Jin&lt;/Author&gt;&lt;Year&gt;2011&lt;/Year&gt;&lt;RecNum&gt;152&lt;/RecNum&gt;&lt;DisplayText&gt;&lt;style face="superscript"&gt;2,3&lt;/style&gt;&lt;/DisplayText&gt;&lt;record&gt;&lt;rec-number&gt;152&lt;/rec-number&gt;&lt;foreign-keys&gt;&lt;key app="EN" db-id="0dzwsrr97fdxxges9pfvwvekdzt9w2zdswef" timestamp="1535921878"&gt;152&lt;/key&gt;&lt;/foreign-keys&gt;&lt;ref-type name="Journal Article"&gt;17&lt;/ref-type&gt;&lt;contributors&gt;&lt;authors&gt;&lt;author&gt;Jin, Zhong&lt;/author&gt;&lt;author&gt;Yao, Jun&lt;/author&gt;&lt;author&gt;Kittrell, Carter&lt;/author&gt;&lt;author&gt;Tour, James M&lt;/author&gt;&lt;/authors&gt;&lt;/contributors&gt;&lt;titles&gt;&lt;title&gt;Large-scale growth and characterizations of nitrogen-doped monolayer graphene sheets&lt;/title&gt;&lt;secondary-title&gt;Acs Nano&lt;/secondary-title&gt;&lt;/titles&gt;&lt;periodical&gt;&lt;full-title&gt;ACS nano&lt;/full-title&gt;&lt;/periodical&gt;&lt;pages&gt;4112-4117&lt;/pages&gt;&lt;volume&gt;5&lt;/volume&gt;&lt;number&gt;5&lt;/number&gt;&lt;dates&gt;&lt;year&gt;2011&lt;/year&gt;&lt;/dates&gt;&lt;isbn&gt;1936-0851&lt;/isbn&gt;&lt;urls&gt;&lt;/urls&gt;&lt;/record&gt;&lt;/Cite&gt;&lt;Cite&gt;&lt;Author&gt;Schiros&lt;/Author&gt;&lt;Year&gt;2012&lt;/Year&gt;&lt;RecNum&gt;153&lt;/RecNum&gt;&lt;record&gt;&lt;rec-number&gt;153&lt;/rec-number&gt;&lt;foreign-keys&gt;&lt;key app="EN" db-id="0dzwsrr97fdxxges9pfvwvekdzt9w2zdswef" timestamp="1535921918"&gt;153&lt;/key&gt;&lt;/foreign-keys&gt;&lt;ref-type name="Journal Article"&gt;17&lt;/ref-type&gt;&lt;contributors&gt;&lt;authors&gt;&lt;author&gt;Schiros, Theanne&lt;/author&gt;&lt;author&gt;Nordlund, Dennis&lt;/author&gt;&lt;author&gt;Pálová, Lucia&lt;/author&gt;&lt;author&gt;Prezzi, Deborah&lt;/author&gt;&lt;author&gt;Zhao, Liuyan&lt;/author&gt;&lt;author&gt;Kim, Keun Soo&lt;/author&gt;&lt;author&gt;Wurstbauer, Ulrich&lt;/author&gt;&lt;author&gt;Gutiérrez, Christopher&lt;/author&gt;&lt;author&gt;Delongchamp, Dean&lt;/author&gt;&lt;author&gt;Jaye, Cherno&lt;/author&gt;&lt;/authors&gt;&lt;/contributors&gt;&lt;titles&gt;&lt;title&gt;Connecting dopant bond type with electronic structure in N-doped graphene&lt;/title&gt;&lt;secondary-title&gt;Nano letters&lt;/secondary-title&gt;&lt;/titles&gt;&lt;periodical&gt;&lt;full-title&gt;Nano letters&lt;/full-title&gt;&lt;/periodical&gt;&lt;pages&gt;4025-4031&lt;/pages&gt;&lt;volume&gt;12&lt;/volume&gt;&lt;number&gt;8&lt;/number&gt;&lt;dates&gt;&lt;year&gt;2012&lt;/year&gt;&lt;/dates&gt;&lt;isbn&gt;1530-6984&lt;/isbn&gt;&lt;urls&gt;&lt;/urls&gt;&lt;/record&gt;&lt;/Cite&gt;&lt;/EndNote&gt;</w:instrText>
      </w:r>
      <w:r w:rsidRPr="004E083F">
        <w:rPr>
          <w:rFonts w:ascii="Times New Roman" w:hAnsi="Times New Roman" w:cs="Times New Roman"/>
          <w:lang w:val="en-US"/>
        </w:rPr>
        <w:fldChar w:fldCharType="separate"/>
      </w:r>
      <w:r w:rsidRPr="004E083F">
        <w:rPr>
          <w:rFonts w:ascii="Times New Roman" w:hAnsi="Times New Roman" w:cs="Times New Roman"/>
          <w:noProof/>
          <w:vertAlign w:val="superscript"/>
          <w:lang w:val="en-US"/>
        </w:rPr>
        <w:t>2,3</w:t>
      </w:r>
      <w:r w:rsidRPr="004E083F">
        <w:rPr>
          <w:rFonts w:ascii="Times New Roman" w:hAnsi="Times New Roman" w:cs="Times New Roman"/>
          <w:lang w:val="en-US"/>
        </w:rPr>
        <w:fldChar w:fldCharType="end"/>
      </w:r>
      <w:r w:rsidRPr="004E083F">
        <w:rPr>
          <w:rFonts w:ascii="Times New Roman" w:hAnsi="Times New Roman" w:cs="Times New Roman"/>
          <w:lang w:val="en-US"/>
        </w:rPr>
        <w:t xml:space="preserve"> Quaternary N sites have been reported to act as a positively charged scattering center, which can enhance the electron-hole asymmetry in transport properties.</w:t>
      </w:r>
      <w:r w:rsidRPr="004E083F">
        <w:rPr>
          <w:rFonts w:ascii="Times New Roman" w:hAnsi="Times New Roman" w:cs="Times New Roman"/>
          <w:lang w:val="en-US"/>
        </w:rPr>
        <w:fldChar w:fldCharType="begin"/>
      </w:r>
      <w:r w:rsidRPr="004E083F">
        <w:rPr>
          <w:rFonts w:ascii="Times New Roman" w:hAnsi="Times New Roman" w:cs="Times New Roman"/>
          <w:lang w:val="en-US"/>
        </w:rPr>
        <w:instrText xml:space="preserve"> ADDIN EN.CITE &lt;EndNote&gt;&lt;Cite&gt;&lt;Author&gt;Li&lt;/Author&gt;&lt;Year&gt;2017&lt;/Year&gt;&lt;RecNum&gt;154&lt;/RecNum&gt;&lt;DisplayText&gt;&lt;style face="superscript"&gt;4&lt;/style&gt;&lt;/DisplayText&gt;&lt;record&gt;&lt;rec-number&gt;154&lt;/rec-number&gt;&lt;foreign-keys&gt;&lt;key app="EN" db-id="0dzwsrr97fdxxges9pfvwvekdzt9w2zdswef" timestamp="1535980525"&gt;154&lt;/key&gt;&lt;/foreign-keys&gt;&lt;ref-type name="Journal Article"&gt;17&lt;/ref-type&gt;&lt;contributors&gt;&lt;authors&gt;&lt;author&gt;Li, Jiayu&lt;/author&gt;&lt;author&gt;Lin, Li&lt;/author&gt;&lt;author&gt;Rui, Dingran&lt;/author&gt;&lt;author&gt;Li, Qiucheng&lt;/author&gt;&lt;author&gt;Zhang, Jincan&lt;/author&gt;&lt;author&gt;Kang, Ning&lt;/author&gt;&lt;author&gt;Zhang, Yanfeng&lt;/author&gt;&lt;author&gt;Peng, Hailin&lt;/author&gt;&lt;author&gt;Liu, Zhongfan&lt;/author&gt;&lt;author&gt;Xu, HQ&lt;/author&gt;&lt;/authors&gt;&lt;/contributors&gt;&lt;titles&gt;&lt;title&gt;Electron–hole symmetry breaking in charge transport in nitrogen-doped graphene&lt;/title&gt;&lt;secondary-title&gt;ACS nano&lt;/secondary-title&gt;&lt;/titles&gt;&lt;periodical&gt;&lt;full-title&gt;ACS nano&lt;/full-title&gt;&lt;/periodical&gt;&lt;pages&gt;4641-4650&lt;/pages&gt;&lt;volume&gt;11&lt;/volume&gt;&lt;number&gt;5&lt;/number&gt;&lt;dates&gt;&lt;year&gt;2017&lt;/year&gt;&lt;/dates&gt;&lt;isbn&gt;1936-0851&lt;/isbn&gt;&lt;urls&gt;&lt;/urls&gt;&lt;/record&gt;&lt;/Cite&gt;&lt;/EndNote&gt;</w:instrText>
      </w:r>
      <w:r w:rsidRPr="004E083F">
        <w:rPr>
          <w:rFonts w:ascii="Times New Roman" w:hAnsi="Times New Roman" w:cs="Times New Roman"/>
          <w:lang w:val="en-US"/>
        </w:rPr>
        <w:fldChar w:fldCharType="separate"/>
      </w:r>
      <w:r w:rsidRPr="004E083F">
        <w:rPr>
          <w:rFonts w:ascii="Times New Roman" w:hAnsi="Times New Roman" w:cs="Times New Roman"/>
          <w:noProof/>
          <w:vertAlign w:val="superscript"/>
          <w:lang w:val="en-US"/>
        </w:rPr>
        <w:t>4</w:t>
      </w:r>
      <w:r w:rsidRPr="004E083F">
        <w:rPr>
          <w:rFonts w:ascii="Times New Roman" w:hAnsi="Times New Roman" w:cs="Times New Roman"/>
          <w:lang w:val="en-US"/>
        </w:rPr>
        <w:fldChar w:fldCharType="end"/>
      </w:r>
      <w:r w:rsidRPr="004E083F">
        <w:rPr>
          <w:rFonts w:ascii="Times New Roman" w:hAnsi="Times New Roman" w:cs="Times New Roman"/>
          <w:lang w:val="en-US"/>
        </w:rPr>
        <w:t xml:space="preserve"> Given the observed n-doping behavior as well as the symmetric </w:t>
      </w:r>
      <m:oMath>
        <m:r>
          <w:rPr>
            <w:rFonts w:ascii="Cambria Math" w:hAnsi="Cambria Math" w:cs="Times New Roman"/>
          </w:rPr>
          <m:t>G</m:t>
        </m:r>
      </m:oMath>
      <w:r w:rsidRPr="004E083F">
        <w:rPr>
          <w:rFonts w:ascii="Times New Roman" w:hAnsi="Times New Roman" w:cs="Times New Roman"/>
          <w:lang w:val="en-US"/>
        </w:rPr>
        <w:t xml:space="preserve">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lang w:val="en-US"/>
              </w:rPr>
              <m:t>g</m:t>
            </m:r>
          </m:sub>
        </m:sSub>
      </m:oMath>
      <w:r w:rsidRPr="004E083F">
        <w:rPr>
          <w:rFonts w:ascii="Times New Roman" w:hAnsi="Times New Roman" w:cs="Times New Roman"/>
          <w:lang w:val="en-US"/>
        </w:rPr>
        <w:t xml:space="preserve">) curves, it is expected that hydrogenated pyridinic and/or pyrrolic N are the dominant configurations in the N-doped graphene of this study. </w:t>
      </w:r>
    </w:p>
    <w:p w14:paraId="52F16198" w14:textId="77777777" w:rsidR="003028F0" w:rsidRPr="004E083F" w:rsidRDefault="003028F0" w:rsidP="003028F0">
      <w:pPr>
        <w:spacing w:afterLines="100" w:after="240" w:line="360" w:lineRule="auto"/>
        <w:jc w:val="both"/>
        <w:rPr>
          <w:rFonts w:ascii="Times New Roman" w:eastAsia="Calibri" w:hAnsi="Times New Roman" w:cs="Times New Roman"/>
          <w:lang w:val="en-US"/>
        </w:rPr>
      </w:pPr>
      <w:r w:rsidRPr="004E083F">
        <w:rPr>
          <w:rFonts w:ascii="Times New Roman" w:hAnsi="Times New Roman" w:cs="Times New Roman"/>
          <w:b/>
          <w:lang w:val="en-US"/>
        </w:rPr>
        <w:t>2.2 Working principle of graphene field effect transistor (GFET)</w:t>
      </w:r>
      <w:r w:rsidRPr="004E083F">
        <w:rPr>
          <w:rFonts w:ascii="Times New Roman" w:eastAsia="Calibri" w:hAnsi="Times New Roman" w:cs="Times New Roman"/>
          <w:lang w:val="en-US"/>
        </w:rPr>
        <w:t xml:space="preserve"> </w:t>
      </w:r>
    </w:p>
    <w:p w14:paraId="1139E34E" w14:textId="77777777" w:rsidR="003028F0" w:rsidRPr="004E083F" w:rsidRDefault="003028F0" w:rsidP="003028F0">
      <w:pPr>
        <w:spacing w:afterLines="100" w:after="240" w:line="360" w:lineRule="auto"/>
        <w:jc w:val="both"/>
        <w:rPr>
          <w:rFonts w:ascii="Times New Roman" w:hAnsi="Times New Roman" w:cs="Times New Roman"/>
          <w:b/>
          <w:lang w:val="en-US"/>
        </w:rPr>
      </w:pPr>
      <w:r w:rsidRPr="004E083F">
        <w:rPr>
          <w:rFonts w:ascii="Times New Roman" w:hAnsi="Times New Roman" w:cs="Times New Roman"/>
          <w:lang w:val="en-US"/>
        </w:rPr>
        <w:t>Using AgCl/Ag as the reference electrode, the gate voltage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lang w:val="en-US"/>
              </w:rPr>
              <m:t>g</m:t>
            </m:r>
          </m:sub>
        </m:sSub>
      </m:oMath>
      <w:r w:rsidRPr="004E083F">
        <w:rPr>
          <w:rFonts w:ascii="Times New Roman" w:hAnsi="Times New Roman" w:cs="Times New Roman"/>
          <w:lang w:val="en-US"/>
        </w:rPr>
        <w:t xml:space="preserve">) is applied through the electrolyte solution (0.1 M KCl with 10 mM Tris, pH ~8). When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lang w:val="en-US"/>
              </w:rPr>
              <m:t>g</m:t>
            </m:r>
          </m:sub>
        </m:sSub>
      </m:oMath>
      <w:r w:rsidRPr="004E083F">
        <w:rPr>
          <w:rFonts w:ascii="Times New Roman" w:hAnsi="Times New Roman" w:cs="Times New Roman"/>
          <w:lang w:val="en-US"/>
        </w:rPr>
        <w:t xml:space="preserve"> sweeps from negative to positive voltages, the dominant charge carriers in graphene correspondingly change from hole to electron as the Fermi level (</w:t>
      </w:r>
      <m:oMath>
        <m:sSub>
          <m:sSubPr>
            <m:ctrlPr>
              <w:rPr>
                <w:rFonts w:ascii="Cambria Math" w:hAnsi="Cambria Math" w:cs="Times New Roman"/>
                <w:i/>
              </w:rPr>
            </m:ctrlPr>
          </m:sSubPr>
          <m:e>
            <m:r>
              <w:rPr>
                <w:rFonts w:ascii="Cambria Math" w:hAnsi="Cambria Math" w:cs="Times New Roman"/>
              </w:rPr>
              <m:t>E</m:t>
            </m:r>
          </m:e>
          <m:sub>
            <m:r>
              <m:rPr>
                <m:sty m:val="p"/>
              </m:rPr>
              <w:rPr>
                <w:rFonts w:ascii="Cambria Math" w:hAnsi="Cambria Math" w:cs="Times New Roman"/>
                <w:vertAlign w:val="subscript"/>
                <w:lang w:val="en-US"/>
              </w:rPr>
              <m:t>F</m:t>
            </m:r>
          </m:sub>
        </m:sSub>
      </m:oMath>
      <w:r w:rsidRPr="004E083F">
        <w:rPr>
          <w:rFonts w:ascii="Times New Roman" w:hAnsi="Times New Roman" w:cs="Times New Roman"/>
          <w:lang w:val="en-US"/>
        </w:rPr>
        <w:t>) of graphene shifts from the valence band to the conduction band. As a result, the conductance (</w:t>
      </w:r>
      <m:oMath>
        <m:r>
          <w:rPr>
            <w:rFonts w:ascii="Cambria Math" w:hAnsi="Cambria Math" w:cs="Times New Roman"/>
          </w:rPr>
          <m:t>G</m:t>
        </m:r>
      </m:oMath>
      <w:r w:rsidRPr="004E083F">
        <w:rPr>
          <w:rFonts w:ascii="Times New Roman" w:hAnsi="Times New Roman" w:cs="Times New Roman"/>
          <w:lang w:val="en-US"/>
        </w:rPr>
        <w:t xml:space="preserve">) of graphene demonstrate an ambipolar behavior with </w:t>
      </w:r>
      <m:oMath>
        <m:sSub>
          <m:sSubPr>
            <m:ctrlPr>
              <w:rPr>
                <w:rFonts w:ascii="Cambria Math" w:hAnsi="Cambria Math" w:cs="Times New Roman"/>
                <w:i/>
              </w:rPr>
            </m:ctrlPr>
          </m:sSubPr>
          <m:e>
            <m:r>
              <w:rPr>
                <w:rFonts w:ascii="Cambria Math" w:hAnsi="Cambria Math" w:cs="Times New Roman"/>
              </w:rPr>
              <m:t>V</m:t>
            </m:r>
          </m:e>
          <m:sub>
            <m:r>
              <m:rPr>
                <m:sty m:val="p"/>
              </m:rPr>
              <w:rPr>
                <w:rFonts w:ascii="Cambria Math" w:hAnsi="Cambria Math" w:cs="Times New Roman"/>
                <w:lang w:val="en-US"/>
              </w:rPr>
              <m:t>g</m:t>
            </m:r>
          </m:sub>
        </m:sSub>
      </m:oMath>
      <w:r w:rsidRPr="004E083F">
        <w:rPr>
          <w:rFonts w:ascii="Times New Roman" w:hAnsi="Times New Roman" w:cs="Times New Roman"/>
          <w:lang w:val="en-US"/>
        </w:rPr>
        <w:t xml:space="preserve"> in Figure 1c (black line). The voltage of the minimum conductance (</w:t>
      </w:r>
      <m:oMath>
        <m:sSub>
          <m:sSubPr>
            <m:ctrlPr>
              <w:rPr>
                <w:rFonts w:ascii="Cambria Math" w:hAnsi="Cambria Math" w:cs="Times New Roman"/>
                <w:i/>
              </w:rPr>
            </m:ctrlPr>
          </m:sSubPr>
          <m:e>
            <m:r>
              <w:rPr>
                <w:rFonts w:ascii="Cambria Math" w:hAnsi="Cambria Math" w:cs="Times New Roman"/>
              </w:rPr>
              <m:t>G</m:t>
            </m:r>
          </m:e>
          <m:sub>
            <m:r>
              <m:rPr>
                <m:sty m:val="p"/>
              </m:rPr>
              <w:rPr>
                <w:rFonts w:ascii="Cambria Math" w:hAnsi="Cambria Math" w:cs="Times New Roman"/>
                <w:lang w:val="en-US"/>
              </w:rPr>
              <m:t>min</m:t>
            </m:r>
          </m:sub>
        </m:sSub>
      </m:oMath>
      <w:r w:rsidRPr="004E083F">
        <w:rPr>
          <w:rFonts w:ascii="Times New Roman" w:hAnsi="Times New Roman" w:cs="Times New Roman"/>
          <w:lang w:val="en-US"/>
        </w:rPr>
        <w:t>) is called charge neutrality point (CNP) with equal concentrations of hole and electron carriers. The positive CNP (80 mV) for untreated graphene suggests a positive doping from the underneath epoxy substrate.</w:t>
      </w:r>
    </w:p>
    <w:p w14:paraId="0B75E24B" w14:textId="1489272A" w:rsidR="00B97941" w:rsidRPr="004E083F" w:rsidRDefault="00B97941">
      <w:pPr>
        <w:rPr>
          <w:rFonts w:ascii="Times New Roman" w:hAnsi="Times New Roman" w:cs="Times New Roman"/>
          <w:b/>
          <w:lang w:val="en-US"/>
        </w:rPr>
      </w:pPr>
      <w:r w:rsidRPr="004E083F">
        <w:rPr>
          <w:rFonts w:ascii="Times New Roman" w:hAnsi="Times New Roman" w:cs="Times New Roman"/>
          <w:b/>
          <w:lang w:val="en-US"/>
        </w:rPr>
        <w:br w:type="page"/>
      </w:r>
    </w:p>
    <w:p w14:paraId="26A3C437" w14:textId="57A3C642" w:rsidR="001238A8" w:rsidRPr="004E083F" w:rsidRDefault="008800A5" w:rsidP="007F58E8">
      <w:pPr>
        <w:spacing w:afterLines="100" w:after="240" w:line="360" w:lineRule="auto"/>
        <w:jc w:val="center"/>
        <w:rPr>
          <w:rFonts w:ascii="Times New Roman" w:hAnsi="Times New Roman" w:cs="Times New Roman"/>
          <w:b/>
        </w:rPr>
      </w:pPr>
      <w:r w:rsidRPr="004E083F">
        <w:rPr>
          <w:rFonts w:ascii="Times New Roman" w:hAnsi="Times New Roman" w:cs="Times New Roman"/>
          <w:b/>
          <w:noProof/>
        </w:rPr>
        <w:lastRenderedPageBreak/>
        <w:drawing>
          <wp:inline distT="0" distB="0" distL="0" distR="0" wp14:anchorId="2A5C39C1" wp14:editId="1EBC1273">
            <wp:extent cx="4295375" cy="202759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3104" cy="2040686"/>
                    </a:xfrm>
                    <a:prstGeom prst="rect">
                      <a:avLst/>
                    </a:prstGeom>
                    <a:noFill/>
                  </pic:spPr>
                </pic:pic>
              </a:graphicData>
            </a:graphic>
          </wp:inline>
        </w:drawing>
      </w:r>
    </w:p>
    <w:p w14:paraId="163995B1" w14:textId="1FAA2638" w:rsidR="008800A5" w:rsidRPr="004E083F" w:rsidRDefault="00CC290A" w:rsidP="003028F0">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1238A8" w:rsidRPr="004E083F">
        <w:rPr>
          <w:rFonts w:ascii="Times New Roman" w:hAnsi="Times New Roman" w:cs="Times New Roman"/>
          <w:b/>
          <w:lang w:val="en-US"/>
        </w:rPr>
        <w:t>1</w:t>
      </w:r>
      <w:r w:rsidR="00027669" w:rsidRPr="004E083F">
        <w:rPr>
          <w:rFonts w:ascii="Times New Roman" w:hAnsi="Times New Roman" w:cs="Times New Roman"/>
          <w:b/>
          <w:lang w:val="en-US"/>
        </w:rPr>
        <w:t>.</w:t>
      </w:r>
      <w:r w:rsidR="001238A8" w:rsidRPr="004E083F">
        <w:rPr>
          <w:rFonts w:ascii="Times New Roman" w:hAnsi="Times New Roman" w:cs="Times New Roman"/>
          <w:b/>
          <w:lang w:val="en-US"/>
        </w:rPr>
        <w:t xml:space="preserve"> </w:t>
      </w:r>
      <w:r w:rsidR="008800A5" w:rsidRPr="004E083F">
        <w:rPr>
          <w:rFonts w:ascii="Times New Roman" w:hAnsi="Times New Roman" w:cs="Times New Roman"/>
          <w:lang w:val="en-US"/>
        </w:rPr>
        <w:t>High resolution transmission electron microscopy image of monolayer CVD</w:t>
      </w:r>
      <w:r w:rsidR="001238A8" w:rsidRPr="004E083F">
        <w:rPr>
          <w:rFonts w:ascii="Times New Roman" w:hAnsi="Times New Roman" w:cs="Times New Roman"/>
          <w:lang w:val="en-US"/>
        </w:rPr>
        <w:t xml:space="preserve"> graphene</w:t>
      </w:r>
      <w:r w:rsidR="008800A5" w:rsidRPr="004E083F">
        <w:rPr>
          <w:rFonts w:ascii="Times New Roman" w:hAnsi="Times New Roman" w:cs="Times New Roman"/>
          <w:lang w:val="en-US"/>
        </w:rPr>
        <w:t xml:space="preserve"> (a) and the fast Fourier transform pattern (b)</w:t>
      </w:r>
      <w:r w:rsidR="001238A8" w:rsidRPr="004E083F">
        <w:rPr>
          <w:rFonts w:ascii="Times New Roman" w:hAnsi="Times New Roman" w:cs="Times New Roman"/>
          <w:lang w:val="en-US"/>
        </w:rPr>
        <w:t xml:space="preserve">. </w:t>
      </w:r>
    </w:p>
    <w:p w14:paraId="5D88FE52" w14:textId="1EF49131" w:rsidR="008800A5" w:rsidRPr="004E083F" w:rsidRDefault="008800A5" w:rsidP="008800A5">
      <w:pPr>
        <w:spacing w:afterLines="100" w:after="240" w:line="240" w:lineRule="auto"/>
        <w:jc w:val="center"/>
        <w:rPr>
          <w:rFonts w:ascii="Times New Roman" w:hAnsi="Times New Roman" w:cs="Times New Roman"/>
          <w:lang w:val="en-US"/>
        </w:rPr>
      </w:pPr>
      <w:r w:rsidRPr="004E083F">
        <w:rPr>
          <w:rFonts w:ascii="Times New Roman" w:hAnsi="Times New Roman" w:cs="Times New Roman"/>
          <w:noProof/>
        </w:rPr>
        <w:drawing>
          <wp:inline distT="0" distB="0" distL="0" distR="0" wp14:anchorId="311CB77D" wp14:editId="2DF1591E">
            <wp:extent cx="5488985" cy="20213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99470" cy="2025258"/>
                    </a:xfrm>
                    <a:prstGeom prst="rect">
                      <a:avLst/>
                    </a:prstGeom>
                    <a:noFill/>
                  </pic:spPr>
                </pic:pic>
              </a:graphicData>
            </a:graphic>
          </wp:inline>
        </w:drawing>
      </w:r>
    </w:p>
    <w:p w14:paraId="2772CE9B" w14:textId="28DB206E" w:rsidR="008800A5" w:rsidRPr="004E083F" w:rsidRDefault="008800A5" w:rsidP="008800A5">
      <w:pPr>
        <w:spacing w:afterLines="100" w:after="240" w:line="240" w:lineRule="auto"/>
        <w:rPr>
          <w:rFonts w:ascii="Times New Roman" w:hAnsi="Times New Roman" w:cs="Times New Roman"/>
          <w:lang w:val="en-US"/>
        </w:rPr>
      </w:pPr>
      <w:r w:rsidRPr="004E083F">
        <w:rPr>
          <w:rFonts w:ascii="Times New Roman" w:hAnsi="Times New Roman" w:cs="Times New Roman"/>
          <w:b/>
          <w:lang w:val="en-US"/>
        </w:rPr>
        <w:t xml:space="preserve">Figure S2. </w:t>
      </w:r>
      <w:r w:rsidRPr="004E083F">
        <w:rPr>
          <w:rFonts w:ascii="Times New Roman" w:hAnsi="Times New Roman" w:cs="Times New Roman"/>
          <w:lang w:val="en-US"/>
        </w:rPr>
        <w:t>Raman spectroscopy of N-doped monolayer graphene.</w:t>
      </w:r>
      <w:r w:rsidRPr="004E083F">
        <w:rPr>
          <w:rFonts w:ascii="Times New Roman" w:hAnsi="Times New Roman" w:cs="Times New Roman"/>
          <w:b/>
          <w:lang w:val="en-US"/>
        </w:rPr>
        <w:t xml:space="preserve"> </w:t>
      </w:r>
      <w:r w:rsidRPr="004E083F">
        <w:rPr>
          <w:rFonts w:ascii="Times New Roman" w:hAnsi="Times New Roman" w:cs="Times New Roman"/>
          <w:lang w:val="en-US"/>
        </w:rPr>
        <w:t xml:space="preserve">(a) Red-shift of 2D peak position vs nitrogenation times. (b) Variations of full width at half maximums (FWHMs) for D, G and 2D peaks upon 0 to 60 s nitrogenation. </w:t>
      </w:r>
    </w:p>
    <w:p w14:paraId="0C54F6CD" w14:textId="77777777" w:rsidR="00F3134D" w:rsidRPr="004E083F" w:rsidRDefault="00F3134D" w:rsidP="003028F0">
      <w:pPr>
        <w:spacing w:afterLines="100" w:after="240" w:line="240" w:lineRule="auto"/>
        <w:jc w:val="both"/>
        <w:rPr>
          <w:rFonts w:ascii="Times New Roman" w:hAnsi="Times New Roman" w:cs="Times New Roman"/>
          <w:lang w:val="en-US"/>
        </w:rPr>
      </w:pPr>
    </w:p>
    <w:p w14:paraId="328CDC88" w14:textId="77777777" w:rsidR="00F3134D" w:rsidRPr="004E083F" w:rsidRDefault="00F3134D" w:rsidP="00F3134D">
      <w:pPr>
        <w:spacing w:afterLines="100" w:after="240" w:line="360" w:lineRule="auto"/>
        <w:jc w:val="center"/>
        <w:rPr>
          <w:rFonts w:ascii="Times New Roman" w:eastAsia="Calibri" w:hAnsi="Times New Roman" w:cs="Times New Roman"/>
          <w:lang w:val="en-US"/>
        </w:rPr>
      </w:pPr>
      <w:r w:rsidRPr="004E083F">
        <w:rPr>
          <w:rFonts w:ascii="Times New Roman" w:eastAsia="Calibri" w:hAnsi="Times New Roman" w:cs="Times New Roman"/>
          <w:b/>
          <w:lang w:val="en-US"/>
        </w:rPr>
        <w:t>Table S1</w:t>
      </w:r>
      <w:r w:rsidRPr="004E083F">
        <w:rPr>
          <w:rFonts w:ascii="Times New Roman" w:eastAsia="Calibri" w:hAnsi="Times New Roman" w:cs="Times New Roman"/>
          <w:lang w:val="en-US"/>
        </w:rPr>
        <w:t>. Defect density (</w:t>
      </w:r>
      <m:oMath>
        <m:sSub>
          <m:sSubPr>
            <m:ctrlPr>
              <w:rPr>
                <w:rFonts w:ascii="Cambria Math" w:eastAsia="Calibri" w:hAnsi="Cambria Math" w:cs="Times New Roman"/>
                <w:i/>
              </w:rPr>
            </m:ctrlPr>
          </m:sSubPr>
          <m:e>
            <m:r>
              <w:rPr>
                <w:rFonts w:ascii="Cambria Math" w:eastAsia="Calibri" w:hAnsi="Cambria Math" w:cs="Times New Roman"/>
              </w:rPr>
              <m:t>n</m:t>
            </m:r>
          </m:e>
          <m:sub>
            <m:r>
              <m:rPr>
                <m:sty m:val="p"/>
              </m:rPr>
              <w:rPr>
                <w:rFonts w:ascii="Cambria Math" w:eastAsia="Calibri" w:hAnsi="Cambria Math" w:cs="Times New Roman"/>
                <w:lang w:val="en-US"/>
              </w:rPr>
              <m:t>D</m:t>
            </m:r>
          </m:sub>
        </m:sSub>
      </m:oMath>
      <w:r w:rsidRPr="004E083F">
        <w:rPr>
          <w:rFonts w:ascii="Times New Roman" w:eastAsia="Calibri" w:hAnsi="Times New Roman" w:cs="Times New Roman"/>
          <w:lang w:val="en-US"/>
        </w:rPr>
        <w:t>) and interdefect distance (</w:t>
      </w:r>
      <m:oMath>
        <m:sSub>
          <m:sSubPr>
            <m:ctrlPr>
              <w:rPr>
                <w:rFonts w:ascii="Cambria Math" w:eastAsia="Calibri" w:hAnsi="Cambria Math" w:cs="Times New Roman"/>
                <w:i/>
              </w:rPr>
            </m:ctrlPr>
          </m:sSubPr>
          <m:e>
            <m:r>
              <w:rPr>
                <w:rFonts w:ascii="Cambria Math" w:eastAsia="Calibri" w:hAnsi="Cambria Math" w:cs="Times New Roman"/>
              </w:rPr>
              <m:t>L</m:t>
            </m:r>
          </m:e>
          <m:sub>
            <m:r>
              <m:rPr>
                <m:sty m:val="p"/>
              </m:rPr>
              <w:rPr>
                <w:rFonts w:ascii="Cambria Math" w:eastAsia="Calibri" w:hAnsi="Cambria Math" w:cs="Times New Roman"/>
                <w:lang w:val="en-US"/>
              </w:rPr>
              <m:t>D</m:t>
            </m:r>
          </m:sub>
        </m:sSub>
      </m:oMath>
      <w:r w:rsidRPr="004E083F">
        <w:rPr>
          <w:rFonts w:ascii="Times New Roman" w:eastAsia="Calibri" w:hAnsi="Times New Roman" w:cs="Times New Roman"/>
          <w:lang w:val="en-US"/>
        </w:rPr>
        <w:t>) analysis in monolayer graphene based on nitrogenation time</w:t>
      </w:r>
    </w:p>
    <w:tbl>
      <w:tblPr>
        <w:tblStyle w:val="TableGrid"/>
        <w:tblW w:w="10663"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929"/>
        <w:gridCol w:w="1004"/>
        <w:gridCol w:w="1004"/>
        <w:gridCol w:w="1004"/>
        <w:gridCol w:w="1004"/>
        <w:gridCol w:w="1004"/>
        <w:gridCol w:w="1004"/>
        <w:gridCol w:w="1004"/>
        <w:gridCol w:w="1005"/>
      </w:tblGrid>
      <w:tr w:rsidR="004E083F" w:rsidRPr="004E083F" w14:paraId="5E23EC49" w14:textId="77777777" w:rsidTr="00B028CB">
        <w:trPr>
          <w:jc w:val="center"/>
        </w:trPr>
        <w:tc>
          <w:tcPr>
            <w:tcW w:w="1701" w:type="dxa"/>
            <w:tcBorders>
              <w:top w:val="single" w:sz="12" w:space="0" w:color="auto"/>
              <w:bottom w:val="single" w:sz="4" w:space="0" w:color="auto"/>
              <w:right w:val="single" w:sz="4" w:space="0" w:color="auto"/>
            </w:tcBorders>
            <w:vAlign w:val="center"/>
          </w:tcPr>
          <w:p w14:paraId="76FCEEA2" w14:textId="77777777" w:rsidR="00F3134D" w:rsidRPr="004E083F" w:rsidRDefault="00F3134D" w:rsidP="00E3472D">
            <w:pPr>
              <w:spacing w:beforeLines="50" w:before="120" w:afterLines="50" w:after="120"/>
              <w:jc w:val="both"/>
              <w:rPr>
                <w:rFonts w:ascii="Times New Roman" w:eastAsia="Calibri" w:hAnsi="Times New Roman" w:cs="Times New Roman"/>
              </w:rPr>
            </w:pPr>
            <w:r w:rsidRPr="004E083F">
              <w:rPr>
                <w:rFonts w:ascii="Times New Roman" w:eastAsia="Calibri" w:hAnsi="Times New Roman" w:cs="Times New Roman"/>
              </w:rPr>
              <w:t>NH</w:t>
            </w:r>
            <w:r w:rsidRPr="004E083F">
              <w:rPr>
                <w:rFonts w:ascii="Times New Roman" w:eastAsia="Calibri" w:hAnsi="Times New Roman" w:cs="Times New Roman"/>
                <w:vertAlign w:val="subscript"/>
              </w:rPr>
              <w:t>3</w:t>
            </w:r>
            <w:r w:rsidRPr="004E083F">
              <w:rPr>
                <w:rFonts w:ascii="Times New Roman" w:eastAsia="Calibri" w:hAnsi="Times New Roman" w:cs="Times New Roman"/>
              </w:rPr>
              <w:t xml:space="preserve"> time (s)</w:t>
            </w:r>
          </w:p>
        </w:tc>
        <w:tc>
          <w:tcPr>
            <w:tcW w:w="929" w:type="dxa"/>
            <w:tcBorders>
              <w:top w:val="single" w:sz="12" w:space="0" w:color="auto"/>
              <w:left w:val="single" w:sz="4" w:space="0" w:color="auto"/>
              <w:bottom w:val="single" w:sz="4" w:space="0" w:color="auto"/>
            </w:tcBorders>
            <w:vAlign w:val="center"/>
          </w:tcPr>
          <w:p w14:paraId="605BB0C4"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0</w:t>
            </w:r>
          </w:p>
        </w:tc>
        <w:tc>
          <w:tcPr>
            <w:tcW w:w="1004" w:type="dxa"/>
            <w:tcBorders>
              <w:top w:val="single" w:sz="12" w:space="0" w:color="auto"/>
              <w:bottom w:val="single" w:sz="4" w:space="0" w:color="auto"/>
            </w:tcBorders>
            <w:vAlign w:val="center"/>
          </w:tcPr>
          <w:p w14:paraId="3899290B"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2</w:t>
            </w:r>
          </w:p>
        </w:tc>
        <w:tc>
          <w:tcPr>
            <w:tcW w:w="1004" w:type="dxa"/>
            <w:tcBorders>
              <w:top w:val="single" w:sz="12" w:space="0" w:color="auto"/>
              <w:bottom w:val="single" w:sz="4" w:space="0" w:color="auto"/>
            </w:tcBorders>
            <w:vAlign w:val="center"/>
          </w:tcPr>
          <w:p w14:paraId="66C85CAA"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4</w:t>
            </w:r>
          </w:p>
        </w:tc>
        <w:tc>
          <w:tcPr>
            <w:tcW w:w="1004" w:type="dxa"/>
            <w:tcBorders>
              <w:top w:val="single" w:sz="12" w:space="0" w:color="auto"/>
              <w:bottom w:val="single" w:sz="4" w:space="0" w:color="auto"/>
            </w:tcBorders>
            <w:vAlign w:val="center"/>
          </w:tcPr>
          <w:p w14:paraId="2F97E583"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6</w:t>
            </w:r>
          </w:p>
        </w:tc>
        <w:tc>
          <w:tcPr>
            <w:tcW w:w="1004" w:type="dxa"/>
            <w:tcBorders>
              <w:top w:val="single" w:sz="12" w:space="0" w:color="auto"/>
              <w:bottom w:val="single" w:sz="4" w:space="0" w:color="auto"/>
            </w:tcBorders>
            <w:vAlign w:val="center"/>
          </w:tcPr>
          <w:p w14:paraId="714CA0D0"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8</w:t>
            </w:r>
          </w:p>
        </w:tc>
        <w:tc>
          <w:tcPr>
            <w:tcW w:w="1004" w:type="dxa"/>
            <w:tcBorders>
              <w:top w:val="single" w:sz="12" w:space="0" w:color="auto"/>
              <w:bottom w:val="single" w:sz="4" w:space="0" w:color="auto"/>
            </w:tcBorders>
            <w:vAlign w:val="center"/>
          </w:tcPr>
          <w:p w14:paraId="23C23DAE"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10</w:t>
            </w:r>
          </w:p>
        </w:tc>
        <w:tc>
          <w:tcPr>
            <w:tcW w:w="1004" w:type="dxa"/>
            <w:tcBorders>
              <w:top w:val="single" w:sz="12" w:space="0" w:color="auto"/>
              <w:bottom w:val="single" w:sz="4" w:space="0" w:color="auto"/>
            </w:tcBorders>
            <w:vAlign w:val="center"/>
          </w:tcPr>
          <w:p w14:paraId="6DC50843"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20</w:t>
            </w:r>
          </w:p>
        </w:tc>
        <w:tc>
          <w:tcPr>
            <w:tcW w:w="1004" w:type="dxa"/>
            <w:tcBorders>
              <w:top w:val="single" w:sz="12" w:space="0" w:color="auto"/>
              <w:bottom w:val="single" w:sz="4" w:space="0" w:color="auto"/>
            </w:tcBorders>
            <w:vAlign w:val="center"/>
          </w:tcPr>
          <w:p w14:paraId="3ADADA31"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30</w:t>
            </w:r>
          </w:p>
        </w:tc>
        <w:tc>
          <w:tcPr>
            <w:tcW w:w="1005" w:type="dxa"/>
            <w:tcBorders>
              <w:top w:val="single" w:sz="12" w:space="0" w:color="auto"/>
              <w:bottom w:val="single" w:sz="4" w:space="0" w:color="auto"/>
            </w:tcBorders>
            <w:vAlign w:val="center"/>
          </w:tcPr>
          <w:p w14:paraId="78F15A58"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60</w:t>
            </w:r>
          </w:p>
        </w:tc>
      </w:tr>
      <w:tr w:rsidR="004E083F" w:rsidRPr="004E083F" w14:paraId="6848D5D9" w14:textId="77777777" w:rsidTr="00B028CB">
        <w:trPr>
          <w:jc w:val="center"/>
        </w:trPr>
        <w:tc>
          <w:tcPr>
            <w:tcW w:w="1701" w:type="dxa"/>
            <w:tcBorders>
              <w:top w:val="single" w:sz="4" w:space="0" w:color="auto"/>
              <w:right w:val="single" w:sz="4" w:space="0" w:color="auto"/>
            </w:tcBorders>
            <w:vAlign w:val="center"/>
          </w:tcPr>
          <w:p w14:paraId="232C9259" w14:textId="5E6A6673" w:rsidR="00F3134D" w:rsidRPr="004E083F" w:rsidRDefault="004E083F" w:rsidP="00E3472D">
            <w:pPr>
              <w:spacing w:beforeLines="50" w:before="120" w:afterLines="50" w:after="120"/>
              <w:jc w:val="both"/>
              <w:rPr>
                <w:rFonts w:ascii="Times New Roman" w:eastAsia="Calibri" w:hAnsi="Times New Roman" w:cs="Times New Roman"/>
              </w:rPr>
            </w:pPr>
            <m:oMath>
              <m:sSub>
                <m:sSubPr>
                  <m:ctrlPr>
                    <w:rPr>
                      <w:rFonts w:ascii="Cambria Math" w:eastAsia="Calibri" w:hAnsi="Cambria Math" w:cs="Times New Roman"/>
                      <w:i/>
                    </w:rPr>
                  </m:ctrlPr>
                </m:sSubPr>
                <m:e>
                  <m:r>
                    <w:rPr>
                      <w:rFonts w:ascii="Cambria Math" w:eastAsia="Calibri" w:hAnsi="Cambria Math" w:cs="Times New Roman"/>
                    </w:rPr>
                    <m:t>n</m:t>
                  </m:r>
                </m:e>
                <m:sub>
                  <m:r>
                    <m:rPr>
                      <m:sty m:val="p"/>
                    </m:rPr>
                    <w:rPr>
                      <w:rFonts w:ascii="Cambria Math" w:eastAsia="Calibri" w:hAnsi="Cambria Math" w:cs="Times New Roman"/>
                    </w:rPr>
                    <m:t>D</m:t>
                  </m:r>
                </m:sub>
              </m:sSub>
            </m:oMath>
            <w:r w:rsidR="00F3134D" w:rsidRPr="004E083F">
              <w:rPr>
                <w:rFonts w:ascii="Times New Roman" w:eastAsia="Calibri" w:hAnsi="Times New Roman" w:cs="Times New Roman"/>
              </w:rPr>
              <w:t xml:space="preserve"> (</w:t>
            </w:r>
            <m:oMath>
              <m:r>
                <w:rPr>
                  <w:rFonts w:ascii="Cambria Math" w:eastAsia="Calibri" w:hAnsi="Cambria Math" w:cs="Times New Roman"/>
                </w:rPr>
                <m:t>×</m:t>
              </m:r>
            </m:oMath>
            <w:r w:rsidR="00F3134D" w:rsidRPr="004E083F">
              <w:rPr>
                <w:rFonts w:ascii="Times New Roman" w:eastAsia="Calibri" w:hAnsi="Times New Roman" w:cs="Times New Roman"/>
                <w:lang w:val="en-US"/>
              </w:rPr>
              <w:t>10</w:t>
            </w:r>
            <w:r w:rsidR="00F3134D" w:rsidRPr="004E083F">
              <w:rPr>
                <w:rFonts w:ascii="Times New Roman" w:eastAsia="Calibri" w:hAnsi="Times New Roman" w:cs="Times New Roman"/>
                <w:vertAlign w:val="superscript"/>
                <w:lang w:val="en-US"/>
              </w:rPr>
              <w:t xml:space="preserve">10 </w:t>
            </w:r>
            <w:r w:rsidR="00F3134D" w:rsidRPr="004E083F">
              <w:rPr>
                <w:rFonts w:ascii="Times New Roman" w:eastAsia="Calibri" w:hAnsi="Times New Roman" w:cs="Times New Roman"/>
              </w:rPr>
              <w:t>cm</w:t>
            </w:r>
            <w:r w:rsidR="00671BCD" w:rsidRPr="004E083F">
              <w:rPr>
                <w:rFonts w:ascii="Times New Roman" w:eastAsia="Calibri" w:hAnsi="Times New Roman" w:cs="Times New Roman"/>
                <w:vertAlign w:val="superscript"/>
              </w:rPr>
              <w:t>−</w:t>
            </w:r>
            <w:r w:rsidR="00F3134D" w:rsidRPr="004E083F">
              <w:rPr>
                <w:rFonts w:ascii="Times New Roman" w:eastAsia="Calibri" w:hAnsi="Times New Roman" w:cs="Times New Roman"/>
                <w:vertAlign w:val="superscript"/>
              </w:rPr>
              <w:t>2</w:t>
            </w:r>
            <w:r w:rsidR="00F3134D" w:rsidRPr="004E083F">
              <w:rPr>
                <w:rFonts w:ascii="Times New Roman" w:eastAsia="Calibri" w:hAnsi="Times New Roman" w:cs="Times New Roman"/>
              </w:rPr>
              <w:t>)</w:t>
            </w:r>
          </w:p>
        </w:tc>
        <w:tc>
          <w:tcPr>
            <w:tcW w:w="929" w:type="dxa"/>
            <w:tcBorders>
              <w:top w:val="single" w:sz="4" w:space="0" w:color="auto"/>
              <w:left w:val="single" w:sz="4" w:space="0" w:color="auto"/>
            </w:tcBorders>
            <w:vAlign w:val="center"/>
          </w:tcPr>
          <w:p w14:paraId="7CF82318"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1±0.1</w:t>
            </w:r>
          </w:p>
        </w:tc>
        <w:tc>
          <w:tcPr>
            <w:tcW w:w="1004" w:type="dxa"/>
            <w:tcBorders>
              <w:top w:val="single" w:sz="4" w:space="0" w:color="auto"/>
            </w:tcBorders>
            <w:vAlign w:val="center"/>
          </w:tcPr>
          <w:p w14:paraId="56675038"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3.1±0.4</w:t>
            </w:r>
          </w:p>
        </w:tc>
        <w:tc>
          <w:tcPr>
            <w:tcW w:w="1004" w:type="dxa"/>
            <w:tcBorders>
              <w:top w:val="single" w:sz="4" w:space="0" w:color="auto"/>
            </w:tcBorders>
            <w:vAlign w:val="center"/>
          </w:tcPr>
          <w:p w14:paraId="547D61F7"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10.2±0.9</w:t>
            </w:r>
          </w:p>
        </w:tc>
        <w:tc>
          <w:tcPr>
            <w:tcW w:w="1004" w:type="dxa"/>
            <w:tcBorders>
              <w:top w:val="single" w:sz="4" w:space="0" w:color="auto"/>
            </w:tcBorders>
            <w:vAlign w:val="center"/>
          </w:tcPr>
          <w:p w14:paraId="6924109A"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17.6±1.5</w:t>
            </w:r>
          </w:p>
        </w:tc>
        <w:tc>
          <w:tcPr>
            <w:tcW w:w="1004" w:type="dxa"/>
            <w:tcBorders>
              <w:top w:val="single" w:sz="4" w:space="0" w:color="auto"/>
            </w:tcBorders>
            <w:vAlign w:val="center"/>
          </w:tcPr>
          <w:p w14:paraId="279DD5EA"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21.6±3.2</w:t>
            </w:r>
          </w:p>
        </w:tc>
        <w:tc>
          <w:tcPr>
            <w:tcW w:w="1004" w:type="dxa"/>
            <w:tcBorders>
              <w:top w:val="single" w:sz="4" w:space="0" w:color="auto"/>
            </w:tcBorders>
            <w:vAlign w:val="center"/>
          </w:tcPr>
          <w:p w14:paraId="6D24300C"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23.2±1.2</w:t>
            </w:r>
          </w:p>
        </w:tc>
        <w:tc>
          <w:tcPr>
            <w:tcW w:w="1004" w:type="dxa"/>
            <w:tcBorders>
              <w:top w:val="single" w:sz="4" w:space="0" w:color="auto"/>
            </w:tcBorders>
            <w:vAlign w:val="center"/>
          </w:tcPr>
          <w:p w14:paraId="2054257C"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3.9±1.5</w:t>
            </w:r>
          </w:p>
        </w:tc>
        <w:tc>
          <w:tcPr>
            <w:tcW w:w="1004" w:type="dxa"/>
            <w:tcBorders>
              <w:top w:val="single" w:sz="4" w:space="0" w:color="auto"/>
            </w:tcBorders>
            <w:vAlign w:val="center"/>
          </w:tcPr>
          <w:p w14:paraId="572ED9E4"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4.8±2.9</w:t>
            </w:r>
          </w:p>
        </w:tc>
        <w:tc>
          <w:tcPr>
            <w:tcW w:w="1005" w:type="dxa"/>
            <w:tcBorders>
              <w:top w:val="single" w:sz="4" w:space="0" w:color="auto"/>
            </w:tcBorders>
            <w:vAlign w:val="center"/>
          </w:tcPr>
          <w:p w14:paraId="3B69E37C"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5.5±1.4</w:t>
            </w:r>
          </w:p>
        </w:tc>
      </w:tr>
      <w:tr w:rsidR="00F3134D" w:rsidRPr="004E083F" w14:paraId="57AA7505" w14:textId="77777777" w:rsidTr="00B028CB">
        <w:trPr>
          <w:jc w:val="center"/>
        </w:trPr>
        <w:tc>
          <w:tcPr>
            <w:tcW w:w="1701" w:type="dxa"/>
            <w:tcBorders>
              <w:bottom w:val="single" w:sz="12" w:space="0" w:color="auto"/>
              <w:right w:val="single" w:sz="4" w:space="0" w:color="auto"/>
            </w:tcBorders>
            <w:vAlign w:val="center"/>
          </w:tcPr>
          <w:p w14:paraId="4D40E2D0" w14:textId="77777777" w:rsidR="00F3134D" w:rsidRPr="004E083F" w:rsidRDefault="004E083F" w:rsidP="00E3472D">
            <w:pPr>
              <w:spacing w:beforeLines="50" w:before="120" w:afterLines="50" w:after="120"/>
              <w:jc w:val="both"/>
              <w:rPr>
                <w:rFonts w:ascii="Times New Roman" w:eastAsia="Calibri" w:hAnsi="Times New Roman" w:cs="Times New Roman"/>
              </w:rPr>
            </w:pPr>
            <m:oMath>
              <m:sSub>
                <m:sSubPr>
                  <m:ctrlPr>
                    <w:rPr>
                      <w:rFonts w:ascii="Cambria Math" w:eastAsia="Calibri" w:hAnsi="Cambria Math" w:cs="Times New Roman"/>
                      <w:i/>
                    </w:rPr>
                  </m:ctrlPr>
                </m:sSubPr>
                <m:e>
                  <m:r>
                    <w:rPr>
                      <w:rFonts w:ascii="Cambria Math" w:eastAsia="Calibri" w:hAnsi="Cambria Math" w:cs="Times New Roman"/>
                    </w:rPr>
                    <m:t>L</m:t>
                  </m:r>
                </m:e>
                <m:sub>
                  <m:r>
                    <m:rPr>
                      <m:sty m:val="p"/>
                    </m:rPr>
                    <w:rPr>
                      <w:rFonts w:ascii="Cambria Math" w:eastAsia="Calibri" w:hAnsi="Cambria Math" w:cs="Times New Roman"/>
                    </w:rPr>
                    <m:t>D</m:t>
                  </m:r>
                </m:sub>
              </m:sSub>
            </m:oMath>
            <w:r w:rsidR="00F3134D" w:rsidRPr="004E083F">
              <w:rPr>
                <w:rFonts w:ascii="Times New Roman" w:eastAsia="Calibri" w:hAnsi="Times New Roman" w:cs="Times New Roman"/>
              </w:rPr>
              <w:t xml:space="preserve"> (nm)</w:t>
            </w:r>
          </w:p>
        </w:tc>
        <w:tc>
          <w:tcPr>
            <w:tcW w:w="929" w:type="dxa"/>
            <w:tcBorders>
              <w:left w:val="single" w:sz="4" w:space="0" w:color="auto"/>
            </w:tcBorders>
            <w:vAlign w:val="center"/>
          </w:tcPr>
          <w:p w14:paraId="05504A5D"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~56.6</w:t>
            </w:r>
          </w:p>
        </w:tc>
        <w:tc>
          <w:tcPr>
            <w:tcW w:w="1004" w:type="dxa"/>
            <w:vAlign w:val="center"/>
          </w:tcPr>
          <w:p w14:paraId="7441887B"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~32.0</w:t>
            </w:r>
          </w:p>
        </w:tc>
        <w:tc>
          <w:tcPr>
            <w:tcW w:w="1004" w:type="dxa"/>
            <w:vAlign w:val="center"/>
          </w:tcPr>
          <w:p w14:paraId="111DC774"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~17.7</w:t>
            </w:r>
          </w:p>
        </w:tc>
        <w:tc>
          <w:tcPr>
            <w:tcW w:w="1004" w:type="dxa"/>
            <w:vAlign w:val="center"/>
          </w:tcPr>
          <w:p w14:paraId="3E796EDA"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~13.5</w:t>
            </w:r>
          </w:p>
        </w:tc>
        <w:tc>
          <w:tcPr>
            <w:tcW w:w="1004" w:type="dxa"/>
            <w:vAlign w:val="center"/>
          </w:tcPr>
          <w:p w14:paraId="539E867F"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~12.2</w:t>
            </w:r>
          </w:p>
        </w:tc>
        <w:tc>
          <w:tcPr>
            <w:tcW w:w="1004" w:type="dxa"/>
            <w:vAlign w:val="center"/>
          </w:tcPr>
          <w:p w14:paraId="039AA629"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~11.7</w:t>
            </w:r>
          </w:p>
        </w:tc>
        <w:tc>
          <w:tcPr>
            <w:tcW w:w="1004" w:type="dxa"/>
            <w:vAlign w:val="center"/>
          </w:tcPr>
          <w:p w14:paraId="5EE51536"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~9.0</w:t>
            </w:r>
          </w:p>
        </w:tc>
        <w:tc>
          <w:tcPr>
            <w:tcW w:w="1004" w:type="dxa"/>
            <w:vAlign w:val="center"/>
          </w:tcPr>
          <w:p w14:paraId="156B99CD"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~8.1</w:t>
            </w:r>
          </w:p>
        </w:tc>
        <w:tc>
          <w:tcPr>
            <w:tcW w:w="1005" w:type="dxa"/>
            <w:vAlign w:val="center"/>
          </w:tcPr>
          <w:p w14:paraId="5BF81780" w14:textId="77777777" w:rsidR="00F3134D" w:rsidRPr="004E083F" w:rsidRDefault="00F3134D" w:rsidP="00E3472D">
            <w:pPr>
              <w:spacing w:beforeLines="50" w:before="120" w:afterLines="50" w:after="120"/>
              <w:jc w:val="center"/>
              <w:rPr>
                <w:rFonts w:ascii="Times New Roman" w:eastAsia="Calibri" w:hAnsi="Times New Roman" w:cs="Times New Roman"/>
              </w:rPr>
            </w:pPr>
            <w:r w:rsidRPr="004E083F">
              <w:rPr>
                <w:rFonts w:ascii="Times New Roman" w:eastAsia="Calibri" w:hAnsi="Times New Roman" w:cs="Times New Roman"/>
              </w:rPr>
              <w:t>~7.6</w:t>
            </w:r>
          </w:p>
        </w:tc>
      </w:tr>
    </w:tbl>
    <w:p w14:paraId="415833C2" w14:textId="77777777" w:rsidR="00F3134D" w:rsidRPr="004E083F" w:rsidRDefault="00F3134D" w:rsidP="00F3134D">
      <w:pPr>
        <w:spacing w:afterLines="100" w:after="240" w:line="360" w:lineRule="auto"/>
        <w:jc w:val="both"/>
        <w:rPr>
          <w:rFonts w:ascii="Times New Roman" w:eastAsia="Calibri" w:hAnsi="Times New Roman" w:cs="Times New Roman"/>
        </w:rPr>
      </w:pPr>
    </w:p>
    <w:p w14:paraId="6FC66560" w14:textId="77777777" w:rsidR="00F3134D" w:rsidRPr="004E083F" w:rsidRDefault="00F3134D" w:rsidP="003028F0">
      <w:pPr>
        <w:spacing w:afterLines="100" w:after="240" w:line="240" w:lineRule="auto"/>
        <w:jc w:val="both"/>
        <w:rPr>
          <w:rFonts w:ascii="Times New Roman" w:hAnsi="Times New Roman" w:cs="Times New Roman"/>
          <w:lang w:val="en-US"/>
        </w:rPr>
      </w:pPr>
    </w:p>
    <w:p w14:paraId="655B9BAB" w14:textId="77777777" w:rsidR="007F58E8" w:rsidRPr="004E083F" w:rsidRDefault="007F58E8" w:rsidP="007F58E8">
      <w:pPr>
        <w:jc w:val="center"/>
        <w:rPr>
          <w:rFonts w:ascii="Times New Roman" w:hAnsi="Times New Roman" w:cs="Times New Roman"/>
          <w:b/>
          <w:lang w:val="en-US"/>
        </w:rPr>
      </w:pPr>
      <w:r w:rsidRPr="004E083F">
        <w:rPr>
          <w:rFonts w:ascii="Times New Roman" w:hAnsi="Times New Roman" w:cs="Times New Roman"/>
          <w:b/>
          <w:noProof/>
        </w:rPr>
        <w:lastRenderedPageBreak/>
        <w:drawing>
          <wp:inline distT="0" distB="0" distL="0" distR="0" wp14:anchorId="0B4C2239" wp14:editId="312BE23A">
            <wp:extent cx="4768037" cy="252036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84529" cy="2529080"/>
                    </a:xfrm>
                    <a:prstGeom prst="rect">
                      <a:avLst/>
                    </a:prstGeom>
                    <a:noFill/>
                  </pic:spPr>
                </pic:pic>
              </a:graphicData>
            </a:graphic>
          </wp:inline>
        </w:drawing>
      </w:r>
    </w:p>
    <w:p w14:paraId="40410BBF" w14:textId="4C4E9ED4" w:rsidR="00DA43E3" w:rsidRPr="004E083F" w:rsidRDefault="007F58E8" w:rsidP="007F58E8">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S3.</w:t>
      </w:r>
      <w:r w:rsidRPr="004E083F">
        <w:rPr>
          <w:rFonts w:ascii="Times New Roman" w:hAnsi="Times New Roman" w:cs="Times New Roman"/>
          <w:lang w:val="en-US"/>
        </w:rPr>
        <w:t xml:space="preserve"> Illustration schemes of graphene surface preparations</w:t>
      </w:r>
      <w:r w:rsidR="001173B3" w:rsidRPr="004E083F">
        <w:rPr>
          <w:rFonts w:ascii="Times New Roman" w:hAnsi="Times New Roman" w:cs="Times New Roman"/>
          <w:lang w:val="en-US"/>
        </w:rPr>
        <w:t>, namely G@GC and G’@GC</w:t>
      </w:r>
      <w:r w:rsidRPr="004E083F">
        <w:rPr>
          <w:rFonts w:ascii="Times New Roman" w:hAnsi="Times New Roman" w:cs="Times New Roman"/>
          <w:lang w:val="en-US"/>
        </w:rPr>
        <w:t xml:space="preserve"> for ORR measurements</w:t>
      </w:r>
      <w:r w:rsidR="001173B3" w:rsidRPr="004E083F">
        <w:rPr>
          <w:rFonts w:ascii="Times New Roman" w:hAnsi="Times New Roman" w:cs="Times New Roman"/>
          <w:lang w:val="en-US"/>
        </w:rPr>
        <w:t xml:space="preserve">. </w:t>
      </w:r>
      <w:r w:rsidR="00877E6F" w:rsidRPr="004E083F">
        <w:rPr>
          <w:rFonts w:ascii="Times New Roman" w:hAnsi="Times New Roman" w:cs="Times New Roman"/>
          <w:lang w:val="en-US"/>
        </w:rPr>
        <w:t xml:space="preserve">Monolayer graphene is transferred onto </w:t>
      </w:r>
      <w:r w:rsidRPr="004E083F">
        <w:rPr>
          <w:rFonts w:ascii="Times New Roman" w:hAnsi="Times New Roman" w:cs="Times New Roman"/>
          <w:lang w:val="en-US"/>
        </w:rPr>
        <w:t>the glassy carbon (GC) disk</w:t>
      </w:r>
      <w:r w:rsidR="00877E6F" w:rsidRPr="004E083F">
        <w:rPr>
          <w:rFonts w:ascii="Times New Roman" w:hAnsi="Times New Roman" w:cs="Times New Roman"/>
          <w:lang w:val="en-US"/>
        </w:rPr>
        <w:t xml:space="preserve"> as G’@GC and bilayer graphene surface as G@GC. PMMA is poly(methyl methacrylate) polymer typically used for graphene transfer from copper to arbitrary substrates.</w:t>
      </w:r>
    </w:p>
    <w:p w14:paraId="7F3018C8" w14:textId="44E86D6C" w:rsidR="00160643" w:rsidRPr="004E083F" w:rsidRDefault="00160643" w:rsidP="007F58E8">
      <w:pPr>
        <w:spacing w:afterLines="100" w:after="240" w:line="240" w:lineRule="auto"/>
        <w:jc w:val="both"/>
        <w:rPr>
          <w:rFonts w:ascii="Times New Roman" w:hAnsi="Times New Roman" w:cs="Times New Roman"/>
          <w:lang w:val="en-US"/>
        </w:rPr>
      </w:pPr>
      <w:r w:rsidRPr="004E083F">
        <w:rPr>
          <w:rFonts w:ascii="Times New Roman" w:hAnsi="Times New Roman" w:cs="Times New Roman"/>
          <w:noProof/>
        </w:rPr>
        <w:drawing>
          <wp:inline distT="0" distB="0" distL="0" distR="0" wp14:anchorId="7A181FD4" wp14:editId="6FD35361">
            <wp:extent cx="5933357" cy="158998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2416" cy="1600456"/>
                    </a:xfrm>
                    <a:prstGeom prst="rect">
                      <a:avLst/>
                    </a:prstGeom>
                    <a:noFill/>
                  </pic:spPr>
                </pic:pic>
              </a:graphicData>
            </a:graphic>
          </wp:inline>
        </w:drawing>
      </w:r>
    </w:p>
    <w:p w14:paraId="0A1E94B6" w14:textId="3244B5A3" w:rsidR="00160643" w:rsidRPr="004E083F" w:rsidRDefault="00160643" w:rsidP="00160643">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 xml:space="preserve">Figure S4. XPS </w:t>
      </w:r>
      <w:r w:rsidR="002E63F0" w:rsidRPr="004E083F">
        <w:rPr>
          <w:rFonts w:ascii="Times New Roman" w:hAnsi="Times New Roman" w:cs="Times New Roman"/>
          <w:lang w:val="en-US"/>
        </w:rPr>
        <w:t>C 1</w:t>
      </w:r>
      <w:r w:rsidR="002E63F0" w:rsidRPr="004E083F">
        <w:rPr>
          <w:rFonts w:ascii="Times New Roman" w:hAnsi="Times New Roman" w:cs="Times New Roman"/>
          <w:i/>
          <w:lang w:val="en-US"/>
        </w:rPr>
        <w:t>s</w:t>
      </w:r>
      <w:r w:rsidR="002E63F0" w:rsidRPr="004E083F">
        <w:rPr>
          <w:rFonts w:ascii="Times New Roman" w:hAnsi="Times New Roman" w:cs="Times New Roman"/>
          <w:lang w:val="en-US"/>
        </w:rPr>
        <w:t xml:space="preserve"> core spectra</w:t>
      </w:r>
      <w:r w:rsidR="002E63F0" w:rsidRPr="004E083F">
        <w:rPr>
          <w:rFonts w:ascii="Times New Roman" w:hAnsi="Times New Roman" w:cs="Times New Roman"/>
          <w:b/>
          <w:lang w:val="en-US"/>
        </w:rPr>
        <w:t xml:space="preserve"> </w:t>
      </w:r>
      <w:r w:rsidRPr="004E083F">
        <w:rPr>
          <w:rFonts w:ascii="Times New Roman" w:hAnsi="Times New Roman" w:cs="Times New Roman"/>
          <w:b/>
          <w:lang w:val="en-US"/>
        </w:rPr>
        <w:t xml:space="preserve">for pristine graphene </w:t>
      </w:r>
      <w:r w:rsidR="002E63F0" w:rsidRPr="004E083F">
        <w:rPr>
          <w:rFonts w:ascii="Times New Roman" w:hAnsi="Times New Roman" w:cs="Times New Roman"/>
          <w:b/>
          <w:lang w:val="en-US"/>
        </w:rPr>
        <w:t xml:space="preserve">(a) </w:t>
      </w:r>
      <w:r w:rsidRPr="004E083F">
        <w:rPr>
          <w:rFonts w:ascii="Times New Roman" w:hAnsi="Times New Roman" w:cs="Times New Roman"/>
          <w:b/>
          <w:lang w:val="en-US"/>
        </w:rPr>
        <w:t>and 30 s</w:t>
      </w:r>
      <w:r w:rsidR="002E63F0" w:rsidRPr="004E083F">
        <w:rPr>
          <w:rFonts w:ascii="Times New Roman" w:hAnsi="Times New Roman" w:cs="Times New Roman"/>
          <w:b/>
          <w:lang w:val="en-US"/>
        </w:rPr>
        <w:t xml:space="preserve"> (b)</w:t>
      </w:r>
      <w:r w:rsidRPr="004E083F">
        <w:rPr>
          <w:rFonts w:ascii="Times New Roman" w:hAnsi="Times New Roman" w:cs="Times New Roman"/>
          <w:b/>
          <w:lang w:val="en-US"/>
        </w:rPr>
        <w:t xml:space="preserve">, 60 s </w:t>
      </w:r>
      <w:r w:rsidR="002E63F0" w:rsidRPr="004E083F">
        <w:rPr>
          <w:rFonts w:ascii="Times New Roman" w:hAnsi="Times New Roman" w:cs="Times New Roman"/>
          <w:b/>
          <w:lang w:val="en-US"/>
        </w:rPr>
        <w:t xml:space="preserve">(c) </w:t>
      </w:r>
      <w:r w:rsidRPr="004E083F">
        <w:rPr>
          <w:rFonts w:ascii="Times New Roman" w:hAnsi="Times New Roman" w:cs="Times New Roman"/>
          <w:b/>
          <w:lang w:val="en-US"/>
        </w:rPr>
        <w:t>of N-doped graphene</w:t>
      </w:r>
      <w:r w:rsidRPr="004E083F">
        <w:rPr>
          <w:rFonts w:ascii="Times New Roman" w:hAnsi="Times New Roman" w:cs="Times New Roman"/>
          <w:lang w:val="en-US"/>
        </w:rPr>
        <w:t xml:space="preserve">. </w:t>
      </w:r>
    </w:p>
    <w:p w14:paraId="25205541" w14:textId="77777777" w:rsidR="00160643" w:rsidRPr="004E083F" w:rsidRDefault="00160643" w:rsidP="007F58E8">
      <w:pPr>
        <w:spacing w:afterLines="100" w:after="240" w:line="240" w:lineRule="auto"/>
        <w:jc w:val="both"/>
        <w:rPr>
          <w:rFonts w:ascii="Times New Roman" w:hAnsi="Times New Roman" w:cs="Times New Roman"/>
          <w:lang w:val="en-US"/>
        </w:rPr>
      </w:pPr>
    </w:p>
    <w:p w14:paraId="29EF54B4" w14:textId="361D5CD7" w:rsidR="007F58E8" w:rsidRPr="004E083F" w:rsidRDefault="00233A26" w:rsidP="00DA43E3">
      <w:pPr>
        <w:spacing w:afterLines="100" w:after="240" w:line="240" w:lineRule="auto"/>
        <w:jc w:val="center"/>
        <w:rPr>
          <w:rFonts w:ascii="Times New Roman" w:hAnsi="Times New Roman" w:cs="Times New Roman"/>
          <w:b/>
          <w:lang w:val="en-US"/>
        </w:rPr>
      </w:pPr>
      <w:r w:rsidRPr="004E083F">
        <w:rPr>
          <w:rFonts w:ascii="Times New Roman" w:hAnsi="Times New Roman" w:cs="Times New Roman"/>
          <w:b/>
          <w:noProof/>
        </w:rPr>
        <w:lastRenderedPageBreak/>
        <w:drawing>
          <wp:inline distT="0" distB="0" distL="0" distR="0" wp14:anchorId="21792D8B" wp14:editId="1C7E7A6D">
            <wp:extent cx="5603382" cy="40802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43956" cy="4109767"/>
                    </a:xfrm>
                    <a:prstGeom prst="rect">
                      <a:avLst/>
                    </a:prstGeom>
                    <a:noFill/>
                  </pic:spPr>
                </pic:pic>
              </a:graphicData>
            </a:graphic>
          </wp:inline>
        </w:drawing>
      </w:r>
    </w:p>
    <w:p w14:paraId="0DC3D0CD" w14:textId="3033EA16" w:rsidR="00DA43E3" w:rsidRPr="004E083F" w:rsidRDefault="00DA43E3" w:rsidP="00DA43E3">
      <w:pPr>
        <w:pStyle w:val="PlainText"/>
        <w:spacing w:after="120"/>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5</w:t>
      </w:r>
      <w:r w:rsidRPr="004E083F">
        <w:rPr>
          <w:rFonts w:ascii="Times New Roman" w:hAnsi="Times New Roman" w:cs="Times New Roman"/>
          <w:b/>
          <w:lang w:val="en-US"/>
        </w:rPr>
        <w:t>.</w:t>
      </w:r>
      <w:r w:rsidRPr="004E083F">
        <w:rPr>
          <w:rFonts w:ascii="Times New Roman" w:hAnsi="Times New Roman" w:cs="Times New Roman"/>
          <w:lang w:val="en-US"/>
        </w:rPr>
        <w:t xml:space="preserve"> CVs of Pristine G (on epoxy support) in argon purged and O</w:t>
      </w:r>
      <w:r w:rsidRPr="004E083F">
        <w:rPr>
          <w:rFonts w:ascii="Times New Roman" w:hAnsi="Times New Roman" w:cs="Times New Roman"/>
          <w:vertAlign w:val="subscript"/>
          <w:lang w:val="en-US"/>
        </w:rPr>
        <w:t>2</w:t>
      </w:r>
      <w:r w:rsidRPr="004E083F">
        <w:rPr>
          <w:rFonts w:ascii="Times New Roman" w:hAnsi="Times New Roman" w:cs="Times New Roman"/>
          <w:lang w:val="en-US"/>
        </w:rPr>
        <w:t xml:space="preserve"> purged 0.1 M H</w:t>
      </w:r>
      <w:r w:rsidRPr="004E083F">
        <w:rPr>
          <w:rFonts w:ascii="Times New Roman" w:hAnsi="Times New Roman" w:cs="Times New Roman"/>
          <w:vertAlign w:val="subscript"/>
          <w:lang w:val="en-US"/>
        </w:rPr>
        <w:t>2</w:t>
      </w:r>
      <w:r w:rsidRPr="004E083F">
        <w:rPr>
          <w:rFonts w:ascii="Times New Roman" w:hAnsi="Times New Roman" w:cs="Times New Roman"/>
          <w:lang w:val="en-US"/>
        </w:rPr>
        <w:t>SO</w:t>
      </w:r>
      <w:r w:rsidRPr="004E083F">
        <w:rPr>
          <w:rFonts w:ascii="Times New Roman" w:hAnsi="Times New Roman" w:cs="Times New Roman"/>
          <w:vertAlign w:val="subscript"/>
          <w:lang w:val="en-US"/>
        </w:rPr>
        <w:t>4</w:t>
      </w:r>
      <w:r w:rsidRPr="004E083F">
        <w:rPr>
          <w:rFonts w:ascii="Times New Roman" w:hAnsi="Times New Roman" w:cs="Times New Roman"/>
          <w:lang w:val="en-US"/>
        </w:rPr>
        <w:t xml:space="preserve"> (a) and 0.1 M NaOH (b) solution. c) LSV curves of an aged G with an evident peak at ~0.4 V as compared to Pristine G.</w:t>
      </w:r>
    </w:p>
    <w:p w14:paraId="472D008B" w14:textId="786734F4" w:rsidR="0011152E" w:rsidRPr="004E083F" w:rsidRDefault="002C3BAD" w:rsidP="002C3BAD">
      <w:pPr>
        <w:pStyle w:val="PlainText"/>
        <w:spacing w:after="120"/>
        <w:jc w:val="center"/>
        <w:rPr>
          <w:rFonts w:ascii="Times New Roman" w:hAnsi="Times New Roman" w:cs="Times New Roman"/>
          <w:lang w:val="en-US"/>
        </w:rPr>
      </w:pPr>
      <w:r w:rsidRPr="004E083F">
        <w:rPr>
          <w:rFonts w:ascii="Times New Roman" w:hAnsi="Times New Roman" w:cs="Times New Roman"/>
          <w:noProof/>
        </w:rPr>
        <w:drawing>
          <wp:inline distT="0" distB="0" distL="0" distR="0" wp14:anchorId="3C755B2C" wp14:editId="773CE4A4">
            <wp:extent cx="4980395" cy="3634606"/>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99368" cy="3648452"/>
                    </a:xfrm>
                    <a:prstGeom prst="rect">
                      <a:avLst/>
                    </a:prstGeom>
                    <a:noFill/>
                  </pic:spPr>
                </pic:pic>
              </a:graphicData>
            </a:graphic>
          </wp:inline>
        </w:drawing>
      </w:r>
    </w:p>
    <w:p w14:paraId="3F6D632E" w14:textId="6334A970" w:rsidR="00843499" w:rsidRPr="004E083F" w:rsidRDefault="002C3BAD" w:rsidP="00E6218C">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6</w:t>
      </w:r>
      <w:r w:rsidRPr="004E083F">
        <w:rPr>
          <w:rFonts w:ascii="Times New Roman" w:hAnsi="Times New Roman" w:cs="Times New Roman"/>
          <w:b/>
          <w:lang w:val="en-US"/>
        </w:rPr>
        <w:t xml:space="preserve">. </w:t>
      </w:r>
      <w:r w:rsidRPr="004E083F">
        <w:rPr>
          <w:rFonts w:ascii="Times New Roman" w:hAnsi="Times New Roman" w:cs="Times New Roman"/>
          <w:lang w:val="en-US"/>
        </w:rPr>
        <w:t>ORR activity and Raman spectroscopy of G@GC vs G’@GC for RRDE experiment.</w:t>
      </w:r>
      <w:r w:rsidRPr="004E083F">
        <w:rPr>
          <w:rFonts w:ascii="Times New Roman" w:hAnsi="Times New Roman" w:cs="Times New Roman"/>
          <w:b/>
          <w:lang w:val="en-US"/>
        </w:rPr>
        <w:t xml:space="preserve"> </w:t>
      </w:r>
      <w:r w:rsidRPr="004E083F">
        <w:rPr>
          <w:rFonts w:ascii="Times New Roman" w:hAnsi="Times New Roman" w:cs="Times New Roman"/>
          <w:lang w:val="en-US"/>
        </w:rPr>
        <w:t xml:space="preserve">a) LSV curves of bare GC, G’@GC and G@GC at 600 rpm. b) Raman spectra of bare GC, G’@GC and G@GC </w:t>
      </w:r>
      <w:r w:rsidRPr="004E083F">
        <w:rPr>
          <w:rFonts w:ascii="Times New Roman" w:hAnsi="Times New Roman" w:cs="Times New Roman"/>
          <w:lang w:val="en-US"/>
        </w:rPr>
        <w:lastRenderedPageBreak/>
        <w:t>supported by GC. c) LSV polarization curves of two samples of G@GC supported by the same GC disk electrode at 800 rpm. d) Raman spectra of the bilayer graphene on the GC disk before and after RRDE experiment. All the ORR experiment were performed in 0.1 M sodium hydroxide solution saturated with O</w:t>
      </w:r>
      <w:r w:rsidRPr="004E083F">
        <w:rPr>
          <w:rFonts w:ascii="Times New Roman" w:hAnsi="Times New Roman" w:cs="Times New Roman"/>
          <w:vertAlign w:val="subscript"/>
          <w:lang w:val="en-US"/>
        </w:rPr>
        <w:t>2</w:t>
      </w:r>
      <w:r w:rsidRPr="004E083F">
        <w:rPr>
          <w:rFonts w:ascii="Times New Roman" w:hAnsi="Times New Roman" w:cs="Times New Roman"/>
          <w:lang w:val="en-US"/>
        </w:rPr>
        <w:t>.</w:t>
      </w:r>
      <w:r w:rsidR="00843499" w:rsidRPr="004E083F">
        <w:rPr>
          <w:rFonts w:ascii="Times New Roman" w:hAnsi="Times New Roman" w:cs="Times New Roman"/>
          <w:lang w:val="en-US"/>
        </w:rPr>
        <w:t xml:space="preserve"> </w:t>
      </w:r>
    </w:p>
    <w:p w14:paraId="5A3BC3E3" w14:textId="5BE04C46" w:rsidR="00843499" w:rsidRPr="004E083F" w:rsidRDefault="00843499" w:rsidP="00843499">
      <w:pPr>
        <w:spacing w:afterLines="100" w:after="240" w:line="360" w:lineRule="auto"/>
        <w:jc w:val="both"/>
        <w:rPr>
          <w:rFonts w:ascii="Times New Roman" w:eastAsia="Calibri" w:hAnsi="Times New Roman" w:cs="Times New Roman"/>
          <w:lang w:val="en-US"/>
        </w:rPr>
      </w:pPr>
      <w:r w:rsidRPr="004E083F">
        <w:rPr>
          <w:rFonts w:ascii="Times New Roman" w:hAnsi="Times New Roman" w:cs="Times New Roman"/>
          <w:b/>
          <w:lang w:val="en-US"/>
        </w:rPr>
        <w:t xml:space="preserve">2.3 Reproducibility and reliability of G@GC for RRDE experiment </w:t>
      </w:r>
      <w:r w:rsidRPr="004E083F">
        <w:rPr>
          <w:rFonts w:ascii="Times New Roman" w:eastAsia="Calibri" w:hAnsi="Times New Roman" w:cs="Times New Roman"/>
          <w:lang w:val="en-US"/>
        </w:rPr>
        <w:t xml:space="preserve"> </w:t>
      </w:r>
    </w:p>
    <w:p w14:paraId="242FD46A" w14:textId="3790D702" w:rsidR="00843499" w:rsidRPr="004E083F" w:rsidRDefault="00843499" w:rsidP="00843499">
      <w:pPr>
        <w:spacing w:afterLines="100" w:after="240" w:line="360" w:lineRule="auto"/>
        <w:jc w:val="both"/>
        <w:rPr>
          <w:rFonts w:ascii="Times New Roman" w:hAnsi="Times New Roman" w:cs="Times New Roman"/>
          <w:lang w:val="en-US"/>
        </w:rPr>
      </w:pPr>
      <w:r w:rsidRPr="004E083F">
        <w:rPr>
          <w:rFonts w:ascii="Times New Roman" w:hAnsi="Times New Roman" w:cs="Times New Roman"/>
          <w:lang w:val="en-US"/>
        </w:rPr>
        <w:t xml:space="preserve"> Raman spectroscopy and repeated ORR tests were performed to confirm the reliability and reproducibility of G@GC. The Raman spectra of G’@GC and G@GC both show increased peak intensity of 2D peak compared to that of the bare GC (Figure S5b). Especially the peak intensity ratio of I(2D)/I(G), an indicator of graphene layer number</w:t>
      </w:r>
      <w:r w:rsidRPr="004E083F">
        <w:rPr>
          <w:rFonts w:ascii="Times New Roman" w:hAnsi="Times New Roman" w:cs="Times New Roman"/>
          <w:lang w:val="en-US"/>
        </w:rPr>
        <w:fldChar w:fldCharType="begin"/>
      </w:r>
      <w:r w:rsidRPr="004E083F">
        <w:rPr>
          <w:rFonts w:ascii="Times New Roman" w:hAnsi="Times New Roman" w:cs="Times New Roman"/>
          <w:lang w:val="en-US"/>
        </w:rPr>
        <w:instrText xml:space="preserve"> ADDIN EN.CITE &lt;EndNote&gt;&lt;Cite&gt;&lt;Author&gt;Hao&lt;/Author&gt;&lt;Year&gt;2010&lt;/Year&gt;&lt;RecNum&gt;161&lt;/RecNum&gt;&lt;DisplayText&gt;&lt;style face="superscript"&gt;5&lt;/style&gt;&lt;/DisplayText&gt;&lt;record&gt;&lt;rec-number&gt;161&lt;/rec-number&gt;&lt;foreign-keys&gt;&lt;key app="EN" db-id="0dzwsrr97fdxxges9pfvwvekdzt9w2zdswef" timestamp="1537002858"&gt;161&lt;/key&gt;&lt;/foreign-keys&gt;&lt;ref-type name="Journal Article"&gt;17&lt;/ref-type&gt;&lt;contributors&gt;&lt;authors&gt;&lt;author&gt;Hao, Yufeng&lt;/author&gt;&lt;author&gt;Wang, Yingying&lt;/author&gt;&lt;author&gt;Wang, Lei&lt;/author&gt;&lt;author&gt;Ni, Zhenhua&lt;/author&gt;&lt;author&gt;Wang, Ziqian&lt;/author&gt;&lt;author&gt;Wang, Rui&lt;/author&gt;&lt;author&gt;Koo, Chee Keong&lt;/author&gt;&lt;author&gt;Shen, Zexiang&lt;/author&gt;&lt;author&gt;Thong, John TL&lt;/author&gt;&lt;/authors&gt;&lt;/contributors&gt;&lt;titles&gt;&lt;title&gt;Probing layer number and stacking order of few‐layer graphene by Raman spectroscopy&lt;/title&gt;&lt;secondary-title&gt;small&lt;/secondary-title&gt;&lt;/titles&gt;&lt;periodical&gt;&lt;full-title&gt;small&lt;/full-title&gt;&lt;/periodical&gt;&lt;pages&gt;195-200&lt;/pages&gt;&lt;volume&gt;6&lt;/volume&gt;&lt;number&gt;2&lt;/number&gt;&lt;dates&gt;&lt;year&gt;2010&lt;/year&gt;&lt;/dates&gt;&lt;isbn&gt;1613-6810&lt;/isbn&gt;&lt;urls&gt;&lt;/urls&gt;&lt;/record&gt;&lt;/Cite&gt;&lt;/EndNote&gt;</w:instrText>
      </w:r>
      <w:r w:rsidRPr="004E083F">
        <w:rPr>
          <w:rFonts w:ascii="Times New Roman" w:hAnsi="Times New Roman" w:cs="Times New Roman"/>
          <w:lang w:val="en-US"/>
        </w:rPr>
        <w:fldChar w:fldCharType="separate"/>
      </w:r>
      <w:r w:rsidRPr="004E083F">
        <w:rPr>
          <w:rFonts w:ascii="Times New Roman" w:hAnsi="Times New Roman" w:cs="Times New Roman"/>
          <w:noProof/>
          <w:vertAlign w:val="superscript"/>
          <w:lang w:val="en-US"/>
        </w:rPr>
        <w:t>5</w:t>
      </w:r>
      <w:r w:rsidRPr="004E083F">
        <w:rPr>
          <w:rFonts w:ascii="Times New Roman" w:hAnsi="Times New Roman" w:cs="Times New Roman"/>
          <w:lang w:val="en-US"/>
        </w:rPr>
        <w:fldChar w:fldCharType="end"/>
      </w:r>
      <w:r w:rsidRPr="004E083F">
        <w:rPr>
          <w:rFonts w:ascii="Times New Roman" w:hAnsi="Times New Roman" w:cs="Times New Roman"/>
          <w:lang w:val="en-US"/>
        </w:rPr>
        <w:t>, is as high as 1.4 for G@GC while below 1.0 for both G’@GC (0.75) and the GC (0.65). Therefore, we can conclude that G@GC behaves more independently than G’@GC supported on GC. In addition, the well-overlapped LSV curves at 800 rpm obtained from two different G@GC samples in Figure S5c show a good reproducibility. Raman characterization of G@GC before and after RRDE experiments (Figure S4d) confirms the stability of bilayer graphene. As a result, bilayer graphene is used as a pristine surface on RRDE for further doping treatments and ORR catalysis.</w:t>
      </w:r>
    </w:p>
    <w:p w14:paraId="47F92BDB" w14:textId="77777777" w:rsidR="007A576B" w:rsidRPr="004E083F" w:rsidRDefault="007A576B" w:rsidP="007A576B">
      <w:pPr>
        <w:spacing w:afterLines="100" w:after="240" w:line="360" w:lineRule="auto"/>
        <w:jc w:val="both"/>
        <w:rPr>
          <w:rFonts w:ascii="Times New Roman" w:eastAsia="Calibri" w:hAnsi="Times New Roman" w:cs="Times New Roman"/>
          <w:lang w:val="en-US"/>
        </w:rPr>
      </w:pPr>
      <w:r w:rsidRPr="004E083F">
        <w:rPr>
          <w:rFonts w:ascii="Times New Roman" w:hAnsi="Times New Roman" w:cs="Times New Roman"/>
          <w:b/>
          <w:lang w:val="en-US"/>
        </w:rPr>
        <w:t xml:space="preserve">2.4 </w:t>
      </w:r>
      <w:proofErr w:type="spellStart"/>
      <w:r w:rsidRPr="004E083F">
        <w:rPr>
          <w:rFonts w:ascii="Times New Roman" w:hAnsi="Times New Roman" w:cs="Times New Roman"/>
          <w:b/>
          <w:lang w:val="en-US"/>
        </w:rPr>
        <w:t>Koutechy-Levich</w:t>
      </w:r>
      <w:proofErr w:type="spellEnd"/>
      <w:r w:rsidRPr="004E083F">
        <w:rPr>
          <w:rFonts w:ascii="Times New Roman" w:hAnsi="Times New Roman" w:cs="Times New Roman"/>
          <w:b/>
          <w:lang w:val="en-US"/>
        </w:rPr>
        <w:t xml:space="preserve"> analysis</w:t>
      </w:r>
      <w:r w:rsidRPr="004E083F">
        <w:rPr>
          <w:rFonts w:ascii="Times New Roman" w:eastAsia="Calibri" w:hAnsi="Times New Roman" w:cs="Times New Roman"/>
          <w:lang w:val="en-US"/>
        </w:rPr>
        <w:t xml:space="preserve"> </w:t>
      </w:r>
    </w:p>
    <w:p w14:paraId="3D1451F7" w14:textId="77777777" w:rsidR="007A576B" w:rsidRPr="004E083F" w:rsidRDefault="007A576B" w:rsidP="007A576B">
      <w:pPr>
        <w:spacing w:beforeLines="100" w:before="240" w:afterLines="100" w:after="240" w:line="360" w:lineRule="auto"/>
        <w:jc w:val="both"/>
        <w:rPr>
          <w:rFonts w:ascii="Times New Roman" w:eastAsia="Calibri" w:hAnsi="Times New Roman" w:cs="Times New Roman"/>
          <w:lang w:val="en-US"/>
        </w:rPr>
      </w:pPr>
      <w:r w:rsidRPr="004E083F">
        <w:rPr>
          <w:rFonts w:ascii="Times New Roman" w:eastAsia="Calibri" w:hAnsi="Times New Roman" w:cs="Times New Roman"/>
          <w:lang w:val="en-US"/>
        </w:rPr>
        <w:t>At different rotation rates, the limiting current for oxygen reduction behaves according to the Koutecky-Levich equation</w:t>
      </w:r>
      <w:r w:rsidRPr="004E083F">
        <w:rPr>
          <w:rFonts w:ascii="Times New Roman" w:eastAsia="Calibri" w:hAnsi="Times New Roman" w:cs="Times New Roman"/>
          <w:lang w:val="en-US"/>
        </w:rPr>
        <w:fldChar w:fldCharType="begin"/>
      </w:r>
      <w:r w:rsidRPr="004E083F">
        <w:rPr>
          <w:rFonts w:ascii="Times New Roman" w:eastAsia="Calibri" w:hAnsi="Times New Roman" w:cs="Times New Roman"/>
          <w:lang w:val="en-US"/>
        </w:rPr>
        <w:instrText xml:space="preserve"> ADDIN EN.CITE &lt;EndNote&gt;&lt;Cite&gt;&lt;Author&gt;Bard&lt;/Author&gt;&lt;Year&gt;1980&lt;/Year&gt;&lt;RecNum&gt;167&lt;/RecNum&gt;&lt;DisplayText&gt;&lt;style face="superscript"&gt;6&lt;/style&gt;&lt;/DisplayText&gt;&lt;record&gt;&lt;rec-number&gt;167&lt;/rec-number&gt;&lt;foreign-keys&gt;&lt;key app="EN" db-id="0dzwsrr97fdxxges9pfvwvekdzt9w2zdswef" timestamp="1537458586"&gt;167&lt;/key&gt;&lt;/foreign-keys&gt;&lt;ref-type name="Book"&gt;6&lt;/ref-type&gt;&lt;contributors&gt;&lt;authors&gt;&lt;author&gt;Bard, Allen J&lt;/author&gt;&lt;author&gt;Faulkner, Larry R&lt;/author&gt;&lt;author&gt;Leddy, Johna&lt;/author&gt;&lt;author&gt;Zoski, Cynthia G&lt;/author&gt;&lt;/authors&gt;&lt;/contributors&gt;&lt;titles&gt;&lt;title&gt;Electrochemical methods: fundamentals and applications&lt;/title&gt;&lt;/titles&gt;&lt;volume&gt;2&lt;/volume&gt;&lt;dates&gt;&lt;year&gt;1980&lt;/year&gt;&lt;/dates&gt;&lt;publisher&gt;wiley New York&lt;/publisher&gt;&lt;urls&gt;&lt;/urls&gt;&lt;/record&gt;&lt;/Cite&gt;&lt;/EndNote&gt;</w:instrText>
      </w:r>
      <w:r w:rsidRPr="004E083F">
        <w:rPr>
          <w:rFonts w:ascii="Times New Roman" w:eastAsia="Calibri" w:hAnsi="Times New Roman" w:cs="Times New Roman"/>
          <w:lang w:val="en-US"/>
        </w:rPr>
        <w:fldChar w:fldCharType="separate"/>
      </w:r>
      <w:r w:rsidRPr="004E083F">
        <w:rPr>
          <w:rFonts w:ascii="Times New Roman" w:eastAsia="Calibri" w:hAnsi="Times New Roman" w:cs="Times New Roman"/>
          <w:noProof/>
          <w:vertAlign w:val="superscript"/>
          <w:lang w:val="en-US"/>
        </w:rPr>
        <w:t>6</w:t>
      </w:r>
      <w:r w:rsidRPr="004E083F">
        <w:rPr>
          <w:rFonts w:ascii="Times New Roman" w:eastAsia="Calibri" w:hAnsi="Times New Roman" w:cs="Times New Roman"/>
          <w:lang w:val="en-US"/>
        </w:rPr>
        <w:fldChar w:fldCharType="end"/>
      </w:r>
      <w:r w:rsidRPr="004E083F">
        <w:rPr>
          <w:rFonts w:ascii="Times New Roman" w:eastAsia="Calibri" w:hAnsi="Times New Roman" w:cs="Times New Roman"/>
          <w:lang w:val="en-US"/>
        </w:rPr>
        <w:t>:</w:t>
      </w:r>
    </w:p>
    <w:p w14:paraId="4F994FAA" w14:textId="77777777" w:rsidR="007A576B" w:rsidRPr="004E083F" w:rsidRDefault="004E083F" w:rsidP="007A576B">
      <w:pPr>
        <w:spacing w:beforeLines="100" w:before="240" w:afterLines="100" w:after="240" w:line="360" w:lineRule="auto"/>
        <w:jc w:val="both"/>
        <w:rPr>
          <w:rFonts w:ascii="Times New Roman" w:eastAsia="Calibri" w:hAnsi="Times New Roman" w:cs="Times New Roman"/>
          <w:lang w:val="en-US"/>
        </w:rPr>
      </w:pPr>
      <m:oMath>
        <m:f>
          <m:fPr>
            <m:ctrlPr>
              <w:rPr>
                <w:rFonts w:ascii="Cambria Math" w:eastAsia="Calibri" w:hAnsi="Cambria Math" w:cs="Times New Roman"/>
                <w:i/>
                <w:lang w:val="en-US"/>
              </w:rPr>
            </m:ctrlPr>
          </m:fPr>
          <m:num>
            <m:r>
              <w:rPr>
                <w:rFonts w:ascii="Cambria Math" w:eastAsia="Calibri" w:hAnsi="Cambria Math" w:cs="Times New Roman"/>
                <w:lang w:val="en-US"/>
              </w:rPr>
              <m:t>1</m:t>
            </m:r>
          </m:num>
          <m:den>
            <m:r>
              <w:rPr>
                <w:rFonts w:ascii="Cambria Math" w:eastAsia="Calibri" w:hAnsi="Cambria Math" w:cs="Times New Roman"/>
                <w:lang w:val="en-US"/>
              </w:rPr>
              <m:t>I</m:t>
            </m:r>
          </m:den>
        </m:f>
        <m:r>
          <w:rPr>
            <w:rFonts w:ascii="Cambria Math" w:eastAsia="Calibri" w:hAnsi="Cambria Math" w:cs="Times New Roman"/>
            <w:lang w:val="en-US"/>
          </w:rPr>
          <m:t>=</m:t>
        </m:r>
        <m:f>
          <m:fPr>
            <m:ctrlPr>
              <w:rPr>
                <w:rFonts w:ascii="Cambria Math" w:eastAsia="Calibri" w:hAnsi="Cambria Math" w:cs="Times New Roman"/>
                <w:i/>
                <w:lang w:val="en-US"/>
              </w:rPr>
            </m:ctrlPr>
          </m:fPr>
          <m:num>
            <m:r>
              <w:rPr>
                <w:rFonts w:ascii="Cambria Math" w:eastAsia="Calibri" w:hAnsi="Cambria Math" w:cs="Times New Roman"/>
                <w:lang w:val="en-US"/>
              </w:rPr>
              <m:t>1</m:t>
            </m:r>
          </m:num>
          <m:den>
            <m:sSub>
              <m:sSubPr>
                <m:ctrlPr>
                  <w:rPr>
                    <w:rFonts w:ascii="Cambria Math" w:eastAsia="Calibri" w:hAnsi="Cambria Math" w:cs="Times New Roman"/>
                    <w:i/>
                    <w:lang w:val="en-US"/>
                  </w:rPr>
                </m:ctrlPr>
              </m:sSubPr>
              <m:e>
                <m:r>
                  <w:rPr>
                    <w:rFonts w:ascii="Cambria Math" w:eastAsia="Calibri" w:hAnsi="Cambria Math" w:cs="Times New Roman"/>
                    <w:lang w:val="en-US"/>
                  </w:rPr>
                  <m:t>I</m:t>
                </m:r>
              </m:e>
              <m:sub>
                <m:r>
                  <m:rPr>
                    <m:sty m:val="p"/>
                  </m:rPr>
                  <w:rPr>
                    <w:rFonts w:ascii="Cambria Math" w:eastAsia="Calibri" w:hAnsi="Cambria Math" w:cs="Times New Roman"/>
                    <w:lang w:val="en-US"/>
                  </w:rPr>
                  <m:t>K</m:t>
                </m:r>
              </m:sub>
            </m:sSub>
          </m:den>
        </m:f>
        <m:r>
          <w:rPr>
            <w:rFonts w:ascii="Cambria Math" w:eastAsia="Calibri" w:hAnsi="Cambria Math" w:cs="Times New Roman"/>
            <w:lang w:val="en-US"/>
          </w:rPr>
          <m:t>+</m:t>
        </m:r>
        <m:f>
          <m:fPr>
            <m:ctrlPr>
              <w:rPr>
                <w:rFonts w:ascii="Cambria Math" w:eastAsia="Calibri" w:hAnsi="Cambria Math" w:cs="Times New Roman"/>
                <w:i/>
                <w:lang w:val="en-US"/>
              </w:rPr>
            </m:ctrlPr>
          </m:fPr>
          <m:num>
            <m:r>
              <w:rPr>
                <w:rFonts w:ascii="Cambria Math" w:eastAsia="Calibri" w:hAnsi="Cambria Math" w:cs="Times New Roman"/>
                <w:lang w:val="en-US"/>
              </w:rPr>
              <m:t>1</m:t>
            </m:r>
          </m:num>
          <m:den>
            <m:sSub>
              <m:sSubPr>
                <m:ctrlPr>
                  <w:rPr>
                    <w:rFonts w:ascii="Cambria Math" w:eastAsia="Calibri" w:hAnsi="Cambria Math" w:cs="Times New Roman"/>
                    <w:i/>
                    <w:lang w:val="en-US"/>
                  </w:rPr>
                </m:ctrlPr>
              </m:sSubPr>
              <m:e>
                <m:r>
                  <w:rPr>
                    <w:rFonts w:ascii="Cambria Math" w:eastAsia="Calibri" w:hAnsi="Cambria Math" w:cs="Times New Roman"/>
                    <w:lang w:val="en-US"/>
                  </w:rPr>
                  <m:t>I</m:t>
                </m:r>
              </m:e>
              <m:sub>
                <m:r>
                  <m:rPr>
                    <m:sty m:val="p"/>
                  </m:rPr>
                  <w:rPr>
                    <w:rFonts w:ascii="Cambria Math" w:eastAsia="Calibri" w:hAnsi="Cambria Math" w:cs="Times New Roman"/>
                    <w:lang w:val="en-US"/>
                  </w:rPr>
                  <m:t>L</m:t>
                </m:r>
              </m:sub>
            </m:sSub>
          </m:den>
        </m:f>
      </m:oMath>
      <w:r w:rsidR="007A576B" w:rsidRPr="004E083F">
        <w:rPr>
          <w:rFonts w:ascii="Times New Roman" w:eastAsia="Calibri" w:hAnsi="Times New Roman" w:cs="Times New Roman"/>
          <w:lang w:val="en-US"/>
        </w:rPr>
        <w:t xml:space="preserve">                                  (1)</w:t>
      </w:r>
    </w:p>
    <w:p w14:paraId="47920BEB" w14:textId="77777777" w:rsidR="007A576B" w:rsidRPr="004E083F" w:rsidRDefault="007A576B" w:rsidP="007A576B">
      <w:pPr>
        <w:spacing w:line="360" w:lineRule="auto"/>
        <w:jc w:val="both"/>
        <w:rPr>
          <w:rFonts w:ascii="Times New Roman" w:eastAsia="Calibri" w:hAnsi="Times New Roman" w:cs="Times New Roman"/>
          <w:lang w:val="en-US"/>
        </w:rPr>
      </w:pPr>
      <w:r w:rsidRPr="004E083F">
        <w:rPr>
          <w:rFonts w:ascii="Times New Roman" w:eastAsia="Calibri" w:hAnsi="Times New Roman" w:cs="Times New Roman"/>
          <w:lang w:val="en-US"/>
        </w:rPr>
        <w:t xml:space="preserve">where </w:t>
      </w:r>
      <m:oMath>
        <m:r>
          <w:rPr>
            <w:rFonts w:ascii="Cambria Math" w:eastAsia="Calibri" w:hAnsi="Cambria Math" w:cs="Times New Roman"/>
            <w:lang w:val="en-US"/>
          </w:rPr>
          <m:t>I</m:t>
        </m:r>
      </m:oMath>
      <w:r w:rsidRPr="004E083F">
        <w:rPr>
          <w:rFonts w:ascii="Times New Roman" w:eastAsia="Calibri" w:hAnsi="Times New Roman" w:cs="Times New Roman"/>
          <w:lang w:val="en-US"/>
        </w:rPr>
        <w:t xml:space="preserve"> is the observed current, </w:t>
      </w:r>
      <m:oMath>
        <m:sSub>
          <m:sSubPr>
            <m:ctrlPr>
              <w:rPr>
                <w:rFonts w:ascii="Cambria Math" w:eastAsia="Calibri" w:hAnsi="Cambria Math" w:cs="Times New Roman"/>
                <w:i/>
                <w:lang w:val="en-US"/>
              </w:rPr>
            </m:ctrlPr>
          </m:sSubPr>
          <m:e>
            <m:r>
              <w:rPr>
                <w:rFonts w:ascii="Cambria Math" w:eastAsia="Calibri" w:hAnsi="Cambria Math" w:cs="Times New Roman"/>
                <w:lang w:val="en-US"/>
              </w:rPr>
              <m:t>I</m:t>
            </m:r>
          </m:e>
          <m:sub>
            <m:r>
              <m:rPr>
                <m:sty m:val="p"/>
              </m:rPr>
              <w:rPr>
                <w:rFonts w:ascii="Cambria Math" w:eastAsia="Calibri" w:hAnsi="Cambria Math" w:cs="Times New Roman"/>
                <w:lang w:val="en-US"/>
              </w:rPr>
              <m:t>K</m:t>
            </m:r>
          </m:sub>
        </m:sSub>
      </m:oMath>
      <w:r w:rsidRPr="004E083F">
        <w:rPr>
          <w:rFonts w:ascii="Times New Roman" w:eastAsia="Calibri" w:hAnsi="Times New Roman" w:cs="Times New Roman"/>
          <w:lang w:val="en-US"/>
        </w:rPr>
        <w:t xml:space="preserve"> is the kinetic current that can be observed when the mass transport rate to the electrode is much greater than the reaction rate, </w:t>
      </w:r>
      <m:oMath>
        <m:sSub>
          <m:sSubPr>
            <m:ctrlPr>
              <w:rPr>
                <w:rFonts w:ascii="Cambria Math" w:eastAsia="Calibri" w:hAnsi="Cambria Math" w:cs="Times New Roman"/>
                <w:i/>
                <w:lang w:val="en-US"/>
              </w:rPr>
            </m:ctrlPr>
          </m:sSubPr>
          <m:e>
            <m:r>
              <w:rPr>
                <w:rFonts w:ascii="Cambria Math" w:eastAsia="Calibri" w:hAnsi="Cambria Math" w:cs="Times New Roman"/>
                <w:lang w:val="en-US"/>
              </w:rPr>
              <m:t>I</m:t>
            </m:r>
          </m:e>
          <m:sub>
            <m:r>
              <m:rPr>
                <m:sty m:val="p"/>
              </m:rPr>
              <w:rPr>
                <w:rFonts w:ascii="Cambria Math" w:eastAsia="Calibri" w:hAnsi="Cambria Math" w:cs="Times New Roman"/>
                <w:lang w:val="en-US"/>
              </w:rPr>
              <m:t>L</m:t>
            </m:r>
          </m:sub>
        </m:sSub>
      </m:oMath>
      <w:r w:rsidRPr="004E083F">
        <w:rPr>
          <w:rFonts w:ascii="Times New Roman" w:eastAsia="Calibri" w:hAnsi="Times New Roman" w:cs="Times New Roman"/>
          <w:lang w:val="en-US"/>
        </w:rPr>
        <w:t xml:space="preserve"> is the diffusion limited current that can be obtained when the reaction rates is much larger than the mass transport rate. The diffusion-limited current can be described by the Levich equation:</w:t>
      </w:r>
    </w:p>
    <w:p w14:paraId="48E00412" w14:textId="77777777" w:rsidR="007A576B" w:rsidRPr="004E083F" w:rsidRDefault="004E083F" w:rsidP="007A576B">
      <w:pPr>
        <w:spacing w:line="360" w:lineRule="auto"/>
        <w:rPr>
          <w:rFonts w:ascii="Times New Roman" w:eastAsia="Calibri" w:hAnsi="Times New Roman"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I</m:t>
            </m:r>
          </m:e>
          <m:sub>
            <m:r>
              <m:rPr>
                <m:sty m:val="p"/>
              </m:rPr>
              <w:rPr>
                <w:rFonts w:ascii="Cambria Math" w:eastAsia="Calibri" w:hAnsi="Cambria Math" w:cs="Times New Roman"/>
                <w:lang w:val="en-US"/>
              </w:rPr>
              <m:t>L</m:t>
            </m:r>
          </m:sub>
        </m:sSub>
        <m:r>
          <w:rPr>
            <w:rFonts w:ascii="Cambria Math" w:eastAsia="Calibri" w:hAnsi="Cambria Math" w:cs="Times New Roman"/>
            <w:lang w:val="en-US"/>
          </w:rPr>
          <m:t>=0.62nFA</m:t>
        </m:r>
        <m:sSubSup>
          <m:sSubSupPr>
            <m:ctrlPr>
              <w:rPr>
                <w:rFonts w:ascii="Cambria Math" w:eastAsia="Calibri" w:hAnsi="Cambria Math" w:cs="Times New Roman"/>
                <w:i/>
                <w:lang w:val="en-US"/>
              </w:rPr>
            </m:ctrlPr>
          </m:sSubSupPr>
          <m:e>
            <m:r>
              <w:rPr>
                <w:rFonts w:ascii="Cambria Math" w:eastAsia="Calibri" w:hAnsi="Cambria Math" w:cs="Times New Roman"/>
                <w:lang w:val="en-US"/>
              </w:rPr>
              <m:t>D</m:t>
            </m:r>
          </m:e>
          <m:sub>
            <m:r>
              <w:rPr>
                <w:rFonts w:ascii="Cambria Math" w:eastAsia="Calibri" w:hAnsi="Cambria Math" w:cs="Times New Roman"/>
                <w:lang w:val="en-US"/>
              </w:rPr>
              <m:t>O</m:t>
            </m:r>
          </m:sub>
          <m:sup>
            <m:f>
              <m:fPr>
                <m:type m:val="lin"/>
                <m:ctrlPr>
                  <w:rPr>
                    <w:rFonts w:ascii="Cambria Math" w:eastAsia="Calibri" w:hAnsi="Cambria Math" w:cs="Times New Roman"/>
                    <w:i/>
                    <w:lang w:val="en-US"/>
                  </w:rPr>
                </m:ctrlPr>
              </m:fPr>
              <m:num>
                <m:r>
                  <w:rPr>
                    <w:rFonts w:ascii="Cambria Math" w:eastAsia="Calibri" w:hAnsi="Cambria Math" w:cs="Times New Roman"/>
                    <w:lang w:val="en-US"/>
                  </w:rPr>
                  <m:t>2</m:t>
                </m:r>
              </m:num>
              <m:den>
                <m:r>
                  <w:rPr>
                    <w:rFonts w:ascii="Cambria Math" w:eastAsia="Calibri" w:hAnsi="Cambria Math" w:cs="Times New Roman"/>
                    <w:lang w:val="en-US"/>
                  </w:rPr>
                  <m:t>3</m:t>
                </m:r>
              </m:den>
            </m:f>
          </m:sup>
        </m:sSubSup>
        <m:sSub>
          <m:sSubPr>
            <m:ctrlPr>
              <w:rPr>
                <w:rFonts w:ascii="Cambria Math" w:eastAsia="Calibri" w:hAnsi="Cambria Math" w:cs="Times New Roman"/>
                <w:i/>
                <w:lang w:val="en-US"/>
              </w:rPr>
            </m:ctrlPr>
          </m:sSubPr>
          <m:e>
            <m:r>
              <w:rPr>
                <w:rFonts w:ascii="Cambria Math" w:eastAsia="Calibri" w:hAnsi="Cambria Math" w:cs="Times New Roman"/>
                <w:lang w:val="en-US"/>
              </w:rPr>
              <m:t>C</m:t>
            </m:r>
          </m:e>
          <m:sub>
            <m:r>
              <w:rPr>
                <w:rFonts w:ascii="Cambria Math" w:eastAsia="Calibri" w:hAnsi="Cambria Math" w:cs="Times New Roman"/>
                <w:lang w:val="en-US"/>
              </w:rPr>
              <m:t>O</m:t>
            </m:r>
          </m:sub>
        </m:sSub>
        <m:sSup>
          <m:sSupPr>
            <m:ctrlPr>
              <w:rPr>
                <w:rFonts w:ascii="Cambria Math" w:eastAsia="Calibri" w:hAnsi="Cambria Math" w:cs="Times New Roman"/>
                <w:i/>
                <w:lang w:val="en-US"/>
              </w:rPr>
            </m:ctrlPr>
          </m:sSupPr>
          <m:e>
            <m:r>
              <w:rPr>
                <w:rFonts w:ascii="Cambria Math" w:eastAsia="Calibri" w:hAnsi="Cambria Math" w:cs="Times New Roman"/>
                <w:lang w:val="en-US"/>
              </w:rPr>
              <m:t>v</m:t>
            </m:r>
          </m:e>
          <m:sup>
            <m:r>
              <w:rPr>
                <w:rFonts w:ascii="Cambria Math" w:eastAsia="Calibri" w:hAnsi="Cambria Math" w:cs="Times New Roman"/>
                <w:lang w:val="en-US"/>
              </w:rPr>
              <m:t>-</m:t>
            </m:r>
            <m:f>
              <m:fPr>
                <m:type m:val="lin"/>
                <m:ctrlPr>
                  <w:rPr>
                    <w:rFonts w:ascii="Cambria Math" w:eastAsia="Calibri" w:hAnsi="Cambria Math" w:cs="Times New Roman"/>
                    <w:i/>
                    <w:lang w:val="en-US"/>
                  </w:rPr>
                </m:ctrlPr>
              </m:fPr>
              <m:num>
                <m:r>
                  <w:rPr>
                    <w:rFonts w:ascii="Cambria Math" w:eastAsia="Calibri" w:hAnsi="Cambria Math" w:cs="Times New Roman"/>
                    <w:lang w:val="en-US"/>
                  </w:rPr>
                  <m:t>1</m:t>
                </m:r>
              </m:num>
              <m:den>
                <m:r>
                  <w:rPr>
                    <w:rFonts w:ascii="Cambria Math" w:eastAsia="Calibri" w:hAnsi="Cambria Math" w:cs="Times New Roman"/>
                    <w:lang w:val="en-US"/>
                  </w:rPr>
                  <m:t>6</m:t>
                </m:r>
              </m:den>
            </m:f>
          </m:sup>
        </m:sSup>
        <m:sSup>
          <m:sSupPr>
            <m:ctrlPr>
              <w:rPr>
                <w:rFonts w:ascii="Cambria Math" w:eastAsia="Calibri" w:hAnsi="Cambria Math" w:cs="Times New Roman"/>
                <w:i/>
                <w:lang w:val="en-US"/>
              </w:rPr>
            </m:ctrlPr>
          </m:sSupPr>
          <m:e>
            <m:r>
              <w:rPr>
                <w:rFonts w:ascii="Cambria Math" w:eastAsia="Calibri" w:hAnsi="Cambria Math" w:cs="Times New Roman"/>
                <w:lang w:val="en-US"/>
              </w:rPr>
              <m:t>ω</m:t>
            </m:r>
          </m:e>
          <m:sup>
            <m:f>
              <m:fPr>
                <m:type m:val="lin"/>
                <m:ctrlPr>
                  <w:rPr>
                    <w:rFonts w:ascii="Cambria Math" w:eastAsia="Calibri" w:hAnsi="Cambria Math" w:cs="Times New Roman"/>
                    <w:i/>
                    <w:lang w:val="en-US"/>
                  </w:rPr>
                </m:ctrlPr>
              </m:fPr>
              <m:num>
                <m:r>
                  <w:rPr>
                    <w:rFonts w:ascii="Cambria Math" w:eastAsia="Calibri" w:hAnsi="Cambria Math" w:cs="Times New Roman"/>
                    <w:lang w:val="en-US"/>
                  </w:rPr>
                  <m:t>1</m:t>
                </m:r>
              </m:num>
              <m:den>
                <m:r>
                  <w:rPr>
                    <w:rFonts w:ascii="Cambria Math" w:eastAsia="Calibri" w:hAnsi="Cambria Math" w:cs="Times New Roman"/>
                    <w:lang w:val="en-US"/>
                  </w:rPr>
                  <m:t>2</m:t>
                </m:r>
              </m:den>
            </m:f>
          </m:sup>
        </m:sSup>
        <m:r>
          <w:rPr>
            <w:rFonts w:ascii="Cambria Math" w:eastAsia="Calibri" w:hAnsi="Cambria Math" w:cs="Times New Roman"/>
            <w:lang w:val="en-US"/>
          </w:rPr>
          <m:t>=BnA</m:t>
        </m:r>
        <m:sSup>
          <m:sSupPr>
            <m:ctrlPr>
              <w:rPr>
                <w:rFonts w:ascii="Cambria Math" w:eastAsia="Calibri" w:hAnsi="Cambria Math" w:cs="Times New Roman"/>
                <w:i/>
                <w:lang w:val="en-US"/>
              </w:rPr>
            </m:ctrlPr>
          </m:sSupPr>
          <m:e>
            <m:r>
              <w:rPr>
                <w:rFonts w:ascii="Cambria Math" w:eastAsia="Calibri" w:hAnsi="Cambria Math" w:cs="Times New Roman"/>
                <w:lang w:val="en-US"/>
              </w:rPr>
              <m:t>ω</m:t>
            </m:r>
          </m:e>
          <m:sup>
            <m:f>
              <m:fPr>
                <m:type m:val="lin"/>
                <m:ctrlPr>
                  <w:rPr>
                    <w:rFonts w:ascii="Cambria Math" w:eastAsia="Calibri" w:hAnsi="Cambria Math" w:cs="Times New Roman"/>
                    <w:i/>
                    <w:lang w:val="en-US"/>
                  </w:rPr>
                </m:ctrlPr>
              </m:fPr>
              <m:num>
                <m:r>
                  <w:rPr>
                    <w:rFonts w:ascii="Cambria Math" w:eastAsia="Calibri" w:hAnsi="Cambria Math" w:cs="Times New Roman"/>
                    <w:lang w:val="en-US"/>
                  </w:rPr>
                  <m:t>1</m:t>
                </m:r>
              </m:num>
              <m:den>
                <m:r>
                  <w:rPr>
                    <w:rFonts w:ascii="Cambria Math" w:eastAsia="Calibri" w:hAnsi="Cambria Math" w:cs="Times New Roman"/>
                    <w:lang w:val="en-US"/>
                  </w:rPr>
                  <m:t>2</m:t>
                </m:r>
              </m:den>
            </m:f>
          </m:sup>
        </m:sSup>
      </m:oMath>
      <w:r w:rsidR="007A576B" w:rsidRPr="004E083F">
        <w:rPr>
          <w:rFonts w:ascii="Times New Roman" w:eastAsia="Calibri" w:hAnsi="Times New Roman" w:cs="Times New Roman"/>
          <w:lang w:val="en-US"/>
        </w:rPr>
        <w:t xml:space="preserve">     (2)</w:t>
      </w:r>
    </w:p>
    <w:p w14:paraId="55090E3D" w14:textId="7CE0EA06" w:rsidR="007A576B" w:rsidRPr="004E083F" w:rsidRDefault="007A576B" w:rsidP="007A576B">
      <w:pPr>
        <w:spacing w:line="360" w:lineRule="auto"/>
        <w:jc w:val="both"/>
        <w:rPr>
          <w:rFonts w:ascii="Times New Roman" w:eastAsia="Calibri" w:hAnsi="Times New Roman" w:cs="Times New Roman"/>
          <w:lang w:val="en-US"/>
        </w:rPr>
      </w:pPr>
      <w:r w:rsidRPr="004E083F">
        <w:rPr>
          <w:rFonts w:ascii="Times New Roman" w:eastAsia="Calibri" w:hAnsi="Times New Roman" w:cs="Times New Roman"/>
          <w:lang w:val="en-US"/>
        </w:rPr>
        <w:t xml:space="preserve">where </w:t>
      </w:r>
      <m:oMath>
        <m:r>
          <w:rPr>
            <w:rFonts w:ascii="Cambria Math" w:eastAsia="Calibri" w:hAnsi="Cambria Math" w:cs="Times New Roman"/>
            <w:lang w:val="en-US"/>
          </w:rPr>
          <m:t>n</m:t>
        </m:r>
      </m:oMath>
      <w:r w:rsidRPr="004E083F">
        <w:rPr>
          <w:rFonts w:ascii="Times New Roman" w:eastAsia="Calibri" w:hAnsi="Times New Roman" w:cs="Times New Roman"/>
          <w:lang w:val="en-US"/>
        </w:rPr>
        <w:t xml:space="preserve"> is the electron transfer number, </w:t>
      </w:r>
      <m:oMath>
        <m:r>
          <w:rPr>
            <w:rFonts w:ascii="Cambria Math" w:eastAsia="Calibri" w:hAnsi="Cambria Math" w:cs="Times New Roman"/>
            <w:lang w:val="en-US"/>
          </w:rPr>
          <m:t>F</m:t>
        </m:r>
      </m:oMath>
      <w:r w:rsidRPr="004E083F">
        <w:rPr>
          <w:rFonts w:ascii="Times New Roman" w:eastAsia="Calibri" w:hAnsi="Times New Roman" w:cs="Times New Roman"/>
          <w:lang w:val="en-US"/>
        </w:rPr>
        <w:t xml:space="preserve"> is the Faraday constant (C mol</w:t>
      </w:r>
      <w:r w:rsidRPr="004E083F">
        <w:rPr>
          <w:rFonts w:ascii="Times New Roman" w:eastAsia="Calibri" w:hAnsi="Times New Roman" w:cs="Times New Roman"/>
          <w:vertAlign w:val="superscript"/>
          <w:lang w:val="en-US"/>
        </w:rPr>
        <w:t>-1</w:t>
      </w:r>
      <w:r w:rsidRPr="004E083F">
        <w:rPr>
          <w:rFonts w:ascii="Times New Roman" w:eastAsia="Calibri" w:hAnsi="Times New Roman" w:cs="Times New Roman"/>
          <w:lang w:val="en-US"/>
        </w:rPr>
        <w:t xml:space="preserve">), </w:t>
      </w:r>
      <m:oMath>
        <m:r>
          <w:rPr>
            <w:rFonts w:ascii="Cambria Math" w:eastAsia="Calibri" w:hAnsi="Cambria Math" w:cs="Times New Roman"/>
            <w:lang w:val="en-US"/>
          </w:rPr>
          <m:t>A</m:t>
        </m:r>
      </m:oMath>
      <w:r w:rsidRPr="004E083F">
        <w:rPr>
          <w:rFonts w:ascii="Times New Roman" w:eastAsia="Calibri" w:hAnsi="Times New Roman" w:cs="Times New Roman"/>
          <w:lang w:val="en-US"/>
        </w:rPr>
        <w:t xml:space="preserve"> is the electrode area (cm</w:t>
      </w:r>
      <w:r w:rsidRPr="004E083F">
        <w:rPr>
          <w:rFonts w:ascii="Times New Roman" w:eastAsia="Calibri" w:hAnsi="Times New Roman" w:cs="Times New Roman"/>
          <w:vertAlign w:val="superscript"/>
          <w:lang w:val="en-US"/>
        </w:rPr>
        <w:t>2</w:t>
      </w:r>
      <w:r w:rsidRPr="004E083F">
        <w:rPr>
          <w:rFonts w:ascii="Times New Roman" w:eastAsia="Calibri" w:hAnsi="Times New Roman" w:cs="Times New Roman"/>
          <w:lang w:val="en-US"/>
        </w:rPr>
        <w:t xml:space="preserve"> ), </w:t>
      </w:r>
      <m:oMath>
        <m:sSub>
          <m:sSubPr>
            <m:ctrlPr>
              <w:rPr>
                <w:rFonts w:ascii="Cambria Math" w:eastAsia="Calibri" w:hAnsi="Cambria Math" w:cs="Times New Roman"/>
                <w:i/>
                <w:lang w:val="en-US"/>
              </w:rPr>
            </m:ctrlPr>
          </m:sSubPr>
          <m:e>
            <m:r>
              <w:rPr>
                <w:rFonts w:ascii="Cambria Math" w:eastAsia="Calibri" w:hAnsi="Cambria Math" w:cs="Times New Roman"/>
                <w:lang w:val="en-US"/>
              </w:rPr>
              <m:t>D</m:t>
            </m:r>
          </m:e>
          <m:sub>
            <m:r>
              <m:rPr>
                <m:sty m:val="p"/>
              </m:rPr>
              <w:rPr>
                <w:rFonts w:ascii="Cambria Math" w:eastAsia="Calibri" w:hAnsi="Cambria Math" w:cs="Times New Roman"/>
                <w:lang w:val="en-US"/>
              </w:rPr>
              <m:t>O</m:t>
            </m:r>
          </m:sub>
        </m:sSub>
      </m:oMath>
      <w:r w:rsidRPr="004E083F">
        <w:rPr>
          <w:rFonts w:ascii="Times New Roman" w:eastAsia="Calibri" w:hAnsi="Times New Roman" w:cs="Times New Roman"/>
          <w:lang w:val="en-US"/>
        </w:rPr>
        <w:t xml:space="preserve"> is the diffusion coefficient of O</w:t>
      </w:r>
      <w:r w:rsidRPr="004E083F">
        <w:rPr>
          <w:rFonts w:ascii="Times New Roman" w:eastAsia="Calibri" w:hAnsi="Times New Roman" w:cs="Times New Roman"/>
          <w:vertAlign w:val="subscript"/>
          <w:lang w:val="en-US"/>
        </w:rPr>
        <w:t>2</w:t>
      </w:r>
      <w:r w:rsidRPr="004E083F">
        <w:rPr>
          <w:rFonts w:ascii="Times New Roman" w:eastAsia="Calibri" w:hAnsi="Times New Roman" w:cs="Times New Roman"/>
          <w:lang w:val="en-US"/>
        </w:rPr>
        <w:t xml:space="preserve"> (cm</w:t>
      </w:r>
      <w:r w:rsidRPr="004E083F">
        <w:rPr>
          <w:rFonts w:ascii="Times New Roman" w:eastAsia="Calibri" w:hAnsi="Times New Roman" w:cs="Times New Roman"/>
          <w:vertAlign w:val="superscript"/>
          <w:lang w:val="en-US"/>
        </w:rPr>
        <w:t>2</w:t>
      </w:r>
      <w:r w:rsidRPr="004E083F">
        <w:rPr>
          <w:rFonts w:ascii="Times New Roman" w:eastAsia="Calibri" w:hAnsi="Times New Roman" w:cs="Times New Roman"/>
          <w:lang w:val="en-US"/>
        </w:rPr>
        <w:t xml:space="preserve"> s</w:t>
      </w:r>
      <w:r w:rsidRPr="004E083F">
        <w:rPr>
          <w:rFonts w:ascii="Times New Roman" w:eastAsia="Calibri" w:hAnsi="Times New Roman" w:cs="Times New Roman"/>
          <w:vertAlign w:val="superscript"/>
          <w:lang w:val="en-US"/>
        </w:rPr>
        <w:t>-1</w:t>
      </w:r>
      <w:r w:rsidRPr="004E083F">
        <w:rPr>
          <w:rFonts w:ascii="Times New Roman" w:eastAsia="Calibri" w:hAnsi="Times New Roman" w:cs="Times New Roman"/>
          <w:lang w:val="en-US"/>
        </w:rPr>
        <w:t xml:space="preserve">), </w:t>
      </w:r>
      <m:oMath>
        <m:sSub>
          <m:sSubPr>
            <m:ctrlPr>
              <w:rPr>
                <w:rFonts w:ascii="Cambria Math" w:eastAsia="Calibri" w:hAnsi="Cambria Math" w:cs="Times New Roman"/>
                <w:i/>
                <w:lang w:val="en-US"/>
              </w:rPr>
            </m:ctrlPr>
          </m:sSubPr>
          <m:e>
            <m:r>
              <w:rPr>
                <w:rFonts w:ascii="Cambria Math" w:eastAsia="Calibri" w:hAnsi="Cambria Math" w:cs="Times New Roman"/>
                <w:lang w:val="en-US"/>
              </w:rPr>
              <m:t>C</m:t>
            </m:r>
          </m:e>
          <m:sub>
            <m:r>
              <m:rPr>
                <m:sty m:val="p"/>
              </m:rPr>
              <w:rPr>
                <w:rFonts w:ascii="Cambria Math" w:eastAsia="Calibri" w:hAnsi="Cambria Math" w:cs="Times New Roman"/>
                <w:lang w:val="en-US"/>
              </w:rPr>
              <m:t>O</m:t>
            </m:r>
          </m:sub>
        </m:sSub>
      </m:oMath>
      <w:r w:rsidRPr="004E083F">
        <w:rPr>
          <w:rFonts w:ascii="Times New Roman" w:eastAsia="Calibri" w:hAnsi="Times New Roman" w:cs="Times New Roman"/>
          <w:lang w:val="en-US"/>
        </w:rPr>
        <w:t xml:space="preserve"> is the concentration of O</w:t>
      </w:r>
      <w:r w:rsidRPr="004E083F">
        <w:rPr>
          <w:rFonts w:ascii="Times New Roman" w:eastAsia="Calibri" w:hAnsi="Times New Roman" w:cs="Times New Roman"/>
          <w:vertAlign w:val="subscript"/>
          <w:lang w:val="en-US"/>
        </w:rPr>
        <w:t>2</w:t>
      </w:r>
      <w:r w:rsidRPr="004E083F">
        <w:rPr>
          <w:rFonts w:ascii="Times New Roman" w:eastAsia="Calibri" w:hAnsi="Times New Roman" w:cs="Times New Roman"/>
          <w:lang w:val="en-US"/>
        </w:rPr>
        <w:t xml:space="preserve"> in the electrolyte, </w:t>
      </w:r>
      <m:oMath>
        <m:r>
          <w:rPr>
            <w:rFonts w:ascii="Cambria Math" w:eastAsia="Calibri" w:hAnsi="Cambria Math" w:cs="Times New Roman"/>
            <w:lang w:val="en-US"/>
          </w:rPr>
          <m:t>v</m:t>
        </m:r>
      </m:oMath>
      <w:r w:rsidRPr="004E083F">
        <w:rPr>
          <w:rFonts w:ascii="Times New Roman" w:eastAsia="Calibri" w:hAnsi="Times New Roman" w:cs="Times New Roman"/>
          <w:lang w:val="en-US"/>
        </w:rPr>
        <w:t xml:space="preserve"> is the kinematic viscosity (cm</w:t>
      </w:r>
      <w:r w:rsidRPr="004E083F">
        <w:rPr>
          <w:rFonts w:ascii="Times New Roman" w:eastAsia="Calibri" w:hAnsi="Times New Roman" w:cs="Times New Roman"/>
          <w:vertAlign w:val="superscript"/>
          <w:lang w:val="en-US"/>
        </w:rPr>
        <w:t>2</w:t>
      </w:r>
      <w:r w:rsidRPr="004E083F">
        <w:rPr>
          <w:rFonts w:ascii="Times New Roman" w:eastAsia="Calibri" w:hAnsi="Times New Roman" w:cs="Times New Roman"/>
          <w:lang w:val="en-US"/>
        </w:rPr>
        <w:t xml:space="preserve"> s</w:t>
      </w:r>
      <w:r w:rsidRPr="004E083F">
        <w:rPr>
          <w:rFonts w:ascii="Times New Roman" w:eastAsia="Calibri" w:hAnsi="Times New Roman" w:cs="Times New Roman"/>
          <w:vertAlign w:val="superscript"/>
          <w:lang w:val="en-US"/>
        </w:rPr>
        <w:t>-1</w:t>
      </w:r>
      <w:r w:rsidRPr="004E083F">
        <w:rPr>
          <w:rFonts w:ascii="Times New Roman" w:eastAsia="Calibri" w:hAnsi="Times New Roman" w:cs="Times New Roman"/>
          <w:lang w:val="en-US"/>
        </w:rPr>
        <w:t xml:space="preserve">) and </w:t>
      </w:r>
      <m:oMath>
        <m:r>
          <w:rPr>
            <w:rFonts w:ascii="Cambria Math" w:eastAsia="Calibri" w:hAnsi="Cambria Math" w:cs="Times New Roman"/>
          </w:rPr>
          <m:t>ω</m:t>
        </m:r>
      </m:oMath>
      <w:r w:rsidRPr="004E083F">
        <w:rPr>
          <w:rFonts w:ascii="Times New Roman" w:eastAsia="Calibri" w:hAnsi="Times New Roman" w:cs="Times New Roman"/>
          <w:lang w:val="en-US"/>
        </w:rPr>
        <w:t xml:space="preserve"> the rotation rate (rad s</w:t>
      </w:r>
      <w:r w:rsidRPr="004E083F">
        <w:rPr>
          <w:rFonts w:ascii="Times New Roman" w:eastAsia="Calibri" w:hAnsi="Times New Roman" w:cs="Times New Roman"/>
          <w:vertAlign w:val="superscript"/>
          <w:lang w:val="en-US"/>
        </w:rPr>
        <w:t>-1</w:t>
      </w:r>
      <w:r w:rsidRPr="004E083F">
        <w:rPr>
          <w:rFonts w:ascii="Times New Roman" w:eastAsia="Calibri" w:hAnsi="Times New Roman" w:cs="Times New Roman"/>
          <w:lang w:val="en-US"/>
        </w:rPr>
        <w:t xml:space="preserve">). The equation can be simplified with the Levich constant defined as </w:t>
      </w:r>
      <m:oMath>
        <m:r>
          <w:rPr>
            <w:rFonts w:ascii="Cambria Math" w:eastAsia="Calibri" w:hAnsi="Cambria Math" w:cs="Times New Roman"/>
            <w:lang w:val="en-US"/>
          </w:rPr>
          <m:t>B</m:t>
        </m:r>
      </m:oMath>
      <w:r w:rsidRPr="004E083F">
        <w:rPr>
          <w:rFonts w:ascii="Times New Roman" w:eastAsia="Calibri" w:hAnsi="Times New Roman" w:cs="Times New Roman"/>
          <w:lang w:val="en-US"/>
        </w:rPr>
        <w:t xml:space="preserve">. By performing rotating ring disk electrode (RRDE) experiments for ORR with a platinum disk electrode (Figure S8), </w:t>
      </w:r>
      <m:oMath>
        <m:r>
          <w:rPr>
            <w:rFonts w:ascii="Cambria Math" w:eastAsia="Calibri" w:hAnsi="Cambria Math" w:cs="Times New Roman"/>
            <w:lang w:val="en-US"/>
          </w:rPr>
          <m:t>B</m:t>
        </m:r>
      </m:oMath>
      <w:r w:rsidRPr="004E083F">
        <w:rPr>
          <w:rFonts w:ascii="Times New Roman" w:eastAsia="Calibri" w:hAnsi="Times New Roman" w:cs="Times New Roman"/>
          <w:lang w:val="en-US"/>
        </w:rPr>
        <w:t xml:space="preserve"> can be calculated using the slope of the Koutecky-Levich plot (as platinum is known to be a 4-electron dioxygen reduction catalyst):</w:t>
      </w:r>
    </w:p>
    <w:p w14:paraId="577422FC" w14:textId="77777777" w:rsidR="007A576B" w:rsidRPr="004E083F" w:rsidRDefault="007A576B" w:rsidP="007A576B">
      <w:pPr>
        <w:spacing w:line="360" w:lineRule="auto"/>
        <w:jc w:val="both"/>
        <w:rPr>
          <w:rFonts w:ascii="Times New Roman" w:eastAsia="Calibri" w:hAnsi="Times New Roman" w:cs="Times New Roman"/>
          <w:lang w:val="en-US"/>
        </w:rPr>
      </w:pPr>
      <m:oMath>
        <m:r>
          <w:rPr>
            <w:rFonts w:ascii="Cambria Math" w:eastAsia="Calibri" w:hAnsi="Cambria Math" w:cs="Times New Roman"/>
            <w:lang w:val="en-US"/>
          </w:rPr>
          <m:t>slope=</m:t>
        </m:r>
        <m:f>
          <m:fPr>
            <m:ctrlPr>
              <w:rPr>
                <w:rFonts w:ascii="Cambria Math" w:eastAsia="Calibri" w:hAnsi="Cambria Math" w:cs="Times New Roman"/>
                <w:i/>
                <w:lang w:val="en-US"/>
              </w:rPr>
            </m:ctrlPr>
          </m:fPr>
          <m:num>
            <m:r>
              <w:rPr>
                <w:rFonts w:ascii="Cambria Math" w:eastAsia="Calibri" w:hAnsi="Cambria Math" w:cs="Times New Roman"/>
                <w:lang w:val="en-US"/>
              </w:rPr>
              <m:t>1</m:t>
            </m:r>
          </m:num>
          <m:den>
            <m:r>
              <w:rPr>
                <w:rFonts w:ascii="Cambria Math" w:eastAsia="Calibri" w:hAnsi="Cambria Math" w:cs="Times New Roman"/>
                <w:lang w:val="en-US"/>
              </w:rPr>
              <m:t>BnA</m:t>
            </m:r>
          </m:den>
        </m:f>
      </m:oMath>
      <w:r w:rsidRPr="004E083F">
        <w:rPr>
          <w:rFonts w:ascii="Times New Roman" w:eastAsia="Calibri" w:hAnsi="Times New Roman" w:cs="Times New Roman"/>
          <w:lang w:val="en-US"/>
        </w:rPr>
        <w:t xml:space="preserve">                                (3)</w:t>
      </w:r>
    </w:p>
    <w:p w14:paraId="1D6EFBCF" w14:textId="1039B924" w:rsidR="007A576B" w:rsidRPr="004E083F" w:rsidRDefault="007A576B" w:rsidP="007A576B">
      <w:pPr>
        <w:spacing w:line="360" w:lineRule="auto"/>
        <w:jc w:val="both"/>
        <w:rPr>
          <w:rFonts w:ascii="Times New Roman" w:eastAsia="Calibri" w:hAnsi="Times New Roman" w:cs="Times New Roman"/>
          <w:lang w:val="en-US"/>
        </w:rPr>
      </w:pPr>
      <w:r w:rsidRPr="004E083F">
        <w:rPr>
          <w:rFonts w:ascii="Times New Roman" w:hAnsi="Times New Roman" w:cs="Times New Roman"/>
          <w:lang w:val="en-US"/>
        </w:rPr>
        <w:lastRenderedPageBreak/>
        <w:t xml:space="preserve">The Koutecky-Levich plots in Figure </w:t>
      </w:r>
      <w:r w:rsidR="00653921" w:rsidRPr="004E083F">
        <w:rPr>
          <w:rFonts w:ascii="Times New Roman" w:hAnsi="Times New Roman" w:cs="Times New Roman"/>
          <w:lang w:val="en-US"/>
        </w:rPr>
        <w:t>3g and the K-L intercept</w:t>
      </w:r>
      <w:r w:rsidR="00E43E0C" w:rsidRPr="004E083F">
        <w:rPr>
          <w:rFonts w:ascii="Times New Roman" w:hAnsi="Times New Roman" w:cs="Times New Roman"/>
          <w:lang w:val="en-US"/>
        </w:rPr>
        <w:t>s</w:t>
      </w:r>
      <w:r w:rsidR="00653921" w:rsidRPr="004E083F">
        <w:rPr>
          <w:rFonts w:ascii="Times New Roman" w:hAnsi="Times New Roman" w:cs="Times New Roman"/>
          <w:lang w:val="en-US"/>
        </w:rPr>
        <w:t xml:space="preserve"> in Figure 3i</w:t>
      </w:r>
      <w:r w:rsidR="00E43E0C" w:rsidRPr="004E083F">
        <w:rPr>
          <w:rFonts w:ascii="Times New Roman" w:hAnsi="Times New Roman" w:cs="Times New Roman"/>
          <w:lang w:val="en-US"/>
        </w:rPr>
        <w:t xml:space="preserve"> compare</w:t>
      </w:r>
      <w:r w:rsidRPr="004E083F">
        <w:rPr>
          <w:rFonts w:ascii="Times New Roman" w:hAnsi="Times New Roman" w:cs="Times New Roman"/>
          <w:lang w:val="en-US"/>
        </w:rPr>
        <w:t xml:space="preserve"> the activities for different graphene </w:t>
      </w:r>
      <w:r w:rsidR="00653921" w:rsidRPr="004E083F">
        <w:rPr>
          <w:rFonts w:ascii="Times New Roman" w:hAnsi="Times New Roman" w:cs="Times New Roman"/>
          <w:lang w:val="en-US"/>
        </w:rPr>
        <w:t xml:space="preserve">samples </w:t>
      </w:r>
      <w:r w:rsidRPr="004E083F">
        <w:rPr>
          <w:rFonts w:ascii="Times New Roman" w:hAnsi="Times New Roman" w:cs="Times New Roman"/>
          <w:lang w:val="en-US"/>
        </w:rPr>
        <w:t xml:space="preserve">using the intersection at the axis of </w:t>
      </w:r>
      <m:oMath>
        <m:f>
          <m:fPr>
            <m:type m:val="lin"/>
            <m:ctrlPr>
              <w:rPr>
                <w:rFonts w:ascii="Cambria Math" w:hAnsi="Cambria Math" w:cs="Times New Roman"/>
                <w:i/>
                <w:lang w:val="en-US"/>
              </w:rPr>
            </m:ctrlPr>
          </m:fPr>
          <m:num>
            <m:r>
              <w:rPr>
                <w:rFonts w:ascii="Cambria Math" w:hAnsi="Cambria Math" w:cs="Times New Roman"/>
                <w:lang w:val="en-US"/>
              </w:rPr>
              <m:t>1</m:t>
            </m:r>
          </m:num>
          <m:den>
            <m:sSub>
              <m:sSubPr>
                <m:ctrlPr>
                  <w:rPr>
                    <w:rFonts w:ascii="Cambria Math" w:hAnsi="Cambria Math" w:cs="Times New Roman"/>
                    <w:i/>
                    <w:lang w:val="en-US"/>
                  </w:rPr>
                </m:ctrlPr>
              </m:sSubPr>
              <m:e>
                <m:r>
                  <w:rPr>
                    <w:rFonts w:ascii="Cambria Math" w:hAnsi="Cambria Math" w:cs="Times New Roman"/>
                    <w:lang w:val="en-US"/>
                  </w:rPr>
                  <m:t>I</m:t>
                </m:r>
              </m:e>
              <m:sub>
                <m:r>
                  <m:rPr>
                    <m:sty m:val="p"/>
                  </m:rPr>
                  <w:rPr>
                    <w:rFonts w:ascii="Cambria Math" w:hAnsi="Cambria Math" w:cs="Times New Roman"/>
                    <w:lang w:val="en-US"/>
                  </w:rPr>
                  <m:t>disk</m:t>
                </m:r>
              </m:sub>
            </m:sSub>
          </m:den>
        </m:f>
      </m:oMath>
      <w:r w:rsidRPr="004E083F">
        <w:rPr>
          <w:rFonts w:ascii="Times New Roman" w:hAnsi="Times New Roman" w:cs="Times New Roman"/>
          <w:lang w:val="en-US"/>
        </w:rPr>
        <w:t>, which corresponds to the kinetics current (</w:t>
      </w:r>
      <m:oMath>
        <m:sSub>
          <m:sSubPr>
            <m:ctrlPr>
              <w:rPr>
                <w:rFonts w:ascii="Cambria Math" w:hAnsi="Cambria Math" w:cs="Times New Roman"/>
                <w:i/>
                <w:lang w:val="en-US"/>
              </w:rPr>
            </m:ctrlPr>
          </m:sSubPr>
          <m:e>
            <m:r>
              <w:rPr>
                <w:rFonts w:ascii="Cambria Math" w:hAnsi="Cambria Math" w:cs="Times New Roman"/>
                <w:lang w:val="en-US"/>
              </w:rPr>
              <m:t>I</m:t>
            </m:r>
          </m:e>
          <m:sub>
            <m:r>
              <m:rPr>
                <m:sty m:val="p"/>
              </m:rPr>
              <w:rPr>
                <w:rFonts w:ascii="Cambria Math" w:hAnsi="Cambria Math" w:cs="Times New Roman"/>
                <w:lang w:val="en-US"/>
              </w:rPr>
              <m:t>K</m:t>
            </m:r>
          </m:sub>
        </m:sSub>
      </m:oMath>
      <w:r w:rsidRPr="004E083F">
        <w:rPr>
          <w:rFonts w:ascii="Times New Roman" w:hAnsi="Times New Roman" w:cs="Times New Roman"/>
          <w:lang w:val="en-US"/>
        </w:rPr>
        <w:t xml:space="preserve">). A higher </w:t>
      </w:r>
      <m:oMath>
        <m:sSub>
          <m:sSubPr>
            <m:ctrlPr>
              <w:rPr>
                <w:rFonts w:ascii="Cambria Math" w:hAnsi="Cambria Math" w:cs="Times New Roman"/>
                <w:i/>
                <w:lang w:val="en-US"/>
              </w:rPr>
            </m:ctrlPr>
          </m:sSubPr>
          <m:e>
            <m:r>
              <w:rPr>
                <w:rFonts w:ascii="Cambria Math" w:hAnsi="Cambria Math" w:cs="Times New Roman"/>
                <w:lang w:val="en-US"/>
              </w:rPr>
              <m:t>I</m:t>
            </m:r>
          </m:e>
          <m:sub>
            <m:r>
              <m:rPr>
                <m:sty m:val="p"/>
              </m:rPr>
              <w:rPr>
                <w:rFonts w:ascii="Cambria Math" w:hAnsi="Cambria Math" w:cs="Times New Roman"/>
                <w:lang w:val="en-US"/>
              </w:rPr>
              <m:t>K</m:t>
            </m:r>
          </m:sub>
        </m:sSub>
      </m:oMath>
      <w:r w:rsidRPr="004E083F">
        <w:rPr>
          <w:rFonts w:ascii="Times New Roman" w:hAnsi="Times New Roman" w:cs="Times New Roman"/>
          <w:lang w:val="en-US"/>
        </w:rPr>
        <w:t xml:space="preserve">, a direct indicator of a higher catalytic activity, will be reflected by a value of the </w:t>
      </w:r>
      <m:oMath>
        <m:f>
          <m:fPr>
            <m:type m:val="lin"/>
            <m:ctrlPr>
              <w:rPr>
                <w:rFonts w:ascii="Cambria Math" w:hAnsi="Cambria Math" w:cs="Times New Roman"/>
                <w:i/>
                <w:lang w:val="en-US"/>
              </w:rPr>
            </m:ctrlPr>
          </m:fPr>
          <m:num>
            <m:r>
              <w:rPr>
                <w:rFonts w:ascii="Cambria Math" w:hAnsi="Cambria Math" w:cs="Times New Roman"/>
                <w:lang w:val="en-US"/>
              </w:rPr>
              <m:t>1</m:t>
            </m:r>
          </m:num>
          <m:den>
            <m:sSub>
              <m:sSubPr>
                <m:ctrlPr>
                  <w:rPr>
                    <w:rFonts w:ascii="Cambria Math" w:hAnsi="Cambria Math" w:cs="Times New Roman"/>
                    <w:i/>
                    <w:lang w:val="en-US"/>
                  </w:rPr>
                </m:ctrlPr>
              </m:sSubPr>
              <m:e>
                <m:r>
                  <w:rPr>
                    <w:rFonts w:ascii="Cambria Math" w:hAnsi="Cambria Math" w:cs="Times New Roman"/>
                    <w:lang w:val="en-US"/>
                  </w:rPr>
                  <m:t>I</m:t>
                </m:r>
              </m:e>
              <m:sub>
                <m:r>
                  <m:rPr>
                    <m:sty m:val="p"/>
                  </m:rPr>
                  <w:rPr>
                    <w:rFonts w:ascii="Cambria Math" w:hAnsi="Cambria Math" w:cs="Times New Roman"/>
                    <w:lang w:val="en-US"/>
                  </w:rPr>
                  <m:t>disk</m:t>
                </m:r>
              </m:sub>
            </m:sSub>
          </m:den>
        </m:f>
      </m:oMath>
      <w:r w:rsidRPr="004E083F">
        <w:rPr>
          <w:rFonts w:ascii="Times New Roman" w:hAnsi="Times New Roman" w:cs="Times New Roman"/>
          <w:lang w:val="en-US"/>
        </w:rPr>
        <w:t xml:space="preserve"> intersection closer to zero. </w:t>
      </w:r>
    </w:p>
    <w:p w14:paraId="45BEFB02" w14:textId="0FEFD94F" w:rsidR="007A576B" w:rsidRPr="004E083F" w:rsidRDefault="007A576B" w:rsidP="007A576B">
      <w:pPr>
        <w:spacing w:afterLines="100" w:after="240" w:line="360" w:lineRule="auto"/>
        <w:jc w:val="both"/>
        <w:rPr>
          <w:rFonts w:ascii="Times New Roman" w:hAnsi="Times New Roman" w:cs="Times New Roman"/>
          <w:lang w:val="en-US"/>
        </w:rPr>
      </w:pPr>
      <w:r w:rsidRPr="004E083F">
        <w:rPr>
          <w:rFonts w:ascii="Times New Roman" w:hAnsi="Times New Roman" w:cs="Times New Roman"/>
          <w:lang w:val="en-US"/>
        </w:rPr>
        <w:t xml:space="preserve">The collection efficiency of rotating disk ring electrode (RRDE) was calculated based on the reversible redox reaction of potassium ferricyanide. In 0.1 M sodium perchlorate purged with argon, 1 mM potassium ferricyanide (III) was reduced at the glassy carbon disk to Fe(II) which can be re-oxidized at the platinum ring. Of note, the reversible hydrogen electrode (RHE) as the reference electrode in the </w:t>
      </w:r>
      <w:proofErr w:type="spellStart"/>
      <w:r w:rsidRPr="004E083F">
        <w:rPr>
          <w:rFonts w:ascii="Times New Roman" w:hAnsi="Times New Roman" w:cs="Times New Roman"/>
          <w:lang w:val="en-US"/>
        </w:rPr>
        <w:t>Luggin</w:t>
      </w:r>
      <w:proofErr w:type="spellEnd"/>
      <w:r w:rsidRPr="004E083F">
        <w:rPr>
          <w:rFonts w:ascii="Times New Roman" w:hAnsi="Times New Roman" w:cs="Times New Roman"/>
          <w:lang w:val="en-US"/>
        </w:rPr>
        <w:t xml:space="preserve"> capillary was only in contact with 0.1 M sodium perchlorate. As illustrated in Figure S</w:t>
      </w:r>
      <w:r w:rsidR="00653921" w:rsidRPr="004E083F">
        <w:rPr>
          <w:rFonts w:ascii="Times New Roman" w:hAnsi="Times New Roman" w:cs="Times New Roman"/>
          <w:lang w:val="en-US"/>
        </w:rPr>
        <w:t>10</w:t>
      </w:r>
      <w:r w:rsidRPr="004E083F">
        <w:rPr>
          <w:rFonts w:ascii="Times New Roman" w:hAnsi="Times New Roman" w:cs="Times New Roman"/>
          <w:lang w:val="en-US"/>
        </w:rPr>
        <w:t xml:space="preserve">, the redox currents were recorded at both the disk and ring at different rotation rates ranging from 400 to </w:t>
      </w:r>
      <w:r w:rsidR="00653921" w:rsidRPr="004E083F">
        <w:rPr>
          <w:rFonts w:ascii="Times New Roman" w:hAnsi="Times New Roman" w:cs="Times New Roman"/>
          <w:lang w:val="en-US"/>
        </w:rPr>
        <w:t>2</w:t>
      </w:r>
      <w:r w:rsidRPr="004E083F">
        <w:rPr>
          <w:rFonts w:ascii="Times New Roman" w:hAnsi="Times New Roman" w:cs="Times New Roman"/>
          <w:lang w:val="en-US"/>
        </w:rPr>
        <w:t>000 rpm. Based on the currents, the collection efficiency ratio of the ring was determined as 22.5%.</w:t>
      </w:r>
    </w:p>
    <w:p w14:paraId="7F7066AA" w14:textId="77777777" w:rsidR="00653921" w:rsidRPr="004E083F" w:rsidRDefault="00653921" w:rsidP="007A576B">
      <w:pPr>
        <w:spacing w:afterLines="100" w:after="240" w:line="360" w:lineRule="auto"/>
        <w:jc w:val="both"/>
        <w:rPr>
          <w:rFonts w:ascii="Times New Roman" w:hAnsi="Times New Roman" w:cs="Times New Roman"/>
          <w:lang w:val="en-US"/>
        </w:rPr>
      </w:pPr>
    </w:p>
    <w:p w14:paraId="4A9547A2" w14:textId="77777777" w:rsidR="007A576B" w:rsidRPr="004E083F" w:rsidRDefault="007A576B" w:rsidP="00843499">
      <w:pPr>
        <w:spacing w:afterLines="100" w:after="240" w:line="360" w:lineRule="auto"/>
        <w:jc w:val="both"/>
        <w:rPr>
          <w:rFonts w:ascii="Times New Roman" w:hAnsi="Times New Roman" w:cs="Times New Roman"/>
          <w:lang w:val="en-US"/>
        </w:rPr>
      </w:pPr>
    </w:p>
    <w:p w14:paraId="05214BA5" w14:textId="77777777" w:rsidR="00537117" w:rsidRPr="004E083F" w:rsidRDefault="00537117" w:rsidP="00537117">
      <w:pPr>
        <w:spacing w:afterLines="100" w:after="240" w:line="360" w:lineRule="auto"/>
        <w:jc w:val="center"/>
        <w:rPr>
          <w:rFonts w:ascii="Times New Roman" w:hAnsi="Times New Roman" w:cs="Times New Roman"/>
          <w:lang w:val="en-US"/>
        </w:rPr>
      </w:pPr>
      <w:r w:rsidRPr="004E083F">
        <w:rPr>
          <w:rFonts w:ascii="Times New Roman" w:hAnsi="Times New Roman" w:cs="Times New Roman"/>
          <w:noProof/>
        </w:rPr>
        <w:drawing>
          <wp:inline distT="0" distB="0" distL="0" distR="0" wp14:anchorId="1882BE3B" wp14:editId="6AC8AF54">
            <wp:extent cx="3481010" cy="252000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81010" cy="2520000"/>
                    </a:xfrm>
                    <a:prstGeom prst="rect">
                      <a:avLst/>
                    </a:prstGeom>
                    <a:noFill/>
                  </pic:spPr>
                </pic:pic>
              </a:graphicData>
            </a:graphic>
          </wp:inline>
        </w:drawing>
      </w:r>
    </w:p>
    <w:p w14:paraId="695FBA80" w14:textId="22F8A947" w:rsidR="00537117" w:rsidRPr="004E083F" w:rsidRDefault="00537117" w:rsidP="00537117">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7</w:t>
      </w:r>
      <w:r w:rsidRPr="004E083F">
        <w:rPr>
          <w:rFonts w:ascii="Times New Roman" w:hAnsi="Times New Roman" w:cs="Times New Roman"/>
          <w:b/>
          <w:lang w:val="en-US"/>
        </w:rPr>
        <w:t xml:space="preserve">. </w:t>
      </w:r>
      <w:r w:rsidRPr="004E083F">
        <w:rPr>
          <w:rFonts w:ascii="Times New Roman" w:hAnsi="Times New Roman" w:cs="Times New Roman"/>
          <w:lang w:val="en-US"/>
        </w:rPr>
        <w:t xml:space="preserve">LSV curves for 60 s nitrogenated </w:t>
      </w:r>
      <w:r w:rsidR="004036DE" w:rsidRPr="004E083F">
        <w:rPr>
          <w:rFonts w:ascii="Times New Roman" w:hAnsi="Times New Roman" w:cs="Times New Roman"/>
          <w:lang w:val="en-US"/>
        </w:rPr>
        <w:t>G@GC (denoted as N60)</w:t>
      </w:r>
      <w:r w:rsidRPr="004E083F">
        <w:rPr>
          <w:rFonts w:ascii="Times New Roman" w:hAnsi="Times New Roman" w:cs="Times New Roman"/>
          <w:lang w:val="en-US"/>
        </w:rPr>
        <w:t xml:space="preserve"> and for the GC disk with full (bare GC) or partial exposure (10% to 50%) in terms of the electrode area. The electrolyte solution is 0.1 M sodium hydroxide saturated with O</w:t>
      </w:r>
      <w:r w:rsidRPr="004E083F">
        <w:rPr>
          <w:rFonts w:ascii="Times New Roman" w:hAnsi="Times New Roman" w:cs="Times New Roman"/>
          <w:vertAlign w:val="subscript"/>
          <w:lang w:val="en-US"/>
        </w:rPr>
        <w:t>2</w:t>
      </w:r>
      <w:r w:rsidRPr="004E083F">
        <w:rPr>
          <w:rFonts w:ascii="Times New Roman" w:hAnsi="Times New Roman" w:cs="Times New Roman"/>
          <w:lang w:val="en-US"/>
        </w:rPr>
        <w:t>.</w:t>
      </w:r>
    </w:p>
    <w:p w14:paraId="77FB5257" w14:textId="7E279C93" w:rsidR="00E3472D" w:rsidRPr="004E083F" w:rsidRDefault="00155E1C" w:rsidP="009C6CCA">
      <w:pPr>
        <w:spacing w:afterLines="100" w:after="240" w:line="240" w:lineRule="auto"/>
        <w:jc w:val="center"/>
        <w:rPr>
          <w:rFonts w:ascii="Times New Roman" w:hAnsi="Times New Roman" w:cs="Times New Roman"/>
          <w:lang w:val="en-US"/>
        </w:rPr>
      </w:pPr>
      <w:r w:rsidRPr="004E083F">
        <w:rPr>
          <w:noProof/>
        </w:rPr>
        <w:lastRenderedPageBreak/>
        <w:drawing>
          <wp:inline distT="0" distB="0" distL="0" distR="0" wp14:anchorId="4C41CAD6" wp14:editId="2788475F">
            <wp:extent cx="3219611" cy="224433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28721" cy="2250682"/>
                    </a:xfrm>
                    <a:prstGeom prst="rect">
                      <a:avLst/>
                    </a:prstGeom>
                    <a:noFill/>
                    <a:ln>
                      <a:noFill/>
                    </a:ln>
                  </pic:spPr>
                </pic:pic>
              </a:graphicData>
            </a:graphic>
          </wp:inline>
        </w:drawing>
      </w:r>
    </w:p>
    <w:p w14:paraId="11D3D801" w14:textId="0D2F71ED" w:rsidR="00E3472D" w:rsidRPr="004E083F" w:rsidRDefault="00E3472D" w:rsidP="00537117">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8</w:t>
      </w:r>
      <w:r w:rsidRPr="004E083F">
        <w:rPr>
          <w:rFonts w:ascii="Times New Roman" w:hAnsi="Times New Roman" w:cs="Times New Roman"/>
          <w:b/>
          <w:lang w:val="en-US"/>
        </w:rPr>
        <w:t xml:space="preserve">. Raman spectra for </w:t>
      </w:r>
      <w:r w:rsidRPr="004E083F">
        <w:rPr>
          <w:rFonts w:ascii="Times New Roman" w:hAnsi="Times New Roman" w:cs="Times New Roman"/>
          <w:lang w:val="en-US"/>
        </w:rPr>
        <w:t>N30, O10</w:t>
      </w:r>
      <w:r w:rsidR="004B1EAB" w:rsidRPr="004E083F">
        <w:rPr>
          <w:rFonts w:ascii="Times New Roman" w:hAnsi="Times New Roman" w:cs="Times New Roman"/>
          <w:lang w:val="en-US"/>
        </w:rPr>
        <w:t xml:space="preserve"> and Ar30</w:t>
      </w:r>
      <w:r w:rsidRPr="004E083F">
        <w:rPr>
          <w:rFonts w:ascii="Times New Roman" w:hAnsi="Times New Roman" w:cs="Times New Roman"/>
          <w:lang w:val="en-US"/>
        </w:rPr>
        <w:t xml:space="preserve"> with comparable defect densities.</w:t>
      </w:r>
    </w:p>
    <w:p w14:paraId="1059CC89" w14:textId="0C47C769" w:rsidR="00E3472D" w:rsidRPr="004E083F" w:rsidRDefault="00E3472D" w:rsidP="00537117">
      <w:pPr>
        <w:spacing w:afterLines="100" w:after="240" w:line="240" w:lineRule="auto"/>
        <w:jc w:val="both"/>
        <w:rPr>
          <w:rFonts w:ascii="Times New Roman" w:hAnsi="Times New Roman" w:cs="Times New Roman"/>
          <w:lang w:val="en-US"/>
        </w:rPr>
      </w:pPr>
    </w:p>
    <w:p w14:paraId="38B9BD3E" w14:textId="78EA1907" w:rsidR="00E3472D" w:rsidRPr="004E083F" w:rsidRDefault="00D900F1" w:rsidP="00537117">
      <w:pPr>
        <w:spacing w:afterLines="100" w:after="240" w:line="240" w:lineRule="auto"/>
        <w:jc w:val="both"/>
        <w:rPr>
          <w:rFonts w:ascii="Times New Roman" w:hAnsi="Times New Roman" w:cs="Times New Roman"/>
          <w:lang w:val="en-US"/>
        </w:rPr>
      </w:pPr>
      <w:r w:rsidRPr="004E083F">
        <w:rPr>
          <w:rFonts w:ascii="Times New Roman" w:hAnsi="Times New Roman" w:cs="Times New Roman"/>
          <w:noProof/>
        </w:rPr>
        <w:lastRenderedPageBreak/>
        <w:drawing>
          <wp:inline distT="0" distB="0" distL="0" distR="0" wp14:anchorId="0AC36D4D" wp14:editId="2DECAB4B">
            <wp:extent cx="5366380" cy="7200000"/>
            <wp:effectExtent l="0" t="0" r="635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66380" cy="7200000"/>
                    </a:xfrm>
                    <a:prstGeom prst="rect">
                      <a:avLst/>
                    </a:prstGeom>
                    <a:noFill/>
                  </pic:spPr>
                </pic:pic>
              </a:graphicData>
            </a:graphic>
          </wp:inline>
        </w:drawing>
      </w:r>
    </w:p>
    <w:p w14:paraId="65756319" w14:textId="214D3A80" w:rsidR="004B2E3B" w:rsidRPr="004E083F" w:rsidRDefault="00E3472D" w:rsidP="00282533">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9</w:t>
      </w:r>
      <w:r w:rsidRPr="004E083F">
        <w:rPr>
          <w:rFonts w:ascii="Times New Roman" w:hAnsi="Times New Roman" w:cs="Times New Roman"/>
          <w:b/>
          <w:lang w:val="en-US"/>
        </w:rPr>
        <w:t xml:space="preserve">. </w:t>
      </w:r>
      <w:r w:rsidRPr="004E083F">
        <w:rPr>
          <w:rFonts w:ascii="Times New Roman" w:hAnsi="Times New Roman" w:cs="Times New Roman"/>
          <w:lang w:val="en-US"/>
        </w:rPr>
        <w:t>LSV curves of different graphene samples at rotation rate ranging from 400 to 1000 rpm.</w:t>
      </w:r>
      <w:r w:rsidR="00282533" w:rsidRPr="004E083F">
        <w:rPr>
          <w:rFonts w:ascii="Times New Roman" w:hAnsi="Times New Roman" w:cs="Times New Roman"/>
          <w:lang w:val="en-US"/>
        </w:rPr>
        <w:t xml:space="preserve"> </w:t>
      </w:r>
      <w:r w:rsidR="004B2E3B" w:rsidRPr="004E083F">
        <w:rPr>
          <w:rFonts w:ascii="Times New Roman" w:hAnsi="Times New Roman" w:cs="Times New Roman"/>
          <w:lang w:val="en-US"/>
        </w:rPr>
        <w:t xml:space="preserve">The increasing currents at </w:t>
      </w:r>
      <w:proofErr w:type="spellStart"/>
      <w:r w:rsidR="004B2E3B" w:rsidRPr="004E083F">
        <w:rPr>
          <w:rFonts w:ascii="Times New Roman" w:hAnsi="Times New Roman" w:cs="Times New Roman"/>
          <w:lang w:val="en-US"/>
        </w:rPr>
        <w:t>Ar</w:t>
      </w:r>
      <w:proofErr w:type="spellEnd"/>
      <w:r w:rsidR="004B2E3B" w:rsidRPr="004E083F">
        <w:rPr>
          <w:rFonts w:ascii="Times New Roman" w:hAnsi="Times New Roman" w:cs="Times New Roman"/>
          <w:lang w:val="en-US"/>
        </w:rPr>
        <w:t xml:space="preserve">-O-N with the rotation speed ranging from 400 to 1000 rpm indicate that a normal diffusional-limited current is reached at </w:t>
      </w:r>
      <w:proofErr w:type="spellStart"/>
      <w:r w:rsidR="004B2E3B" w:rsidRPr="004E083F">
        <w:rPr>
          <w:rFonts w:ascii="Times New Roman" w:hAnsi="Times New Roman" w:cs="Times New Roman"/>
          <w:lang w:val="en-US"/>
        </w:rPr>
        <w:t>Ar</w:t>
      </w:r>
      <w:proofErr w:type="spellEnd"/>
      <w:r w:rsidR="004B2E3B" w:rsidRPr="004E083F">
        <w:rPr>
          <w:rFonts w:ascii="Times New Roman" w:hAnsi="Times New Roman" w:cs="Times New Roman"/>
          <w:lang w:val="en-US"/>
        </w:rPr>
        <w:t>-O-N, which is in contrast with the diffusion condition for other samples.</w:t>
      </w:r>
    </w:p>
    <w:p w14:paraId="73124C37" w14:textId="77777777" w:rsidR="004B2E3B" w:rsidRPr="004E083F" w:rsidRDefault="004B2E3B" w:rsidP="00E3472D">
      <w:pPr>
        <w:spacing w:afterLines="100" w:after="240" w:line="240" w:lineRule="auto"/>
        <w:jc w:val="both"/>
        <w:rPr>
          <w:rFonts w:ascii="Times New Roman" w:hAnsi="Times New Roman" w:cs="Times New Roman"/>
          <w:lang w:val="en-US"/>
        </w:rPr>
      </w:pPr>
    </w:p>
    <w:p w14:paraId="7853CAB9" w14:textId="5FE64D12" w:rsidR="004B2E3B" w:rsidRPr="004E083F" w:rsidRDefault="004B2E3B" w:rsidP="004B2E3B">
      <w:pPr>
        <w:spacing w:afterLines="100" w:after="240" w:line="360" w:lineRule="auto"/>
        <w:jc w:val="center"/>
        <w:rPr>
          <w:rFonts w:ascii="Times New Roman" w:hAnsi="Times New Roman" w:cs="Times New Roman"/>
          <w:lang w:val="en-US"/>
        </w:rPr>
      </w:pPr>
    </w:p>
    <w:p w14:paraId="20BB1AD5" w14:textId="0632EBC4" w:rsidR="009C6CCA" w:rsidRPr="004E083F" w:rsidRDefault="00160643" w:rsidP="004B2E3B">
      <w:pPr>
        <w:spacing w:afterLines="100" w:after="240" w:line="360" w:lineRule="auto"/>
        <w:jc w:val="center"/>
        <w:rPr>
          <w:rFonts w:ascii="Times New Roman" w:hAnsi="Times New Roman" w:cs="Times New Roman"/>
        </w:rPr>
      </w:pPr>
      <w:r w:rsidRPr="004E083F">
        <w:rPr>
          <w:rFonts w:ascii="Times New Roman" w:hAnsi="Times New Roman" w:cs="Times New Roman"/>
          <w:noProof/>
        </w:rPr>
        <w:lastRenderedPageBreak/>
        <w:drawing>
          <wp:inline distT="0" distB="0" distL="0" distR="0" wp14:anchorId="4EDAD179" wp14:editId="5024FD9C">
            <wp:extent cx="5639046" cy="288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39046" cy="2880000"/>
                    </a:xfrm>
                    <a:prstGeom prst="rect">
                      <a:avLst/>
                    </a:prstGeom>
                    <a:noFill/>
                  </pic:spPr>
                </pic:pic>
              </a:graphicData>
            </a:graphic>
          </wp:inline>
        </w:drawing>
      </w:r>
    </w:p>
    <w:p w14:paraId="6570FD40" w14:textId="7A9271E3" w:rsidR="001943C9" w:rsidRPr="004E083F" w:rsidRDefault="00E3472D" w:rsidP="00B97941">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2E63F0" w:rsidRPr="004E083F">
        <w:rPr>
          <w:rFonts w:ascii="Times New Roman" w:hAnsi="Times New Roman" w:cs="Times New Roman"/>
          <w:b/>
          <w:lang w:val="en-US"/>
        </w:rPr>
        <w:t>10</w:t>
      </w:r>
      <w:r w:rsidRPr="004E083F">
        <w:rPr>
          <w:rFonts w:ascii="Times New Roman" w:hAnsi="Times New Roman" w:cs="Times New Roman"/>
          <w:b/>
          <w:lang w:val="en-US"/>
        </w:rPr>
        <w:t xml:space="preserve">. XPS data for </w:t>
      </w:r>
      <w:r w:rsidR="008A5A91" w:rsidRPr="004E083F">
        <w:rPr>
          <w:rFonts w:ascii="Times New Roman" w:hAnsi="Times New Roman" w:cs="Times New Roman"/>
          <w:lang w:val="en-US"/>
        </w:rPr>
        <w:t xml:space="preserve">Ar30, </w:t>
      </w:r>
      <w:r w:rsidRPr="004E083F">
        <w:rPr>
          <w:rFonts w:ascii="Times New Roman" w:hAnsi="Times New Roman" w:cs="Times New Roman"/>
          <w:lang w:val="en-US"/>
        </w:rPr>
        <w:t>O10</w:t>
      </w:r>
      <w:r w:rsidR="008A5A91" w:rsidRPr="004E083F">
        <w:rPr>
          <w:rFonts w:ascii="Times New Roman" w:hAnsi="Times New Roman" w:cs="Times New Roman"/>
          <w:lang w:val="en-US"/>
        </w:rPr>
        <w:t xml:space="preserve"> and </w:t>
      </w:r>
      <w:proofErr w:type="spellStart"/>
      <w:r w:rsidR="008A5A91" w:rsidRPr="004E083F">
        <w:rPr>
          <w:rFonts w:ascii="Times New Roman" w:hAnsi="Times New Roman" w:cs="Times New Roman"/>
          <w:lang w:val="en-US"/>
        </w:rPr>
        <w:t>Ar</w:t>
      </w:r>
      <w:proofErr w:type="spellEnd"/>
      <w:r w:rsidR="008A5A91" w:rsidRPr="004E083F">
        <w:rPr>
          <w:rFonts w:ascii="Times New Roman" w:hAnsi="Times New Roman" w:cs="Times New Roman"/>
          <w:lang w:val="en-US"/>
        </w:rPr>
        <w:t>-O</w:t>
      </w:r>
      <w:r w:rsidR="00C05EC4" w:rsidRPr="004E083F">
        <w:rPr>
          <w:rFonts w:ascii="Times New Roman" w:hAnsi="Times New Roman" w:cs="Times New Roman"/>
          <w:lang w:val="en-US"/>
        </w:rPr>
        <w:t xml:space="preserve"> and 500-Ar-O-N.</w:t>
      </w:r>
      <w:r w:rsidR="007A47A4" w:rsidRPr="004E083F">
        <w:rPr>
          <w:rFonts w:ascii="Times New Roman" w:hAnsi="Times New Roman" w:cs="Times New Roman"/>
          <w:lang w:val="en-US"/>
        </w:rPr>
        <w:t xml:space="preserve"> </w:t>
      </w:r>
      <w:r w:rsidR="009C6CCA" w:rsidRPr="004E083F">
        <w:rPr>
          <w:rFonts w:ascii="Times New Roman" w:hAnsi="Times New Roman" w:cs="Times New Roman"/>
          <w:lang w:val="en-US"/>
        </w:rPr>
        <w:t>C</w:t>
      </w:r>
      <w:r w:rsidR="00241A2D" w:rsidRPr="004E083F">
        <w:rPr>
          <w:rFonts w:ascii="Times New Roman" w:hAnsi="Times New Roman" w:cs="Times New Roman"/>
          <w:lang w:val="en-US"/>
        </w:rPr>
        <w:t xml:space="preserve"> </w:t>
      </w:r>
      <w:r w:rsidR="009C6CCA" w:rsidRPr="004E083F">
        <w:rPr>
          <w:rFonts w:ascii="Times New Roman" w:hAnsi="Times New Roman" w:cs="Times New Roman"/>
          <w:lang w:val="en-US"/>
        </w:rPr>
        <w:t>1</w:t>
      </w:r>
      <w:r w:rsidR="009C6CCA" w:rsidRPr="004E083F">
        <w:rPr>
          <w:rFonts w:ascii="Times New Roman" w:hAnsi="Times New Roman" w:cs="Times New Roman"/>
          <w:i/>
          <w:lang w:val="en-US"/>
        </w:rPr>
        <w:t>s</w:t>
      </w:r>
      <w:r w:rsidR="009C6CCA" w:rsidRPr="004E083F">
        <w:rPr>
          <w:rFonts w:ascii="Times New Roman" w:hAnsi="Times New Roman" w:cs="Times New Roman"/>
          <w:lang w:val="en-US"/>
        </w:rPr>
        <w:t xml:space="preserve"> core spectra</w:t>
      </w:r>
      <w:r w:rsidR="009C6CCA" w:rsidRPr="004E083F">
        <w:rPr>
          <w:rFonts w:ascii="Times New Roman" w:hAnsi="Times New Roman" w:cs="Times New Roman"/>
          <w:b/>
          <w:lang w:val="en-US"/>
        </w:rPr>
        <w:t xml:space="preserve"> </w:t>
      </w:r>
      <w:r w:rsidR="009C6CCA" w:rsidRPr="004E083F">
        <w:rPr>
          <w:rFonts w:ascii="Times New Roman" w:hAnsi="Times New Roman" w:cs="Times New Roman"/>
          <w:lang w:val="en-US"/>
        </w:rPr>
        <w:t xml:space="preserve">for a) Ar30, </w:t>
      </w:r>
      <w:r w:rsidR="002E63F0" w:rsidRPr="004E083F">
        <w:rPr>
          <w:rFonts w:ascii="Times New Roman" w:hAnsi="Times New Roman" w:cs="Times New Roman"/>
          <w:lang w:val="en-US"/>
        </w:rPr>
        <w:t>b</w:t>
      </w:r>
      <w:r w:rsidR="009C6CCA" w:rsidRPr="004E083F">
        <w:rPr>
          <w:rFonts w:ascii="Times New Roman" w:hAnsi="Times New Roman" w:cs="Times New Roman"/>
          <w:lang w:val="en-US"/>
        </w:rPr>
        <w:t xml:space="preserve">) O10, </w:t>
      </w:r>
      <w:r w:rsidR="002E63F0" w:rsidRPr="004E083F">
        <w:rPr>
          <w:rFonts w:ascii="Times New Roman" w:hAnsi="Times New Roman" w:cs="Times New Roman"/>
          <w:lang w:val="en-US"/>
        </w:rPr>
        <w:t>c</w:t>
      </w:r>
      <w:r w:rsidR="009C6CCA" w:rsidRPr="004E083F">
        <w:rPr>
          <w:rFonts w:ascii="Times New Roman" w:hAnsi="Times New Roman" w:cs="Times New Roman"/>
          <w:lang w:val="en-US"/>
        </w:rPr>
        <w:t xml:space="preserve">) </w:t>
      </w:r>
      <w:proofErr w:type="spellStart"/>
      <w:r w:rsidR="009C6CCA" w:rsidRPr="004E083F">
        <w:rPr>
          <w:rFonts w:ascii="Times New Roman" w:hAnsi="Times New Roman" w:cs="Times New Roman"/>
          <w:lang w:val="en-US"/>
        </w:rPr>
        <w:t>Ar</w:t>
      </w:r>
      <w:proofErr w:type="spellEnd"/>
      <w:r w:rsidR="009C6CCA" w:rsidRPr="004E083F">
        <w:rPr>
          <w:rFonts w:ascii="Times New Roman" w:hAnsi="Times New Roman" w:cs="Times New Roman"/>
          <w:lang w:val="en-US"/>
        </w:rPr>
        <w:t>-O</w:t>
      </w:r>
      <w:r w:rsidR="00241A2D" w:rsidRPr="004E083F">
        <w:rPr>
          <w:rFonts w:ascii="Times New Roman" w:hAnsi="Times New Roman" w:cs="Times New Roman"/>
          <w:lang w:val="en-US"/>
        </w:rPr>
        <w:t xml:space="preserve">, </w:t>
      </w:r>
      <w:r w:rsidR="002E63F0" w:rsidRPr="004E083F">
        <w:rPr>
          <w:rFonts w:ascii="Times New Roman" w:hAnsi="Times New Roman" w:cs="Times New Roman"/>
          <w:lang w:val="en-US"/>
        </w:rPr>
        <w:t>d</w:t>
      </w:r>
      <w:r w:rsidR="00241A2D" w:rsidRPr="004E083F">
        <w:rPr>
          <w:rFonts w:ascii="Times New Roman" w:hAnsi="Times New Roman" w:cs="Times New Roman"/>
          <w:lang w:val="en-US"/>
        </w:rPr>
        <w:t xml:space="preserve">) 500-Ar-O-N. </w:t>
      </w:r>
      <w:r w:rsidR="002E63F0" w:rsidRPr="004E083F">
        <w:rPr>
          <w:rFonts w:ascii="Times New Roman" w:hAnsi="Times New Roman" w:cs="Times New Roman"/>
          <w:lang w:val="en-US"/>
        </w:rPr>
        <w:t>e</w:t>
      </w:r>
      <w:r w:rsidR="00241A2D" w:rsidRPr="004E083F">
        <w:rPr>
          <w:rFonts w:ascii="Times New Roman" w:hAnsi="Times New Roman" w:cs="Times New Roman"/>
          <w:lang w:val="en-US"/>
        </w:rPr>
        <w:t>) N 1</w:t>
      </w:r>
      <w:r w:rsidR="00241A2D" w:rsidRPr="004E083F">
        <w:rPr>
          <w:rFonts w:ascii="Times New Roman" w:hAnsi="Times New Roman" w:cs="Times New Roman"/>
          <w:i/>
          <w:lang w:val="en-US"/>
        </w:rPr>
        <w:t>s</w:t>
      </w:r>
      <w:r w:rsidR="00241A2D" w:rsidRPr="004E083F">
        <w:rPr>
          <w:rFonts w:ascii="Times New Roman" w:hAnsi="Times New Roman" w:cs="Times New Roman"/>
          <w:lang w:val="en-US"/>
        </w:rPr>
        <w:t xml:space="preserve"> core spectra for 500-Ar-O-N</w:t>
      </w:r>
      <w:r w:rsidR="009C6CCA" w:rsidRPr="004E083F">
        <w:rPr>
          <w:rFonts w:ascii="Times New Roman" w:hAnsi="Times New Roman" w:cs="Times New Roman"/>
          <w:lang w:val="en-US"/>
        </w:rPr>
        <w:t>.</w:t>
      </w:r>
    </w:p>
    <w:p w14:paraId="61965B80" w14:textId="77777777" w:rsidR="00B97941" w:rsidRPr="004E083F" w:rsidRDefault="00B97941" w:rsidP="00B97941">
      <w:pPr>
        <w:spacing w:afterLines="100" w:after="240" w:line="240" w:lineRule="auto"/>
        <w:jc w:val="both"/>
        <w:rPr>
          <w:rFonts w:ascii="Times New Roman" w:hAnsi="Times New Roman" w:cs="Times New Roman"/>
          <w:lang w:val="en-US"/>
        </w:rPr>
      </w:pPr>
    </w:p>
    <w:p w14:paraId="1A26CB82" w14:textId="33B59874" w:rsidR="001943C9" w:rsidRPr="004E083F" w:rsidRDefault="001943C9" w:rsidP="001C7896">
      <w:pPr>
        <w:spacing w:afterLines="100" w:after="240" w:line="360" w:lineRule="auto"/>
        <w:jc w:val="center"/>
        <w:rPr>
          <w:rFonts w:ascii="Times New Roman" w:hAnsi="Times New Roman" w:cs="Times New Roman"/>
          <w:lang w:val="en-US"/>
        </w:rPr>
      </w:pPr>
      <w:r w:rsidRPr="004E083F">
        <w:rPr>
          <w:rFonts w:ascii="Times New Roman" w:hAnsi="Times New Roman" w:cs="Times New Roman"/>
          <w:lang w:val="en-US"/>
        </w:rPr>
        <w:t>Table S2 XPS analysis results for different doped graphene samples</w:t>
      </w:r>
      <w:r w:rsidR="00C54365" w:rsidRPr="004E083F">
        <w:rPr>
          <w:rFonts w:ascii="Times New Roman" w:hAnsi="Times New Roman" w:cs="Times New Roman"/>
          <w:lang w:val="en-US"/>
        </w:rPr>
        <w:t>*</w:t>
      </w:r>
    </w:p>
    <w:tbl>
      <w:tblPr>
        <w:tblStyle w:val="TableGrid"/>
        <w:tblW w:w="995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446"/>
        <w:gridCol w:w="964"/>
        <w:gridCol w:w="964"/>
        <w:gridCol w:w="708"/>
        <w:gridCol w:w="709"/>
        <w:gridCol w:w="709"/>
        <w:gridCol w:w="709"/>
        <w:gridCol w:w="964"/>
        <w:gridCol w:w="907"/>
        <w:gridCol w:w="907"/>
        <w:gridCol w:w="912"/>
        <w:gridCol w:w="55"/>
      </w:tblGrid>
      <w:tr w:rsidR="004E083F" w:rsidRPr="004E083F" w14:paraId="31FB2860" w14:textId="77777777" w:rsidTr="003817C5">
        <w:trPr>
          <w:trHeight w:val="107"/>
          <w:jc w:val="center"/>
        </w:trPr>
        <w:tc>
          <w:tcPr>
            <w:tcW w:w="1446" w:type="dxa"/>
            <w:vMerge w:val="restart"/>
            <w:tcBorders>
              <w:left w:val="nil"/>
              <w:bottom w:val="nil"/>
              <w:right w:val="nil"/>
            </w:tcBorders>
            <w:vAlign w:val="center"/>
          </w:tcPr>
          <w:p w14:paraId="5D59F2B9" w14:textId="77777777" w:rsidR="003817C5" w:rsidRPr="004E083F" w:rsidRDefault="003817C5" w:rsidP="00B028CB">
            <w:pPr>
              <w:jc w:val="center"/>
              <w:rPr>
                <w:rFonts w:ascii="Times New Roman" w:hAnsi="Times New Roman" w:cs="Times New Roman"/>
                <w:sz w:val="20"/>
                <w:szCs w:val="20"/>
                <w:lang w:val="en-US"/>
              </w:rPr>
            </w:pPr>
            <w:r w:rsidRPr="004E083F">
              <w:rPr>
                <w:rFonts w:ascii="Times New Roman" w:hAnsi="Times New Roman" w:cs="Times New Roman"/>
                <w:lang w:val="en-US"/>
              </w:rPr>
              <w:br w:type="page"/>
            </w:r>
            <w:r w:rsidRPr="004E083F">
              <w:rPr>
                <w:rFonts w:ascii="Times New Roman" w:hAnsi="Times New Roman" w:cs="Times New Roman"/>
                <w:sz w:val="20"/>
                <w:szCs w:val="20"/>
                <w:lang w:val="en-US"/>
              </w:rPr>
              <w:t>samples</w:t>
            </w:r>
          </w:p>
        </w:tc>
        <w:tc>
          <w:tcPr>
            <w:tcW w:w="8508" w:type="dxa"/>
            <w:gridSpan w:val="11"/>
            <w:tcBorders>
              <w:left w:val="nil"/>
              <w:bottom w:val="single" w:sz="12" w:space="0" w:color="auto"/>
              <w:right w:val="nil"/>
            </w:tcBorders>
            <w:vAlign w:val="center"/>
          </w:tcPr>
          <w:p w14:paraId="22F87DB4" w14:textId="77777777" w:rsidR="003817C5" w:rsidRPr="004E083F" w:rsidRDefault="003817C5" w:rsidP="00B028CB">
            <w:pPr>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Concentrations of species (%)</w:t>
            </w:r>
          </w:p>
        </w:tc>
      </w:tr>
      <w:tr w:rsidR="004E083F" w:rsidRPr="004E083F" w14:paraId="35356CFF" w14:textId="77777777" w:rsidTr="003817C5">
        <w:trPr>
          <w:gridAfter w:val="1"/>
          <w:wAfter w:w="55" w:type="dxa"/>
          <w:trHeight w:val="106"/>
          <w:jc w:val="center"/>
        </w:trPr>
        <w:tc>
          <w:tcPr>
            <w:tcW w:w="1446" w:type="dxa"/>
            <w:vMerge/>
            <w:tcBorders>
              <w:top w:val="nil"/>
              <w:left w:val="nil"/>
              <w:bottom w:val="single" w:sz="12" w:space="0" w:color="auto"/>
              <w:right w:val="nil"/>
            </w:tcBorders>
            <w:vAlign w:val="center"/>
          </w:tcPr>
          <w:p w14:paraId="0B48B761" w14:textId="77777777" w:rsidR="003817C5" w:rsidRPr="004E083F" w:rsidRDefault="003817C5" w:rsidP="00B028CB">
            <w:pPr>
              <w:jc w:val="center"/>
              <w:rPr>
                <w:rFonts w:ascii="Times New Roman" w:hAnsi="Times New Roman" w:cs="Times New Roman"/>
                <w:sz w:val="20"/>
                <w:szCs w:val="20"/>
                <w:lang w:val="en-US"/>
              </w:rPr>
            </w:pPr>
          </w:p>
        </w:tc>
        <w:tc>
          <w:tcPr>
            <w:tcW w:w="964" w:type="dxa"/>
            <w:tcBorders>
              <w:top w:val="single" w:sz="12" w:space="0" w:color="auto"/>
              <w:left w:val="nil"/>
              <w:bottom w:val="single" w:sz="12" w:space="0" w:color="auto"/>
              <w:right w:val="nil"/>
            </w:tcBorders>
            <w:vAlign w:val="center"/>
          </w:tcPr>
          <w:p w14:paraId="15C57B06" w14:textId="77777777"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i/>
                <w:sz w:val="20"/>
                <w:szCs w:val="20"/>
                <w:lang w:val="en-US"/>
              </w:rPr>
              <w:t>sp</w:t>
            </w:r>
            <w:r w:rsidRPr="004E083F">
              <w:rPr>
                <w:rFonts w:ascii="Times New Roman" w:hAnsi="Times New Roman" w:cs="Times New Roman"/>
                <w:sz w:val="20"/>
                <w:szCs w:val="20"/>
                <w:vertAlign w:val="superscript"/>
                <w:lang w:val="en-US"/>
              </w:rPr>
              <w:t>2</w:t>
            </w:r>
            <w:r w:rsidRPr="004E083F">
              <w:rPr>
                <w:rFonts w:ascii="Times New Roman" w:hAnsi="Times New Roman" w:cs="Times New Roman"/>
                <w:sz w:val="20"/>
                <w:szCs w:val="20"/>
                <w:lang w:val="en-US"/>
              </w:rPr>
              <w:t xml:space="preserve"> C</w:t>
            </w:r>
          </w:p>
          <w:p w14:paraId="540D4728" w14:textId="54455E72"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284.6 eV</w:t>
            </w:r>
          </w:p>
        </w:tc>
        <w:tc>
          <w:tcPr>
            <w:tcW w:w="964" w:type="dxa"/>
            <w:tcBorders>
              <w:top w:val="single" w:sz="12" w:space="0" w:color="auto"/>
              <w:left w:val="nil"/>
              <w:bottom w:val="single" w:sz="12" w:space="0" w:color="auto"/>
              <w:right w:val="nil"/>
            </w:tcBorders>
            <w:vAlign w:val="center"/>
          </w:tcPr>
          <w:p w14:paraId="1C6FA94B" w14:textId="77777777"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i/>
                <w:sz w:val="20"/>
                <w:szCs w:val="20"/>
                <w:lang w:val="en-US"/>
              </w:rPr>
              <w:t>sp</w:t>
            </w:r>
            <w:r w:rsidRPr="004E083F">
              <w:rPr>
                <w:rFonts w:ascii="Times New Roman" w:hAnsi="Times New Roman" w:cs="Times New Roman"/>
                <w:sz w:val="20"/>
                <w:szCs w:val="20"/>
                <w:vertAlign w:val="superscript"/>
                <w:lang w:val="en-US"/>
              </w:rPr>
              <w:t>3</w:t>
            </w:r>
            <w:r w:rsidRPr="004E083F">
              <w:rPr>
                <w:rFonts w:ascii="Times New Roman" w:hAnsi="Times New Roman" w:cs="Times New Roman"/>
                <w:sz w:val="20"/>
                <w:szCs w:val="20"/>
                <w:lang w:val="en-US"/>
              </w:rPr>
              <w:t xml:space="preserve"> C</w:t>
            </w:r>
          </w:p>
          <w:p w14:paraId="02BE5AF9" w14:textId="1388BF29"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285.0 eV</w:t>
            </w:r>
          </w:p>
        </w:tc>
        <w:tc>
          <w:tcPr>
            <w:tcW w:w="1417" w:type="dxa"/>
            <w:gridSpan w:val="2"/>
            <w:tcBorders>
              <w:top w:val="single" w:sz="12" w:space="0" w:color="auto"/>
              <w:left w:val="nil"/>
              <w:bottom w:val="single" w:sz="12" w:space="0" w:color="auto"/>
              <w:right w:val="nil"/>
            </w:tcBorders>
            <w:vAlign w:val="center"/>
          </w:tcPr>
          <w:p w14:paraId="5BB4A2D3" w14:textId="77777777"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C–O/C=N</w:t>
            </w:r>
          </w:p>
          <w:p w14:paraId="3BD7647A" w14:textId="001A432B"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286.4 eV</w:t>
            </w:r>
          </w:p>
        </w:tc>
        <w:tc>
          <w:tcPr>
            <w:tcW w:w="1418" w:type="dxa"/>
            <w:gridSpan w:val="2"/>
            <w:tcBorders>
              <w:top w:val="single" w:sz="12" w:space="0" w:color="auto"/>
              <w:left w:val="nil"/>
              <w:bottom w:val="single" w:sz="12" w:space="0" w:color="auto"/>
              <w:right w:val="nil"/>
            </w:tcBorders>
            <w:vAlign w:val="center"/>
          </w:tcPr>
          <w:p w14:paraId="51367569" w14:textId="77777777"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C=O/C–N</w:t>
            </w:r>
          </w:p>
          <w:p w14:paraId="314315DC" w14:textId="0F603FEC" w:rsidR="003817C5" w:rsidRPr="004E083F" w:rsidRDefault="003817C5" w:rsidP="00B028CB">
            <w:pPr>
              <w:spacing w:line="32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288.0 eV</w:t>
            </w:r>
          </w:p>
        </w:tc>
        <w:tc>
          <w:tcPr>
            <w:tcW w:w="964" w:type="dxa"/>
            <w:tcBorders>
              <w:top w:val="single" w:sz="12" w:space="0" w:color="auto"/>
              <w:left w:val="nil"/>
              <w:bottom w:val="single" w:sz="12" w:space="0" w:color="auto"/>
              <w:right w:val="nil"/>
            </w:tcBorders>
            <w:vAlign w:val="center"/>
          </w:tcPr>
          <w:p w14:paraId="75AA7528" w14:textId="77777777"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O-C=O</w:t>
            </w:r>
          </w:p>
          <w:p w14:paraId="275D7060" w14:textId="7A8109C9"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289.5 eV</w:t>
            </w:r>
          </w:p>
        </w:tc>
        <w:tc>
          <w:tcPr>
            <w:tcW w:w="907" w:type="dxa"/>
            <w:tcBorders>
              <w:top w:val="single" w:sz="12" w:space="0" w:color="auto"/>
              <w:left w:val="nil"/>
              <w:bottom w:val="single" w:sz="12" w:space="0" w:color="auto"/>
              <w:right w:val="nil"/>
            </w:tcBorders>
            <w:vAlign w:val="center"/>
          </w:tcPr>
          <w:p w14:paraId="46ACDBA1" w14:textId="77777777" w:rsidR="003817C5" w:rsidRPr="004E083F" w:rsidRDefault="003817C5" w:rsidP="00B028CB">
            <w:pPr>
              <w:spacing w:line="300" w:lineRule="exact"/>
              <w:jc w:val="center"/>
              <w:rPr>
                <w:rFonts w:ascii="Times New Roman" w:hAnsi="Times New Roman" w:cs="Times New Roman"/>
                <w:sz w:val="20"/>
                <w:szCs w:val="20"/>
                <w:lang w:val="en-US"/>
              </w:rPr>
            </w:pPr>
            <w:proofErr w:type="spellStart"/>
            <w:r w:rsidRPr="004E083F">
              <w:rPr>
                <w:rFonts w:ascii="Times New Roman" w:hAnsi="Times New Roman" w:cs="Times New Roman"/>
                <w:sz w:val="20"/>
                <w:szCs w:val="20"/>
                <w:lang w:val="en-US"/>
              </w:rPr>
              <w:t>Pyrid</w:t>
            </w:r>
            <w:proofErr w:type="spellEnd"/>
            <w:r w:rsidRPr="004E083F">
              <w:rPr>
                <w:rFonts w:ascii="Times New Roman" w:hAnsi="Times New Roman" w:cs="Times New Roman"/>
                <w:sz w:val="20"/>
                <w:szCs w:val="20"/>
                <w:lang w:val="en-US"/>
              </w:rPr>
              <w:t>-N</w:t>
            </w:r>
          </w:p>
          <w:p w14:paraId="707297A3" w14:textId="4361680B"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398.9 eV</w:t>
            </w:r>
          </w:p>
        </w:tc>
        <w:tc>
          <w:tcPr>
            <w:tcW w:w="907" w:type="dxa"/>
            <w:tcBorders>
              <w:top w:val="single" w:sz="12" w:space="0" w:color="auto"/>
              <w:left w:val="nil"/>
              <w:bottom w:val="single" w:sz="12" w:space="0" w:color="auto"/>
              <w:right w:val="nil"/>
            </w:tcBorders>
            <w:vAlign w:val="center"/>
          </w:tcPr>
          <w:p w14:paraId="7730347C" w14:textId="77777777" w:rsidR="003817C5" w:rsidRPr="004E083F" w:rsidRDefault="003817C5" w:rsidP="00B028CB">
            <w:pPr>
              <w:spacing w:line="300" w:lineRule="exact"/>
              <w:jc w:val="center"/>
              <w:rPr>
                <w:rFonts w:ascii="Times New Roman" w:hAnsi="Times New Roman" w:cs="Times New Roman"/>
                <w:sz w:val="20"/>
                <w:szCs w:val="20"/>
                <w:lang w:val="en-US"/>
              </w:rPr>
            </w:pPr>
            <w:proofErr w:type="spellStart"/>
            <w:r w:rsidRPr="004E083F">
              <w:rPr>
                <w:rFonts w:ascii="Times New Roman" w:hAnsi="Times New Roman" w:cs="Times New Roman"/>
                <w:sz w:val="20"/>
                <w:szCs w:val="20"/>
                <w:lang w:val="en-US"/>
              </w:rPr>
              <w:t>Pyrro</w:t>
            </w:r>
            <w:proofErr w:type="spellEnd"/>
            <w:r w:rsidRPr="004E083F">
              <w:rPr>
                <w:rFonts w:ascii="Times New Roman" w:hAnsi="Times New Roman" w:cs="Times New Roman"/>
                <w:sz w:val="20"/>
                <w:szCs w:val="20"/>
                <w:lang w:val="en-US"/>
              </w:rPr>
              <w:t>-N</w:t>
            </w:r>
          </w:p>
          <w:p w14:paraId="0F5A6506" w14:textId="0AE149F0"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399.9 eV</w:t>
            </w:r>
          </w:p>
        </w:tc>
        <w:tc>
          <w:tcPr>
            <w:tcW w:w="912" w:type="dxa"/>
            <w:tcBorders>
              <w:top w:val="single" w:sz="12" w:space="0" w:color="auto"/>
              <w:left w:val="nil"/>
              <w:bottom w:val="single" w:sz="12" w:space="0" w:color="auto"/>
              <w:right w:val="nil"/>
            </w:tcBorders>
            <w:vAlign w:val="center"/>
          </w:tcPr>
          <w:p w14:paraId="19E240EB" w14:textId="77777777"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Quat-N</w:t>
            </w:r>
          </w:p>
          <w:p w14:paraId="17E13185" w14:textId="7FDE2ACA" w:rsidR="003817C5" w:rsidRPr="004E083F" w:rsidRDefault="003817C5" w:rsidP="00B028CB">
            <w:pPr>
              <w:spacing w:line="300" w:lineRule="exact"/>
              <w:jc w:val="center"/>
              <w:rPr>
                <w:rFonts w:ascii="Times New Roman" w:hAnsi="Times New Roman" w:cs="Times New Roman"/>
                <w:sz w:val="20"/>
                <w:szCs w:val="20"/>
                <w:lang w:val="en-US"/>
              </w:rPr>
            </w:pPr>
            <w:r w:rsidRPr="004E083F">
              <w:rPr>
                <w:rFonts w:ascii="Times New Roman" w:hAnsi="Times New Roman" w:cs="Times New Roman"/>
                <w:sz w:val="20"/>
                <w:szCs w:val="20"/>
                <w:lang w:val="en-US"/>
              </w:rPr>
              <w:t>401.1 eV</w:t>
            </w:r>
          </w:p>
        </w:tc>
      </w:tr>
      <w:tr w:rsidR="004E083F" w:rsidRPr="004E083F" w14:paraId="641CE597" w14:textId="77777777" w:rsidTr="003817C5">
        <w:trPr>
          <w:gridAfter w:val="1"/>
          <w:wAfter w:w="55" w:type="dxa"/>
          <w:jc w:val="center"/>
        </w:trPr>
        <w:tc>
          <w:tcPr>
            <w:tcW w:w="1446" w:type="dxa"/>
            <w:tcBorders>
              <w:top w:val="nil"/>
              <w:left w:val="nil"/>
              <w:bottom w:val="nil"/>
              <w:right w:val="nil"/>
            </w:tcBorders>
            <w:vAlign w:val="center"/>
          </w:tcPr>
          <w:p w14:paraId="5DA33685"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lang w:val="en-US"/>
              </w:rPr>
              <w:t>G</w:t>
            </w:r>
          </w:p>
        </w:tc>
        <w:tc>
          <w:tcPr>
            <w:tcW w:w="964" w:type="dxa"/>
            <w:tcBorders>
              <w:top w:val="nil"/>
              <w:left w:val="nil"/>
              <w:bottom w:val="nil"/>
              <w:right w:val="nil"/>
            </w:tcBorders>
            <w:shd w:val="clear" w:color="auto" w:fill="auto"/>
          </w:tcPr>
          <w:p w14:paraId="24F078B3"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65.6</w:t>
            </w:r>
          </w:p>
        </w:tc>
        <w:tc>
          <w:tcPr>
            <w:tcW w:w="964" w:type="dxa"/>
            <w:tcBorders>
              <w:top w:val="nil"/>
              <w:left w:val="nil"/>
              <w:bottom w:val="nil"/>
              <w:right w:val="nil"/>
            </w:tcBorders>
            <w:shd w:val="clear" w:color="auto" w:fill="auto"/>
          </w:tcPr>
          <w:p w14:paraId="38533E93"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24.5</w:t>
            </w:r>
          </w:p>
        </w:tc>
        <w:tc>
          <w:tcPr>
            <w:tcW w:w="708" w:type="dxa"/>
            <w:tcBorders>
              <w:top w:val="nil"/>
              <w:left w:val="nil"/>
              <w:bottom w:val="nil"/>
              <w:right w:val="dotted" w:sz="4" w:space="0" w:color="auto"/>
            </w:tcBorders>
            <w:shd w:val="clear" w:color="auto" w:fill="auto"/>
          </w:tcPr>
          <w:p w14:paraId="6C94552E"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6.1</w:t>
            </w:r>
          </w:p>
        </w:tc>
        <w:tc>
          <w:tcPr>
            <w:tcW w:w="709" w:type="dxa"/>
            <w:tcBorders>
              <w:top w:val="nil"/>
              <w:left w:val="dotted" w:sz="4" w:space="0" w:color="auto"/>
              <w:bottom w:val="nil"/>
              <w:right w:val="nil"/>
            </w:tcBorders>
            <w:shd w:val="clear" w:color="auto" w:fill="auto"/>
          </w:tcPr>
          <w:p w14:paraId="1194C65E"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0</w:t>
            </w:r>
          </w:p>
        </w:tc>
        <w:tc>
          <w:tcPr>
            <w:tcW w:w="709" w:type="dxa"/>
            <w:tcBorders>
              <w:top w:val="nil"/>
              <w:left w:val="nil"/>
              <w:bottom w:val="nil"/>
              <w:right w:val="dotted" w:sz="4" w:space="0" w:color="auto"/>
            </w:tcBorders>
            <w:shd w:val="clear" w:color="auto" w:fill="auto"/>
          </w:tcPr>
          <w:p w14:paraId="138AB2FB"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1.9</w:t>
            </w:r>
          </w:p>
        </w:tc>
        <w:tc>
          <w:tcPr>
            <w:tcW w:w="709" w:type="dxa"/>
            <w:tcBorders>
              <w:top w:val="nil"/>
              <w:left w:val="dotted" w:sz="4" w:space="0" w:color="auto"/>
              <w:bottom w:val="nil"/>
              <w:right w:val="nil"/>
            </w:tcBorders>
            <w:shd w:val="clear" w:color="auto" w:fill="auto"/>
          </w:tcPr>
          <w:p w14:paraId="4B010ED1"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0</w:t>
            </w:r>
          </w:p>
        </w:tc>
        <w:tc>
          <w:tcPr>
            <w:tcW w:w="964" w:type="dxa"/>
            <w:tcBorders>
              <w:top w:val="nil"/>
              <w:left w:val="nil"/>
              <w:bottom w:val="nil"/>
              <w:right w:val="nil"/>
            </w:tcBorders>
          </w:tcPr>
          <w:p w14:paraId="02A23448"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1.9</w:t>
            </w:r>
          </w:p>
        </w:tc>
        <w:tc>
          <w:tcPr>
            <w:tcW w:w="907" w:type="dxa"/>
            <w:tcBorders>
              <w:top w:val="nil"/>
              <w:left w:val="nil"/>
              <w:bottom w:val="nil"/>
              <w:right w:val="nil"/>
            </w:tcBorders>
            <w:shd w:val="clear" w:color="auto" w:fill="auto"/>
            <w:vAlign w:val="center"/>
          </w:tcPr>
          <w:p w14:paraId="23BC6528"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w:t>
            </w:r>
          </w:p>
        </w:tc>
        <w:tc>
          <w:tcPr>
            <w:tcW w:w="907" w:type="dxa"/>
            <w:tcBorders>
              <w:top w:val="nil"/>
              <w:left w:val="nil"/>
              <w:bottom w:val="nil"/>
              <w:right w:val="nil"/>
            </w:tcBorders>
            <w:shd w:val="clear" w:color="auto" w:fill="auto"/>
            <w:vAlign w:val="center"/>
          </w:tcPr>
          <w:p w14:paraId="0D816F73"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w:t>
            </w:r>
          </w:p>
        </w:tc>
        <w:tc>
          <w:tcPr>
            <w:tcW w:w="912" w:type="dxa"/>
            <w:tcBorders>
              <w:top w:val="nil"/>
              <w:left w:val="nil"/>
              <w:bottom w:val="nil"/>
              <w:right w:val="nil"/>
            </w:tcBorders>
            <w:shd w:val="clear" w:color="auto" w:fill="auto"/>
            <w:vAlign w:val="center"/>
          </w:tcPr>
          <w:p w14:paraId="399D56EF"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w:t>
            </w:r>
          </w:p>
        </w:tc>
      </w:tr>
      <w:tr w:rsidR="004E083F" w:rsidRPr="004E083F" w14:paraId="4B06CDE3" w14:textId="77777777" w:rsidTr="003817C5">
        <w:trPr>
          <w:gridAfter w:val="1"/>
          <w:wAfter w:w="55" w:type="dxa"/>
          <w:jc w:val="center"/>
        </w:trPr>
        <w:tc>
          <w:tcPr>
            <w:tcW w:w="1446" w:type="dxa"/>
            <w:tcBorders>
              <w:top w:val="nil"/>
              <w:left w:val="nil"/>
              <w:bottom w:val="nil"/>
              <w:right w:val="nil"/>
            </w:tcBorders>
            <w:vAlign w:val="center"/>
          </w:tcPr>
          <w:p w14:paraId="43A0B8BB"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lang w:val="en-US"/>
              </w:rPr>
              <w:t>N30</w:t>
            </w:r>
          </w:p>
        </w:tc>
        <w:tc>
          <w:tcPr>
            <w:tcW w:w="964" w:type="dxa"/>
            <w:tcBorders>
              <w:top w:val="nil"/>
              <w:left w:val="nil"/>
              <w:bottom w:val="nil"/>
              <w:right w:val="nil"/>
            </w:tcBorders>
            <w:shd w:val="clear" w:color="auto" w:fill="auto"/>
          </w:tcPr>
          <w:p w14:paraId="1567BE9C"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77.1</w:t>
            </w:r>
          </w:p>
        </w:tc>
        <w:tc>
          <w:tcPr>
            <w:tcW w:w="964" w:type="dxa"/>
            <w:tcBorders>
              <w:top w:val="nil"/>
              <w:left w:val="nil"/>
              <w:bottom w:val="nil"/>
              <w:right w:val="nil"/>
            </w:tcBorders>
            <w:shd w:val="clear" w:color="auto" w:fill="auto"/>
          </w:tcPr>
          <w:p w14:paraId="4808295C"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12.7</w:t>
            </w:r>
          </w:p>
        </w:tc>
        <w:tc>
          <w:tcPr>
            <w:tcW w:w="708" w:type="dxa"/>
            <w:tcBorders>
              <w:top w:val="nil"/>
              <w:left w:val="nil"/>
              <w:bottom w:val="nil"/>
              <w:right w:val="dotted" w:sz="4" w:space="0" w:color="auto"/>
            </w:tcBorders>
            <w:shd w:val="clear" w:color="auto" w:fill="auto"/>
          </w:tcPr>
          <w:p w14:paraId="7C277B38"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4.2</w:t>
            </w:r>
          </w:p>
        </w:tc>
        <w:tc>
          <w:tcPr>
            <w:tcW w:w="709" w:type="dxa"/>
            <w:tcBorders>
              <w:top w:val="nil"/>
              <w:left w:val="dotted" w:sz="4" w:space="0" w:color="auto"/>
              <w:bottom w:val="nil"/>
              <w:right w:val="nil"/>
            </w:tcBorders>
            <w:shd w:val="clear" w:color="auto" w:fill="auto"/>
          </w:tcPr>
          <w:p w14:paraId="11AF1A84"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0.2</w:t>
            </w:r>
          </w:p>
        </w:tc>
        <w:tc>
          <w:tcPr>
            <w:tcW w:w="709" w:type="dxa"/>
            <w:tcBorders>
              <w:top w:val="nil"/>
              <w:left w:val="nil"/>
              <w:bottom w:val="nil"/>
              <w:right w:val="dotted" w:sz="4" w:space="0" w:color="auto"/>
            </w:tcBorders>
            <w:shd w:val="clear" w:color="auto" w:fill="auto"/>
          </w:tcPr>
          <w:p w14:paraId="05990782"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1.7</w:t>
            </w:r>
          </w:p>
        </w:tc>
        <w:tc>
          <w:tcPr>
            <w:tcW w:w="709" w:type="dxa"/>
            <w:tcBorders>
              <w:top w:val="nil"/>
              <w:left w:val="dotted" w:sz="4" w:space="0" w:color="auto"/>
              <w:bottom w:val="nil"/>
              <w:right w:val="nil"/>
            </w:tcBorders>
            <w:shd w:val="clear" w:color="auto" w:fill="auto"/>
          </w:tcPr>
          <w:p w14:paraId="5AC1B9A0" w14:textId="77777777" w:rsidR="003817C5" w:rsidRPr="004E083F" w:rsidRDefault="003817C5" w:rsidP="00B028CB">
            <w:pPr>
              <w:spacing w:line="300" w:lineRule="exact"/>
              <w:jc w:val="center"/>
              <w:rPr>
                <w:rFonts w:ascii="Times New Roman" w:hAnsi="Times New Roman" w:cs="Times New Roman"/>
                <w:lang w:val="en-US"/>
              </w:rPr>
            </w:pPr>
            <w:r w:rsidRPr="004E083F">
              <w:rPr>
                <w:rFonts w:ascii="Times New Roman" w:hAnsi="Times New Roman" w:cs="Times New Roman"/>
              </w:rPr>
              <w:t>1.5</w:t>
            </w:r>
          </w:p>
        </w:tc>
        <w:tc>
          <w:tcPr>
            <w:tcW w:w="964" w:type="dxa"/>
            <w:tcBorders>
              <w:top w:val="nil"/>
              <w:left w:val="nil"/>
              <w:bottom w:val="nil"/>
              <w:right w:val="nil"/>
            </w:tcBorders>
          </w:tcPr>
          <w:p w14:paraId="54FB2031"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1.7</w:t>
            </w:r>
          </w:p>
        </w:tc>
        <w:tc>
          <w:tcPr>
            <w:tcW w:w="907" w:type="dxa"/>
            <w:tcBorders>
              <w:top w:val="nil"/>
              <w:left w:val="nil"/>
              <w:bottom w:val="nil"/>
              <w:right w:val="nil"/>
            </w:tcBorders>
            <w:shd w:val="clear" w:color="auto" w:fill="auto"/>
          </w:tcPr>
          <w:p w14:paraId="410ED550"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0.2</w:t>
            </w:r>
          </w:p>
        </w:tc>
        <w:tc>
          <w:tcPr>
            <w:tcW w:w="907" w:type="dxa"/>
            <w:tcBorders>
              <w:top w:val="nil"/>
              <w:left w:val="nil"/>
              <w:bottom w:val="nil"/>
              <w:right w:val="nil"/>
            </w:tcBorders>
            <w:shd w:val="clear" w:color="auto" w:fill="auto"/>
          </w:tcPr>
          <w:p w14:paraId="711A2BE9"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1.5</w:t>
            </w:r>
          </w:p>
        </w:tc>
        <w:tc>
          <w:tcPr>
            <w:tcW w:w="912" w:type="dxa"/>
            <w:tcBorders>
              <w:top w:val="nil"/>
              <w:left w:val="nil"/>
              <w:bottom w:val="nil"/>
              <w:right w:val="nil"/>
            </w:tcBorders>
            <w:shd w:val="clear" w:color="auto" w:fill="auto"/>
            <w:vAlign w:val="center"/>
          </w:tcPr>
          <w:p w14:paraId="14137F49" w14:textId="77777777" w:rsidR="003817C5" w:rsidRPr="004E083F" w:rsidRDefault="003817C5" w:rsidP="00B028CB">
            <w:pPr>
              <w:jc w:val="center"/>
              <w:rPr>
                <w:rFonts w:ascii="Times New Roman" w:hAnsi="Times New Roman" w:cs="Times New Roman"/>
                <w:lang w:val="en-US"/>
              </w:rPr>
            </w:pPr>
            <w:r w:rsidRPr="004E083F">
              <w:rPr>
                <w:rFonts w:ascii="Times New Roman" w:hAnsi="Times New Roman" w:cs="Times New Roman"/>
              </w:rPr>
              <w:t>–</w:t>
            </w:r>
          </w:p>
        </w:tc>
      </w:tr>
      <w:tr w:rsidR="004E083F" w:rsidRPr="004E083F" w14:paraId="145B592E" w14:textId="77777777" w:rsidTr="003817C5">
        <w:trPr>
          <w:gridAfter w:val="1"/>
          <w:wAfter w:w="55" w:type="dxa"/>
          <w:jc w:val="center"/>
        </w:trPr>
        <w:tc>
          <w:tcPr>
            <w:tcW w:w="1446" w:type="dxa"/>
            <w:tcBorders>
              <w:top w:val="nil"/>
              <w:left w:val="nil"/>
              <w:bottom w:val="nil"/>
              <w:right w:val="nil"/>
            </w:tcBorders>
            <w:vAlign w:val="center"/>
          </w:tcPr>
          <w:p w14:paraId="0D3788E8" w14:textId="5D57BF4D" w:rsidR="007E5837" w:rsidRPr="004E083F" w:rsidRDefault="007E5837" w:rsidP="00B028CB">
            <w:pPr>
              <w:spacing w:line="300" w:lineRule="exact"/>
              <w:jc w:val="center"/>
              <w:rPr>
                <w:rFonts w:ascii="Times New Roman" w:hAnsi="Times New Roman" w:cs="Times New Roman"/>
                <w:lang w:val="en-US"/>
              </w:rPr>
            </w:pPr>
            <w:r w:rsidRPr="004E083F">
              <w:rPr>
                <w:rFonts w:ascii="Times New Roman" w:hAnsi="Times New Roman" w:cs="Times New Roman"/>
                <w:lang w:val="en-US"/>
              </w:rPr>
              <w:t>N60</w:t>
            </w:r>
          </w:p>
        </w:tc>
        <w:tc>
          <w:tcPr>
            <w:tcW w:w="964" w:type="dxa"/>
            <w:tcBorders>
              <w:top w:val="nil"/>
              <w:left w:val="nil"/>
              <w:bottom w:val="nil"/>
              <w:right w:val="nil"/>
            </w:tcBorders>
            <w:shd w:val="clear" w:color="auto" w:fill="auto"/>
          </w:tcPr>
          <w:p w14:paraId="268BF557" w14:textId="4CC7D002"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61.3</w:t>
            </w:r>
          </w:p>
        </w:tc>
        <w:tc>
          <w:tcPr>
            <w:tcW w:w="964" w:type="dxa"/>
            <w:tcBorders>
              <w:top w:val="nil"/>
              <w:left w:val="nil"/>
              <w:bottom w:val="nil"/>
              <w:right w:val="nil"/>
            </w:tcBorders>
            <w:shd w:val="clear" w:color="auto" w:fill="auto"/>
          </w:tcPr>
          <w:p w14:paraId="624FC1E7" w14:textId="729F553D"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21.3</w:t>
            </w:r>
          </w:p>
        </w:tc>
        <w:tc>
          <w:tcPr>
            <w:tcW w:w="708" w:type="dxa"/>
            <w:tcBorders>
              <w:top w:val="nil"/>
              <w:left w:val="nil"/>
              <w:bottom w:val="nil"/>
              <w:right w:val="dotted" w:sz="4" w:space="0" w:color="auto"/>
            </w:tcBorders>
            <w:shd w:val="clear" w:color="auto" w:fill="auto"/>
          </w:tcPr>
          <w:p w14:paraId="28CE96B5" w14:textId="682F76F0"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7.8</w:t>
            </w:r>
          </w:p>
        </w:tc>
        <w:tc>
          <w:tcPr>
            <w:tcW w:w="709" w:type="dxa"/>
            <w:tcBorders>
              <w:top w:val="nil"/>
              <w:left w:val="dotted" w:sz="4" w:space="0" w:color="auto"/>
              <w:bottom w:val="nil"/>
              <w:right w:val="nil"/>
            </w:tcBorders>
            <w:shd w:val="clear" w:color="auto" w:fill="auto"/>
          </w:tcPr>
          <w:p w14:paraId="187864CA" w14:textId="02374D23"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0.9</w:t>
            </w:r>
          </w:p>
        </w:tc>
        <w:tc>
          <w:tcPr>
            <w:tcW w:w="709" w:type="dxa"/>
            <w:tcBorders>
              <w:top w:val="nil"/>
              <w:left w:val="nil"/>
              <w:bottom w:val="nil"/>
              <w:right w:val="dotted" w:sz="4" w:space="0" w:color="auto"/>
            </w:tcBorders>
            <w:shd w:val="clear" w:color="auto" w:fill="auto"/>
          </w:tcPr>
          <w:p w14:paraId="5DBF545A" w14:textId="154840CB"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1.3</w:t>
            </w:r>
          </w:p>
        </w:tc>
        <w:tc>
          <w:tcPr>
            <w:tcW w:w="709" w:type="dxa"/>
            <w:tcBorders>
              <w:top w:val="nil"/>
              <w:left w:val="dotted" w:sz="4" w:space="0" w:color="auto"/>
              <w:bottom w:val="nil"/>
              <w:right w:val="nil"/>
            </w:tcBorders>
            <w:shd w:val="clear" w:color="auto" w:fill="auto"/>
          </w:tcPr>
          <w:p w14:paraId="1013D8AA" w14:textId="2AE2A5A8" w:rsidR="007E5837" w:rsidRPr="004E083F" w:rsidRDefault="007E5837" w:rsidP="00B028CB">
            <w:pPr>
              <w:spacing w:line="300" w:lineRule="exact"/>
              <w:jc w:val="center"/>
              <w:rPr>
                <w:rFonts w:ascii="Times New Roman" w:hAnsi="Times New Roman" w:cs="Times New Roman"/>
              </w:rPr>
            </w:pPr>
            <w:r w:rsidRPr="004E083F">
              <w:rPr>
                <w:rFonts w:ascii="Times New Roman" w:hAnsi="Times New Roman" w:cs="Times New Roman"/>
              </w:rPr>
              <w:t>2.0</w:t>
            </w:r>
          </w:p>
        </w:tc>
        <w:tc>
          <w:tcPr>
            <w:tcW w:w="964" w:type="dxa"/>
            <w:tcBorders>
              <w:top w:val="nil"/>
              <w:left w:val="nil"/>
              <w:bottom w:val="nil"/>
              <w:right w:val="nil"/>
            </w:tcBorders>
          </w:tcPr>
          <w:p w14:paraId="646BAEAC" w14:textId="3C928B65" w:rsidR="007E5837" w:rsidRPr="004E083F" w:rsidRDefault="007E5837" w:rsidP="00B028CB">
            <w:pPr>
              <w:jc w:val="center"/>
              <w:rPr>
                <w:rFonts w:ascii="Times New Roman" w:hAnsi="Times New Roman" w:cs="Times New Roman"/>
              </w:rPr>
            </w:pPr>
            <w:r w:rsidRPr="004E083F">
              <w:rPr>
                <w:rFonts w:ascii="Times New Roman" w:hAnsi="Times New Roman" w:cs="Times New Roman"/>
              </w:rPr>
              <w:t>5.3</w:t>
            </w:r>
          </w:p>
        </w:tc>
        <w:tc>
          <w:tcPr>
            <w:tcW w:w="907" w:type="dxa"/>
            <w:tcBorders>
              <w:top w:val="nil"/>
              <w:left w:val="nil"/>
              <w:bottom w:val="nil"/>
              <w:right w:val="nil"/>
            </w:tcBorders>
            <w:shd w:val="clear" w:color="auto" w:fill="auto"/>
          </w:tcPr>
          <w:p w14:paraId="1218F02D" w14:textId="38AAA4A5" w:rsidR="007E5837" w:rsidRPr="004E083F" w:rsidRDefault="007E5837" w:rsidP="00B028CB">
            <w:pPr>
              <w:jc w:val="center"/>
              <w:rPr>
                <w:rFonts w:ascii="Times New Roman" w:hAnsi="Times New Roman" w:cs="Times New Roman"/>
              </w:rPr>
            </w:pPr>
            <w:r w:rsidRPr="004E083F">
              <w:rPr>
                <w:rFonts w:ascii="Times New Roman" w:hAnsi="Times New Roman" w:cs="Times New Roman"/>
              </w:rPr>
              <w:t>0.5</w:t>
            </w:r>
          </w:p>
        </w:tc>
        <w:tc>
          <w:tcPr>
            <w:tcW w:w="907" w:type="dxa"/>
            <w:tcBorders>
              <w:top w:val="nil"/>
              <w:left w:val="nil"/>
              <w:bottom w:val="nil"/>
              <w:right w:val="nil"/>
            </w:tcBorders>
            <w:shd w:val="clear" w:color="auto" w:fill="auto"/>
          </w:tcPr>
          <w:p w14:paraId="61C2B334" w14:textId="29D1B7AC" w:rsidR="007E5837" w:rsidRPr="004E083F" w:rsidRDefault="007E5837" w:rsidP="00B028CB">
            <w:pPr>
              <w:jc w:val="center"/>
              <w:rPr>
                <w:rFonts w:ascii="Times New Roman" w:hAnsi="Times New Roman" w:cs="Times New Roman"/>
              </w:rPr>
            </w:pPr>
            <w:r w:rsidRPr="004E083F">
              <w:rPr>
                <w:rFonts w:ascii="Times New Roman" w:hAnsi="Times New Roman" w:cs="Times New Roman"/>
              </w:rPr>
              <w:t>2.0</w:t>
            </w:r>
          </w:p>
        </w:tc>
        <w:tc>
          <w:tcPr>
            <w:tcW w:w="912" w:type="dxa"/>
            <w:tcBorders>
              <w:top w:val="nil"/>
              <w:left w:val="nil"/>
              <w:bottom w:val="nil"/>
              <w:right w:val="nil"/>
            </w:tcBorders>
            <w:shd w:val="clear" w:color="auto" w:fill="auto"/>
            <w:vAlign w:val="center"/>
          </w:tcPr>
          <w:p w14:paraId="0561CF53" w14:textId="230B108B" w:rsidR="007E5837" w:rsidRPr="004E083F" w:rsidRDefault="007E5837" w:rsidP="00B028CB">
            <w:pPr>
              <w:jc w:val="center"/>
              <w:rPr>
                <w:rFonts w:ascii="Times New Roman" w:hAnsi="Times New Roman" w:cs="Times New Roman"/>
              </w:rPr>
            </w:pPr>
            <w:r w:rsidRPr="004E083F">
              <w:rPr>
                <w:rFonts w:ascii="Times New Roman" w:hAnsi="Times New Roman" w:cs="Times New Roman"/>
              </w:rPr>
              <w:t>0.4</w:t>
            </w:r>
          </w:p>
        </w:tc>
      </w:tr>
      <w:tr w:rsidR="004E083F" w:rsidRPr="004E083F" w14:paraId="21DAE5E8" w14:textId="77777777" w:rsidTr="003817C5">
        <w:trPr>
          <w:gridAfter w:val="1"/>
          <w:wAfter w:w="55" w:type="dxa"/>
          <w:jc w:val="center"/>
        </w:trPr>
        <w:tc>
          <w:tcPr>
            <w:tcW w:w="1446" w:type="dxa"/>
            <w:tcBorders>
              <w:top w:val="nil"/>
              <w:left w:val="nil"/>
              <w:bottom w:val="nil"/>
              <w:right w:val="nil"/>
            </w:tcBorders>
            <w:vAlign w:val="center"/>
          </w:tcPr>
          <w:p w14:paraId="5F156A69" w14:textId="1D4BD4C6"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lang w:val="en-US"/>
              </w:rPr>
              <w:t>Ar30</w:t>
            </w:r>
          </w:p>
        </w:tc>
        <w:tc>
          <w:tcPr>
            <w:tcW w:w="964" w:type="dxa"/>
            <w:tcBorders>
              <w:top w:val="nil"/>
              <w:left w:val="nil"/>
              <w:bottom w:val="nil"/>
              <w:right w:val="nil"/>
            </w:tcBorders>
          </w:tcPr>
          <w:p w14:paraId="4060293C" w14:textId="4F94D593"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78.8</w:t>
            </w:r>
          </w:p>
        </w:tc>
        <w:tc>
          <w:tcPr>
            <w:tcW w:w="964" w:type="dxa"/>
            <w:tcBorders>
              <w:top w:val="nil"/>
              <w:left w:val="nil"/>
              <w:bottom w:val="nil"/>
              <w:right w:val="nil"/>
            </w:tcBorders>
          </w:tcPr>
          <w:p w14:paraId="441AC3D4" w14:textId="6B2D42BD"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11.9</w:t>
            </w:r>
          </w:p>
        </w:tc>
        <w:tc>
          <w:tcPr>
            <w:tcW w:w="708" w:type="dxa"/>
            <w:tcBorders>
              <w:top w:val="nil"/>
              <w:left w:val="nil"/>
              <w:bottom w:val="nil"/>
              <w:right w:val="dotted" w:sz="4" w:space="0" w:color="auto"/>
            </w:tcBorders>
          </w:tcPr>
          <w:p w14:paraId="51D77E78" w14:textId="66389324"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3.2</w:t>
            </w:r>
          </w:p>
        </w:tc>
        <w:tc>
          <w:tcPr>
            <w:tcW w:w="709" w:type="dxa"/>
            <w:tcBorders>
              <w:top w:val="nil"/>
              <w:left w:val="dotted" w:sz="4" w:space="0" w:color="auto"/>
              <w:bottom w:val="nil"/>
              <w:right w:val="nil"/>
            </w:tcBorders>
          </w:tcPr>
          <w:p w14:paraId="531BB55B" w14:textId="51957C1B" w:rsidR="003817C5" w:rsidRPr="004E083F" w:rsidRDefault="003817C5" w:rsidP="00C54365">
            <w:pPr>
              <w:spacing w:line="300" w:lineRule="exact"/>
              <w:jc w:val="center"/>
              <w:rPr>
                <w:rFonts w:ascii="Times New Roman" w:hAnsi="Times New Roman" w:cs="Times New Roman"/>
              </w:rPr>
            </w:pPr>
          </w:p>
        </w:tc>
        <w:tc>
          <w:tcPr>
            <w:tcW w:w="709" w:type="dxa"/>
            <w:tcBorders>
              <w:top w:val="nil"/>
              <w:left w:val="nil"/>
              <w:bottom w:val="nil"/>
              <w:right w:val="dotted" w:sz="4" w:space="0" w:color="auto"/>
            </w:tcBorders>
          </w:tcPr>
          <w:p w14:paraId="6909563F" w14:textId="0A6E086F"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3.6</w:t>
            </w:r>
          </w:p>
        </w:tc>
        <w:tc>
          <w:tcPr>
            <w:tcW w:w="709" w:type="dxa"/>
            <w:tcBorders>
              <w:top w:val="nil"/>
              <w:left w:val="dotted" w:sz="4" w:space="0" w:color="auto"/>
              <w:bottom w:val="nil"/>
              <w:right w:val="nil"/>
            </w:tcBorders>
          </w:tcPr>
          <w:p w14:paraId="263EA833" w14:textId="68C0F45B" w:rsidR="003817C5" w:rsidRPr="004E083F" w:rsidRDefault="003817C5" w:rsidP="00C54365">
            <w:pPr>
              <w:spacing w:line="300" w:lineRule="exact"/>
              <w:jc w:val="center"/>
              <w:rPr>
                <w:rFonts w:ascii="Times New Roman" w:hAnsi="Times New Roman" w:cs="Times New Roman"/>
                <w:lang w:val="en-US"/>
              </w:rPr>
            </w:pPr>
          </w:p>
        </w:tc>
        <w:tc>
          <w:tcPr>
            <w:tcW w:w="964" w:type="dxa"/>
            <w:tcBorders>
              <w:top w:val="nil"/>
              <w:left w:val="nil"/>
              <w:bottom w:val="nil"/>
              <w:right w:val="nil"/>
            </w:tcBorders>
          </w:tcPr>
          <w:p w14:paraId="4CC762ED" w14:textId="2571BFD8"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2.5</w:t>
            </w:r>
          </w:p>
        </w:tc>
        <w:tc>
          <w:tcPr>
            <w:tcW w:w="907" w:type="dxa"/>
            <w:tcBorders>
              <w:top w:val="nil"/>
              <w:left w:val="nil"/>
              <w:bottom w:val="nil"/>
              <w:right w:val="nil"/>
            </w:tcBorders>
            <w:vAlign w:val="center"/>
          </w:tcPr>
          <w:p w14:paraId="182AF2FF" w14:textId="57D3EA8C" w:rsidR="003817C5" w:rsidRPr="004E083F" w:rsidRDefault="003817C5" w:rsidP="00C54365">
            <w:pPr>
              <w:spacing w:line="300" w:lineRule="exact"/>
              <w:jc w:val="center"/>
              <w:rPr>
                <w:rFonts w:ascii="Times New Roman" w:hAnsi="Times New Roman" w:cs="Times New Roman"/>
                <w:lang w:val="en-US"/>
              </w:rPr>
            </w:pPr>
          </w:p>
        </w:tc>
        <w:tc>
          <w:tcPr>
            <w:tcW w:w="907" w:type="dxa"/>
            <w:tcBorders>
              <w:top w:val="nil"/>
              <w:left w:val="nil"/>
              <w:bottom w:val="nil"/>
              <w:right w:val="nil"/>
            </w:tcBorders>
            <w:vAlign w:val="center"/>
          </w:tcPr>
          <w:p w14:paraId="42B8CC65" w14:textId="0FEED0FB" w:rsidR="003817C5" w:rsidRPr="004E083F" w:rsidRDefault="003817C5" w:rsidP="00C54365">
            <w:pPr>
              <w:spacing w:line="300" w:lineRule="exact"/>
              <w:jc w:val="center"/>
              <w:rPr>
                <w:rFonts w:ascii="Times New Roman" w:hAnsi="Times New Roman" w:cs="Times New Roman"/>
                <w:lang w:val="en-US"/>
              </w:rPr>
            </w:pPr>
          </w:p>
        </w:tc>
        <w:tc>
          <w:tcPr>
            <w:tcW w:w="912" w:type="dxa"/>
            <w:tcBorders>
              <w:top w:val="nil"/>
              <w:left w:val="nil"/>
              <w:bottom w:val="nil"/>
              <w:right w:val="nil"/>
            </w:tcBorders>
            <w:vAlign w:val="center"/>
          </w:tcPr>
          <w:p w14:paraId="46861B87" w14:textId="17D98C7A" w:rsidR="003817C5" w:rsidRPr="004E083F" w:rsidRDefault="003817C5" w:rsidP="00C54365">
            <w:pPr>
              <w:spacing w:line="300" w:lineRule="exact"/>
              <w:jc w:val="center"/>
              <w:rPr>
                <w:rFonts w:ascii="Times New Roman" w:hAnsi="Times New Roman" w:cs="Times New Roman"/>
                <w:lang w:val="en-US"/>
              </w:rPr>
            </w:pPr>
          </w:p>
        </w:tc>
      </w:tr>
      <w:tr w:rsidR="004E083F" w:rsidRPr="004E083F" w14:paraId="0E60227D" w14:textId="77777777" w:rsidTr="003817C5">
        <w:trPr>
          <w:gridAfter w:val="1"/>
          <w:wAfter w:w="55" w:type="dxa"/>
          <w:jc w:val="center"/>
        </w:trPr>
        <w:tc>
          <w:tcPr>
            <w:tcW w:w="1446" w:type="dxa"/>
            <w:tcBorders>
              <w:top w:val="nil"/>
              <w:left w:val="nil"/>
              <w:bottom w:val="nil"/>
              <w:right w:val="nil"/>
            </w:tcBorders>
            <w:vAlign w:val="center"/>
          </w:tcPr>
          <w:p w14:paraId="65B2C348" w14:textId="69E2CD93" w:rsidR="003817C5" w:rsidRPr="004E083F" w:rsidRDefault="003817C5" w:rsidP="00C54365">
            <w:pPr>
              <w:spacing w:line="300" w:lineRule="exact"/>
              <w:jc w:val="center"/>
              <w:rPr>
                <w:rFonts w:ascii="Times New Roman" w:hAnsi="Times New Roman" w:cs="Times New Roman"/>
                <w:lang w:val="en-US"/>
              </w:rPr>
            </w:pPr>
            <w:proofErr w:type="spellStart"/>
            <w:r w:rsidRPr="004E083F">
              <w:rPr>
                <w:rFonts w:ascii="Times New Roman" w:hAnsi="Times New Roman" w:cs="Times New Roman"/>
                <w:lang w:val="en-US"/>
              </w:rPr>
              <w:t>Ar</w:t>
            </w:r>
            <w:proofErr w:type="spellEnd"/>
            <w:r w:rsidRPr="004E083F">
              <w:rPr>
                <w:rFonts w:ascii="Times New Roman" w:hAnsi="Times New Roman" w:cs="Times New Roman"/>
                <w:lang w:val="en-US"/>
              </w:rPr>
              <w:t>-O</w:t>
            </w:r>
          </w:p>
        </w:tc>
        <w:tc>
          <w:tcPr>
            <w:tcW w:w="964" w:type="dxa"/>
            <w:tcBorders>
              <w:top w:val="nil"/>
              <w:left w:val="nil"/>
              <w:bottom w:val="nil"/>
              <w:right w:val="nil"/>
            </w:tcBorders>
          </w:tcPr>
          <w:p w14:paraId="45CEB47D" w14:textId="7DF0C27F"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73.4</w:t>
            </w:r>
          </w:p>
        </w:tc>
        <w:tc>
          <w:tcPr>
            <w:tcW w:w="964" w:type="dxa"/>
            <w:tcBorders>
              <w:top w:val="nil"/>
              <w:left w:val="nil"/>
              <w:bottom w:val="nil"/>
              <w:right w:val="nil"/>
            </w:tcBorders>
          </w:tcPr>
          <w:p w14:paraId="25EEFF2C" w14:textId="153220BC"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6.2</w:t>
            </w:r>
          </w:p>
        </w:tc>
        <w:tc>
          <w:tcPr>
            <w:tcW w:w="708" w:type="dxa"/>
            <w:tcBorders>
              <w:top w:val="nil"/>
              <w:left w:val="nil"/>
              <w:bottom w:val="nil"/>
              <w:right w:val="dotted" w:sz="4" w:space="0" w:color="auto"/>
            </w:tcBorders>
          </w:tcPr>
          <w:p w14:paraId="5CBFF3B4" w14:textId="189E4DA4"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6.0</w:t>
            </w:r>
          </w:p>
        </w:tc>
        <w:tc>
          <w:tcPr>
            <w:tcW w:w="709" w:type="dxa"/>
            <w:tcBorders>
              <w:top w:val="nil"/>
              <w:left w:val="dotted" w:sz="4" w:space="0" w:color="auto"/>
              <w:bottom w:val="nil"/>
              <w:right w:val="nil"/>
            </w:tcBorders>
          </w:tcPr>
          <w:p w14:paraId="4AF52D7C" w14:textId="22A28DF3" w:rsidR="003817C5" w:rsidRPr="004E083F" w:rsidRDefault="003817C5" w:rsidP="00C54365">
            <w:pPr>
              <w:spacing w:line="300" w:lineRule="exact"/>
              <w:jc w:val="center"/>
              <w:rPr>
                <w:rFonts w:ascii="Times New Roman" w:hAnsi="Times New Roman" w:cs="Times New Roman"/>
                <w:lang w:val="en-US"/>
              </w:rPr>
            </w:pPr>
          </w:p>
        </w:tc>
        <w:tc>
          <w:tcPr>
            <w:tcW w:w="709" w:type="dxa"/>
            <w:tcBorders>
              <w:top w:val="nil"/>
              <w:left w:val="nil"/>
              <w:bottom w:val="nil"/>
              <w:right w:val="dotted" w:sz="4" w:space="0" w:color="auto"/>
            </w:tcBorders>
          </w:tcPr>
          <w:p w14:paraId="3ADED9DF" w14:textId="5F3DA61A"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5.7</w:t>
            </w:r>
          </w:p>
        </w:tc>
        <w:tc>
          <w:tcPr>
            <w:tcW w:w="709" w:type="dxa"/>
            <w:tcBorders>
              <w:top w:val="nil"/>
              <w:left w:val="dotted" w:sz="4" w:space="0" w:color="auto"/>
              <w:bottom w:val="nil"/>
              <w:right w:val="nil"/>
            </w:tcBorders>
          </w:tcPr>
          <w:p w14:paraId="1259021A" w14:textId="4459861A" w:rsidR="003817C5" w:rsidRPr="004E083F" w:rsidRDefault="003817C5" w:rsidP="00C54365">
            <w:pPr>
              <w:spacing w:line="300" w:lineRule="exact"/>
              <w:jc w:val="center"/>
              <w:rPr>
                <w:rFonts w:ascii="Times New Roman" w:hAnsi="Times New Roman" w:cs="Times New Roman"/>
                <w:lang w:val="en-US"/>
              </w:rPr>
            </w:pPr>
          </w:p>
        </w:tc>
        <w:tc>
          <w:tcPr>
            <w:tcW w:w="964" w:type="dxa"/>
            <w:tcBorders>
              <w:top w:val="nil"/>
              <w:left w:val="nil"/>
              <w:bottom w:val="nil"/>
              <w:right w:val="nil"/>
            </w:tcBorders>
          </w:tcPr>
          <w:p w14:paraId="7BB25ADC" w14:textId="27F06481" w:rsidR="003817C5" w:rsidRPr="004E083F" w:rsidRDefault="003817C5" w:rsidP="00C54365">
            <w:pPr>
              <w:jc w:val="center"/>
              <w:rPr>
                <w:rFonts w:ascii="Times New Roman" w:hAnsi="Times New Roman" w:cs="Times New Roman"/>
              </w:rPr>
            </w:pPr>
            <w:r w:rsidRPr="004E083F">
              <w:rPr>
                <w:rFonts w:ascii="Times New Roman" w:hAnsi="Times New Roman" w:cs="Times New Roman"/>
              </w:rPr>
              <w:t>8.7</w:t>
            </w:r>
          </w:p>
        </w:tc>
        <w:tc>
          <w:tcPr>
            <w:tcW w:w="907" w:type="dxa"/>
            <w:tcBorders>
              <w:top w:val="nil"/>
              <w:left w:val="nil"/>
              <w:bottom w:val="nil"/>
              <w:right w:val="nil"/>
            </w:tcBorders>
            <w:vAlign w:val="center"/>
          </w:tcPr>
          <w:p w14:paraId="0454ABB4" w14:textId="77777777"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w:t>
            </w:r>
          </w:p>
        </w:tc>
        <w:tc>
          <w:tcPr>
            <w:tcW w:w="907" w:type="dxa"/>
            <w:tcBorders>
              <w:top w:val="nil"/>
              <w:left w:val="nil"/>
              <w:bottom w:val="nil"/>
              <w:right w:val="nil"/>
            </w:tcBorders>
            <w:vAlign w:val="center"/>
          </w:tcPr>
          <w:p w14:paraId="3F4BBC95" w14:textId="77777777"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w:t>
            </w:r>
          </w:p>
        </w:tc>
        <w:tc>
          <w:tcPr>
            <w:tcW w:w="912" w:type="dxa"/>
            <w:tcBorders>
              <w:top w:val="nil"/>
              <w:left w:val="nil"/>
              <w:bottom w:val="nil"/>
              <w:right w:val="nil"/>
            </w:tcBorders>
            <w:vAlign w:val="center"/>
          </w:tcPr>
          <w:p w14:paraId="578E6FB4" w14:textId="11223F4B"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w:t>
            </w:r>
          </w:p>
        </w:tc>
      </w:tr>
      <w:tr w:rsidR="004E083F" w:rsidRPr="004E083F" w14:paraId="5C77583F" w14:textId="77777777" w:rsidTr="003817C5">
        <w:trPr>
          <w:gridAfter w:val="1"/>
          <w:wAfter w:w="55" w:type="dxa"/>
          <w:jc w:val="center"/>
        </w:trPr>
        <w:tc>
          <w:tcPr>
            <w:tcW w:w="1446" w:type="dxa"/>
            <w:tcBorders>
              <w:top w:val="nil"/>
              <w:left w:val="nil"/>
              <w:bottom w:val="nil"/>
              <w:right w:val="nil"/>
            </w:tcBorders>
            <w:shd w:val="clear" w:color="auto" w:fill="auto"/>
            <w:vAlign w:val="center"/>
          </w:tcPr>
          <w:p w14:paraId="1917BD93" w14:textId="18F29670"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O10</w:t>
            </w:r>
          </w:p>
        </w:tc>
        <w:tc>
          <w:tcPr>
            <w:tcW w:w="964" w:type="dxa"/>
            <w:tcBorders>
              <w:top w:val="nil"/>
              <w:left w:val="nil"/>
              <w:bottom w:val="nil"/>
              <w:right w:val="nil"/>
            </w:tcBorders>
            <w:shd w:val="clear" w:color="auto" w:fill="auto"/>
          </w:tcPr>
          <w:p w14:paraId="5DA5689D" w14:textId="54FC5620"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67.6</w:t>
            </w:r>
          </w:p>
        </w:tc>
        <w:tc>
          <w:tcPr>
            <w:tcW w:w="964" w:type="dxa"/>
            <w:tcBorders>
              <w:top w:val="nil"/>
              <w:left w:val="nil"/>
              <w:bottom w:val="nil"/>
              <w:right w:val="nil"/>
            </w:tcBorders>
            <w:shd w:val="clear" w:color="auto" w:fill="auto"/>
          </w:tcPr>
          <w:p w14:paraId="2DAB316B" w14:textId="3D896A94"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7.2</w:t>
            </w:r>
          </w:p>
        </w:tc>
        <w:tc>
          <w:tcPr>
            <w:tcW w:w="708" w:type="dxa"/>
            <w:tcBorders>
              <w:top w:val="nil"/>
              <w:left w:val="nil"/>
              <w:bottom w:val="nil"/>
              <w:right w:val="dotted" w:sz="4" w:space="0" w:color="auto"/>
            </w:tcBorders>
            <w:shd w:val="clear" w:color="auto" w:fill="auto"/>
          </w:tcPr>
          <w:p w14:paraId="1B939C4E" w14:textId="0144F10F"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8.3</w:t>
            </w:r>
          </w:p>
        </w:tc>
        <w:tc>
          <w:tcPr>
            <w:tcW w:w="709" w:type="dxa"/>
            <w:tcBorders>
              <w:top w:val="nil"/>
              <w:left w:val="dotted" w:sz="4" w:space="0" w:color="auto"/>
              <w:bottom w:val="nil"/>
              <w:right w:val="nil"/>
            </w:tcBorders>
            <w:shd w:val="clear" w:color="auto" w:fill="auto"/>
          </w:tcPr>
          <w:p w14:paraId="08E02C4A" w14:textId="694459F8" w:rsidR="003817C5" w:rsidRPr="004E083F" w:rsidRDefault="003817C5" w:rsidP="00C54365">
            <w:pPr>
              <w:spacing w:line="300" w:lineRule="exact"/>
              <w:jc w:val="center"/>
              <w:rPr>
                <w:rFonts w:ascii="Times New Roman" w:hAnsi="Times New Roman" w:cs="Times New Roman"/>
                <w:lang w:val="en-US"/>
              </w:rPr>
            </w:pPr>
          </w:p>
        </w:tc>
        <w:tc>
          <w:tcPr>
            <w:tcW w:w="709" w:type="dxa"/>
            <w:tcBorders>
              <w:top w:val="nil"/>
              <w:left w:val="nil"/>
              <w:bottom w:val="nil"/>
              <w:right w:val="dotted" w:sz="4" w:space="0" w:color="auto"/>
            </w:tcBorders>
            <w:shd w:val="clear" w:color="auto" w:fill="auto"/>
          </w:tcPr>
          <w:p w14:paraId="1B0FBF18" w14:textId="4B07CE7F"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14.3</w:t>
            </w:r>
          </w:p>
        </w:tc>
        <w:tc>
          <w:tcPr>
            <w:tcW w:w="709" w:type="dxa"/>
            <w:tcBorders>
              <w:top w:val="nil"/>
              <w:left w:val="dotted" w:sz="4" w:space="0" w:color="auto"/>
              <w:bottom w:val="nil"/>
              <w:right w:val="nil"/>
            </w:tcBorders>
            <w:shd w:val="clear" w:color="auto" w:fill="auto"/>
          </w:tcPr>
          <w:p w14:paraId="4622B5A3" w14:textId="3AE8C2DA" w:rsidR="003817C5" w:rsidRPr="004E083F" w:rsidRDefault="003817C5" w:rsidP="00C54365">
            <w:pPr>
              <w:spacing w:line="300" w:lineRule="exact"/>
              <w:jc w:val="center"/>
              <w:rPr>
                <w:rFonts w:ascii="Times New Roman" w:hAnsi="Times New Roman" w:cs="Times New Roman"/>
                <w:lang w:val="en-US"/>
              </w:rPr>
            </w:pPr>
          </w:p>
        </w:tc>
        <w:tc>
          <w:tcPr>
            <w:tcW w:w="964" w:type="dxa"/>
            <w:tcBorders>
              <w:top w:val="nil"/>
              <w:left w:val="nil"/>
              <w:bottom w:val="nil"/>
              <w:right w:val="nil"/>
            </w:tcBorders>
            <w:shd w:val="clear" w:color="auto" w:fill="auto"/>
          </w:tcPr>
          <w:p w14:paraId="3C9F17B7" w14:textId="0AA1CA39"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2.7</w:t>
            </w:r>
          </w:p>
        </w:tc>
        <w:tc>
          <w:tcPr>
            <w:tcW w:w="907" w:type="dxa"/>
            <w:tcBorders>
              <w:top w:val="nil"/>
              <w:left w:val="nil"/>
              <w:bottom w:val="nil"/>
              <w:right w:val="nil"/>
            </w:tcBorders>
            <w:shd w:val="clear" w:color="auto" w:fill="auto"/>
            <w:vAlign w:val="center"/>
          </w:tcPr>
          <w:p w14:paraId="3E5D97BB" w14:textId="312AE8EC" w:rsidR="003817C5" w:rsidRPr="004E083F" w:rsidRDefault="003817C5" w:rsidP="00C54365">
            <w:pPr>
              <w:jc w:val="center"/>
              <w:rPr>
                <w:rFonts w:ascii="Times New Roman" w:hAnsi="Times New Roman" w:cs="Times New Roman"/>
                <w:lang w:val="en-US"/>
              </w:rPr>
            </w:pPr>
          </w:p>
        </w:tc>
        <w:tc>
          <w:tcPr>
            <w:tcW w:w="907" w:type="dxa"/>
            <w:tcBorders>
              <w:top w:val="nil"/>
              <w:left w:val="nil"/>
              <w:bottom w:val="nil"/>
              <w:right w:val="nil"/>
            </w:tcBorders>
            <w:shd w:val="clear" w:color="auto" w:fill="auto"/>
            <w:vAlign w:val="center"/>
          </w:tcPr>
          <w:p w14:paraId="2792A904" w14:textId="0F6BAF25" w:rsidR="003817C5" w:rsidRPr="004E083F" w:rsidRDefault="003817C5" w:rsidP="00C54365">
            <w:pPr>
              <w:jc w:val="center"/>
              <w:rPr>
                <w:rFonts w:ascii="Times New Roman" w:hAnsi="Times New Roman" w:cs="Times New Roman"/>
                <w:lang w:val="en-US"/>
              </w:rPr>
            </w:pPr>
          </w:p>
        </w:tc>
        <w:tc>
          <w:tcPr>
            <w:tcW w:w="912" w:type="dxa"/>
            <w:tcBorders>
              <w:top w:val="nil"/>
              <w:left w:val="nil"/>
              <w:bottom w:val="nil"/>
              <w:right w:val="nil"/>
            </w:tcBorders>
            <w:vAlign w:val="center"/>
          </w:tcPr>
          <w:p w14:paraId="406ACE41" w14:textId="071A59C5"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w:t>
            </w:r>
          </w:p>
        </w:tc>
      </w:tr>
      <w:tr w:rsidR="004E083F" w:rsidRPr="004E083F" w14:paraId="09B8EF34" w14:textId="77777777" w:rsidTr="003817C5">
        <w:trPr>
          <w:gridAfter w:val="1"/>
          <w:wAfter w:w="55" w:type="dxa"/>
          <w:jc w:val="center"/>
        </w:trPr>
        <w:tc>
          <w:tcPr>
            <w:tcW w:w="1446" w:type="dxa"/>
            <w:tcBorders>
              <w:top w:val="nil"/>
              <w:left w:val="nil"/>
              <w:bottom w:val="nil"/>
              <w:right w:val="nil"/>
            </w:tcBorders>
            <w:shd w:val="clear" w:color="auto" w:fill="auto"/>
            <w:vAlign w:val="center"/>
          </w:tcPr>
          <w:p w14:paraId="69815169" w14:textId="52B8A8E5"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Ar-N</w:t>
            </w:r>
          </w:p>
        </w:tc>
        <w:tc>
          <w:tcPr>
            <w:tcW w:w="964" w:type="dxa"/>
            <w:tcBorders>
              <w:top w:val="nil"/>
              <w:left w:val="nil"/>
              <w:bottom w:val="nil"/>
              <w:right w:val="nil"/>
            </w:tcBorders>
            <w:shd w:val="clear" w:color="auto" w:fill="auto"/>
          </w:tcPr>
          <w:p w14:paraId="7344557B" w14:textId="7CEDF12D"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64.2</w:t>
            </w:r>
          </w:p>
        </w:tc>
        <w:tc>
          <w:tcPr>
            <w:tcW w:w="964" w:type="dxa"/>
            <w:tcBorders>
              <w:top w:val="nil"/>
              <w:left w:val="nil"/>
              <w:bottom w:val="nil"/>
              <w:right w:val="nil"/>
            </w:tcBorders>
            <w:shd w:val="clear" w:color="auto" w:fill="auto"/>
          </w:tcPr>
          <w:p w14:paraId="1F9040FA" w14:textId="4F4A40AF"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17.8</w:t>
            </w:r>
          </w:p>
        </w:tc>
        <w:tc>
          <w:tcPr>
            <w:tcW w:w="708" w:type="dxa"/>
            <w:tcBorders>
              <w:top w:val="nil"/>
              <w:left w:val="nil"/>
              <w:bottom w:val="nil"/>
              <w:right w:val="dotted" w:sz="4" w:space="0" w:color="auto"/>
            </w:tcBorders>
            <w:shd w:val="clear" w:color="auto" w:fill="auto"/>
          </w:tcPr>
          <w:p w14:paraId="7C1982DF" w14:textId="6EA064CB"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4.1</w:t>
            </w:r>
          </w:p>
        </w:tc>
        <w:tc>
          <w:tcPr>
            <w:tcW w:w="709" w:type="dxa"/>
            <w:tcBorders>
              <w:top w:val="nil"/>
              <w:left w:val="dotted" w:sz="4" w:space="0" w:color="auto"/>
              <w:bottom w:val="nil"/>
              <w:right w:val="nil"/>
            </w:tcBorders>
            <w:shd w:val="clear" w:color="auto" w:fill="auto"/>
          </w:tcPr>
          <w:p w14:paraId="79BE8CDC" w14:textId="69BD45EA"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1.5</w:t>
            </w:r>
          </w:p>
        </w:tc>
        <w:tc>
          <w:tcPr>
            <w:tcW w:w="709" w:type="dxa"/>
            <w:tcBorders>
              <w:top w:val="nil"/>
              <w:left w:val="nil"/>
              <w:bottom w:val="nil"/>
              <w:right w:val="dotted" w:sz="4" w:space="0" w:color="auto"/>
            </w:tcBorders>
            <w:shd w:val="clear" w:color="auto" w:fill="auto"/>
          </w:tcPr>
          <w:p w14:paraId="1E2ECAD6" w14:textId="7747F9FD"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2.7</w:t>
            </w:r>
          </w:p>
        </w:tc>
        <w:tc>
          <w:tcPr>
            <w:tcW w:w="709" w:type="dxa"/>
            <w:tcBorders>
              <w:top w:val="nil"/>
              <w:left w:val="dotted" w:sz="4" w:space="0" w:color="auto"/>
              <w:bottom w:val="nil"/>
              <w:right w:val="nil"/>
            </w:tcBorders>
            <w:shd w:val="clear" w:color="auto" w:fill="auto"/>
            <w:vAlign w:val="center"/>
          </w:tcPr>
          <w:p w14:paraId="0428316A" w14:textId="47397966"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lang w:val="en-US"/>
              </w:rPr>
              <w:t>2.9</w:t>
            </w:r>
          </w:p>
        </w:tc>
        <w:tc>
          <w:tcPr>
            <w:tcW w:w="964" w:type="dxa"/>
            <w:tcBorders>
              <w:top w:val="nil"/>
              <w:left w:val="nil"/>
              <w:bottom w:val="nil"/>
              <w:right w:val="nil"/>
            </w:tcBorders>
            <w:shd w:val="clear" w:color="auto" w:fill="auto"/>
            <w:vAlign w:val="center"/>
          </w:tcPr>
          <w:p w14:paraId="14FC4F6E" w14:textId="366B8DC0"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lang w:val="en-US"/>
              </w:rPr>
              <w:t>2.3</w:t>
            </w:r>
          </w:p>
        </w:tc>
        <w:tc>
          <w:tcPr>
            <w:tcW w:w="907" w:type="dxa"/>
            <w:tcBorders>
              <w:top w:val="nil"/>
              <w:left w:val="nil"/>
              <w:bottom w:val="nil"/>
              <w:right w:val="nil"/>
            </w:tcBorders>
            <w:shd w:val="clear" w:color="auto" w:fill="auto"/>
          </w:tcPr>
          <w:p w14:paraId="2E7FF0F9" w14:textId="17FB7F00"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0.9</w:t>
            </w:r>
          </w:p>
        </w:tc>
        <w:tc>
          <w:tcPr>
            <w:tcW w:w="907" w:type="dxa"/>
            <w:tcBorders>
              <w:top w:val="nil"/>
              <w:left w:val="nil"/>
              <w:bottom w:val="nil"/>
              <w:right w:val="nil"/>
            </w:tcBorders>
            <w:shd w:val="clear" w:color="auto" w:fill="auto"/>
          </w:tcPr>
          <w:p w14:paraId="7D4C5B44" w14:textId="2643DEB8"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2.9</w:t>
            </w:r>
          </w:p>
        </w:tc>
        <w:tc>
          <w:tcPr>
            <w:tcW w:w="912" w:type="dxa"/>
            <w:tcBorders>
              <w:top w:val="nil"/>
              <w:left w:val="nil"/>
              <w:bottom w:val="nil"/>
              <w:right w:val="nil"/>
            </w:tcBorders>
          </w:tcPr>
          <w:p w14:paraId="75564599" w14:textId="77109889"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0.6</w:t>
            </w:r>
          </w:p>
        </w:tc>
      </w:tr>
      <w:tr w:rsidR="004E083F" w:rsidRPr="004E083F" w14:paraId="19B08B62" w14:textId="77777777" w:rsidTr="003817C5">
        <w:trPr>
          <w:gridAfter w:val="1"/>
          <w:wAfter w:w="55" w:type="dxa"/>
          <w:jc w:val="center"/>
        </w:trPr>
        <w:tc>
          <w:tcPr>
            <w:tcW w:w="1446" w:type="dxa"/>
            <w:tcBorders>
              <w:top w:val="nil"/>
              <w:left w:val="nil"/>
              <w:bottom w:val="nil"/>
              <w:right w:val="nil"/>
            </w:tcBorders>
            <w:shd w:val="clear" w:color="auto" w:fill="auto"/>
            <w:vAlign w:val="center"/>
          </w:tcPr>
          <w:p w14:paraId="16BD51AB" w14:textId="44B256E9"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O-N</w:t>
            </w:r>
          </w:p>
        </w:tc>
        <w:tc>
          <w:tcPr>
            <w:tcW w:w="964" w:type="dxa"/>
            <w:tcBorders>
              <w:top w:val="nil"/>
              <w:left w:val="nil"/>
              <w:bottom w:val="nil"/>
              <w:right w:val="nil"/>
            </w:tcBorders>
            <w:shd w:val="clear" w:color="auto" w:fill="auto"/>
          </w:tcPr>
          <w:p w14:paraId="39C77D3E" w14:textId="134841E6"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66.6</w:t>
            </w:r>
          </w:p>
        </w:tc>
        <w:tc>
          <w:tcPr>
            <w:tcW w:w="964" w:type="dxa"/>
            <w:tcBorders>
              <w:top w:val="nil"/>
              <w:left w:val="nil"/>
              <w:bottom w:val="nil"/>
              <w:right w:val="nil"/>
            </w:tcBorders>
            <w:shd w:val="clear" w:color="auto" w:fill="auto"/>
          </w:tcPr>
          <w:p w14:paraId="351C8353" w14:textId="5614CD33"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13.2</w:t>
            </w:r>
          </w:p>
        </w:tc>
        <w:tc>
          <w:tcPr>
            <w:tcW w:w="708" w:type="dxa"/>
            <w:tcBorders>
              <w:top w:val="nil"/>
              <w:left w:val="nil"/>
              <w:bottom w:val="nil"/>
              <w:right w:val="dotted" w:sz="4" w:space="0" w:color="auto"/>
            </w:tcBorders>
            <w:shd w:val="clear" w:color="auto" w:fill="auto"/>
          </w:tcPr>
          <w:p w14:paraId="21E6CBCA" w14:textId="771103A7"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4.1</w:t>
            </w:r>
          </w:p>
        </w:tc>
        <w:tc>
          <w:tcPr>
            <w:tcW w:w="709" w:type="dxa"/>
            <w:tcBorders>
              <w:top w:val="nil"/>
              <w:left w:val="dotted" w:sz="4" w:space="0" w:color="auto"/>
              <w:bottom w:val="nil"/>
              <w:right w:val="nil"/>
            </w:tcBorders>
            <w:shd w:val="clear" w:color="auto" w:fill="auto"/>
          </w:tcPr>
          <w:p w14:paraId="2E24C68C" w14:textId="25D881C9"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lang w:val="en-US"/>
              </w:rPr>
              <w:t>1.5</w:t>
            </w:r>
          </w:p>
        </w:tc>
        <w:tc>
          <w:tcPr>
            <w:tcW w:w="709" w:type="dxa"/>
            <w:tcBorders>
              <w:top w:val="nil"/>
              <w:left w:val="nil"/>
              <w:bottom w:val="nil"/>
              <w:right w:val="dotted" w:sz="4" w:space="0" w:color="auto"/>
            </w:tcBorders>
            <w:shd w:val="clear" w:color="auto" w:fill="auto"/>
          </w:tcPr>
          <w:p w14:paraId="53E1AB3F" w14:textId="76D1BD0F"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1.3</w:t>
            </w:r>
          </w:p>
        </w:tc>
        <w:tc>
          <w:tcPr>
            <w:tcW w:w="709" w:type="dxa"/>
            <w:tcBorders>
              <w:top w:val="nil"/>
              <w:left w:val="dotted" w:sz="4" w:space="0" w:color="auto"/>
              <w:bottom w:val="nil"/>
              <w:right w:val="nil"/>
            </w:tcBorders>
            <w:shd w:val="clear" w:color="auto" w:fill="auto"/>
          </w:tcPr>
          <w:p w14:paraId="1373672E" w14:textId="4F533B4E"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lang w:val="en-US"/>
              </w:rPr>
              <w:t>2.9</w:t>
            </w:r>
          </w:p>
        </w:tc>
        <w:tc>
          <w:tcPr>
            <w:tcW w:w="964" w:type="dxa"/>
            <w:tcBorders>
              <w:top w:val="nil"/>
              <w:left w:val="nil"/>
              <w:bottom w:val="nil"/>
              <w:right w:val="nil"/>
            </w:tcBorders>
            <w:shd w:val="clear" w:color="auto" w:fill="auto"/>
          </w:tcPr>
          <w:p w14:paraId="4D4A1AA4" w14:textId="1D5A69A3"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6.1</w:t>
            </w:r>
          </w:p>
        </w:tc>
        <w:tc>
          <w:tcPr>
            <w:tcW w:w="907" w:type="dxa"/>
            <w:tcBorders>
              <w:top w:val="nil"/>
              <w:left w:val="nil"/>
              <w:bottom w:val="nil"/>
              <w:right w:val="nil"/>
            </w:tcBorders>
            <w:shd w:val="clear" w:color="auto" w:fill="auto"/>
          </w:tcPr>
          <w:p w14:paraId="2EECD1A2" w14:textId="1E46BA7D"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1.1</w:t>
            </w:r>
          </w:p>
        </w:tc>
        <w:tc>
          <w:tcPr>
            <w:tcW w:w="907" w:type="dxa"/>
            <w:tcBorders>
              <w:top w:val="nil"/>
              <w:left w:val="nil"/>
              <w:bottom w:val="nil"/>
              <w:right w:val="nil"/>
            </w:tcBorders>
            <w:shd w:val="clear" w:color="auto" w:fill="auto"/>
          </w:tcPr>
          <w:p w14:paraId="4E32F557" w14:textId="1A6D0084"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2.9</w:t>
            </w:r>
          </w:p>
        </w:tc>
        <w:tc>
          <w:tcPr>
            <w:tcW w:w="912" w:type="dxa"/>
            <w:tcBorders>
              <w:top w:val="nil"/>
              <w:left w:val="nil"/>
              <w:bottom w:val="nil"/>
              <w:right w:val="nil"/>
            </w:tcBorders>
          </w:tcPr>
          <w:p w14:paraId="13FADB02" w14:textId="23D886A6"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0.4</w:t>
            </w:r>
          </w:p>
        </w:tc>
      </w:tr>
      <w:tr w:rsidR="004E083F" w:rsidRPr="004E083F" w14:paraId="125E117F" w14:textId="77777777" w:rsidTr="003817C5">
        <w:trPr>
          <w:gridAfter w:val="1"/>
          <w:wAfter w:w="55" w:type="dxa"/>
          <w:jc w:val="center"/>
        </w:trPr>
        <w:tc>
          <w:tcPr>
            <w:tcW w:w="1446" w:type="dxa"/>
            <w:tcBorders>
              <w:top w:val="nil"/>
              <w:left w:val="nil"/>
              <w:bottom w:val="nil"/>
              <w:right w:val="nil"/>
            </w:tcBorders>
            <w:shd w:val="clear" w:color="auto" w:fill="auto"/>
            <w:vAlign w:val="center"/>
          </w:tcPr>
          <w:p w14:paraId="24DFF629" w14:textId="7CD17A35"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Ar-O-N</w:t>
            </w:r>
          </w:p>
        </w:tc>
        <w:tc>
          <w:tcPr>
            <w:tcW w:w="964" w:type="dxa"/>
            <w:tcBorders>
              <w:top w:val="nil"/>
              <w:left w:val="nil"/>
              <w:bottom w:val="nil"/>
              <w:right w:val="nil"/>
            </w:tcBorders>
            <w:shd w:val="clear" w:color="auto" w:fill="auto"/>
          </w:tcPr>
          <w:p w14:paraId="1628AD47" w14:textId="192D274B"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69.1</w:t>
            </w:r>
          </w:p>
        </w:tc>
        <w:tc>
          <w:tcPr>
            <w:tcW w:w="964" w:type="dxa"/>
            <w:tcBorders>
              <w:top w:val="nil"/>
              <w:left w:val="nil"/>
              <w:bottom w:val="nil"/>
              <w:right w:val="nil"/>
            </w:tcBorders>
            <w:shd w:val="clear" w:color="auto" w:fill="auto"/>
          </w:tcPr>
          <w:p w14:paraId="318C3C55" w14:textId="74492D41"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9.4</w:t>
            </w:r>
          </w:p>
        </w:tc>
        <w:tc>
          <w:tcPr>
            <w:tcW w:w="708" w:type="dxa"/>
            <w:tcBorders>
              <w:top w:val="nil"/>
              <w:left w:val="nil"/>
              <w:bottom w:val="nil"/>
              <w:right w:val="dotted" w:sz="4" w:space="0" w:color="auto"/>
            </w:tcBorders>
            <w:shd w:val="clear" w:color="auto" w:fill="auto"/>
          </w:tcPr>
          <w:p w14:paraId="6BF363EA" w14:textId="3659FB9E"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4.7</w:t>
            </w:r>
          </w:p>
        </w:tc>
        <w:tc>
          <w:tcPr>
            <w:tcW w:w="709" w:type="dxa"/>
            <w:tcBorders>
              <w:top w:val="nil"/>
              <w:left w:val="dotted" w:sz="4" w:space="0" w:color="auto"/>
              <w:bottom w:val="nil"/>
              <w:right w:val="nil"/>
            </w:tcBorders>
            <w:shd w:val="clear" w:color="auto" w:fill="auto"/>
          </w:tcPr>
          <w:p w14:paraId="734CFC72" w14:textId="35694532"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lang w:val="en-US"/>
              </w:rPr>
              <w:t>1.0</w:t>
            </w:r>
          </w:p>
        </w:tc>
        <w:tc>
          <w:tcPr>
            <w:tcW w:w="709" w:type="dxa"/>
            <w:tcBorders>
              <w:top w:val="nil"/>
              <w:left w:val="nil"/>
              <w:bottom w:val="nil"/>
              <w:right w:val="dotted" w:sz="4" w:space="0" w:color="auto"/>
            </w:tcBorders>
            <w:shd w:val="clear" w:color="auto" w:fill="auto"/>
          </w:tcPr>
          <w:p w14:paraId="6B7D85BE" w14:textId="68569ACC"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3.2</w:t>
            </w:r>
          </w:p>
        </w:tc>
        <w:tc>
          <w:tcPr>
            <w:tcW w:w="709" w:type="dxa"/>
            <w:tcBorders>
              <w:top w:val="nil"/>
              <w:left w:val="dotted" w:sz="4" w:space="0" w:color="auto"/>
              <w:bottom w:val="nil"/>
              <w:right w:val="nil"/>
            </w:tcBorders>
            <w:shd w:val="clear" w:color="auto" w:fill="auto"/>
          </w:tcPr>
          <w:p w14:paraId="4980AC41" w14:textId="7F618877"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lang w:val="en-US"/>
              </w:rPr>
              <w:t>3.5</w:t>
            </w:r>
          </w:p>
        </w:tc>
        <w:tc>
          <w:tcPr>
            <w:tcW w:w="964" w:type="dxa"/>
            <w:tcBorders>
              <w:top w:val="nil"/>
              <w:left w:val="nil"/>
              <w:bottom w:val="nil"/>
              <w:right w:val="nil"/>
            </w:tcBorders>
            <w:shd w:val="clear" w:color="auto" w:fill="auto"/>
          </w:tcPr>
          <w:p w14:paraId="685D188C" w14:textId="4533EA8A"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4.7</w:t>
            </w:r>
          </w:p>
        </w:tc>
        <w:tc>
          <w:tcPr>
            <w:tcW w:w="907" w:type="dxa"/>
            <w:tcBorders>
              <w:top w:val="nil"/>
              <w:left w:val="nil"/>
              <w:bottom w:val="nil"/>
              <w:right w:val="nil"/>
            </w:tcBorders>
            <w:shd w:val="clear" w:color="auto" w:fill="auto"/>
          </w:tcPr>
          <w:p w14:paraId="56839204" w14:textId="54C93767"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0.7</w:t>
            </w:r>
          </w:p>
        </w:tc>
        <w:tc>
          <w:tcPr>
            <w:tcW w:w="907" w:type="dxa"/>
            <w:tcBorders>
              <w:top w:val="nil"/>
              <w:left w:val="nil"/>
              <w:bottom w:val="nil"/>
              <w:right w:val="nil"/>
            </w:tcBorders>
            <w:shd w:val="clear" w:color="auto" w:fill="auto"/>
          </w:tcPr>
          <w:p w14:paraId="10859785" w14:textId="465F4322"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3.5</w:t>
            </w:r>
          </w:p>
        </w:tc>
        <w:tc>
          <w:tcPr>
            <w:tcW w:w="912" w:type="dxa"/>
            <w:tcBorders>
              <w:top w:val="nil"/>
              <w:left w:val="nil"/>
              <w:bottom w:val="nil"/>
              <w:right w:val="nil"/>
            </w:tcBorders>
          </w:tcPr>
          <w:p w14:paraId="70128AA7" w14:textId="114AC76E"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0.3</w:t>
            </w:r>
          </w:p>
        </w:tc>
      </w:tr>
      <w:tr w:rsidR="004E083F" w:rsidRPr="004E083F" w14:paraId="1BAF7957" w14:textId="77777777" w:rsidTr="003817C5">
        <w:trPr>
          <w:gridAfter w:val="1"/>
          <w:wAfter w:w="55" w:type="dxa"/>
          <w:jc w:val="center"/>
        </w:trPr>
        <w:tc>
          <w:tcPr>
            <w:tcW w:w="1446" w:type="dxa"/>
            <w:tcBorders>
              <w:top w:val="nil"/>
              <w:left w:val="nil"/>
              <w:bottom w:val="single" w:sz="12" w:space="0" w:color="auto"/>
              <w:right w:val="nil"/>
            </w:tcBorders>
            <w:shd w:val="clear" w:color="auto" w:fill="auto"/>
            <w:vAlign w:val="center"/>
          </w:tcPr>
          <w:p w14:paraId="3B8D5CC7" w14:textId="5D7721F9" w:rsidR="003817C5" w:rsidRPr="004E083F" w:rsidRDefault="003817C5" w:rsidP="00C54365">
            <w:pPr>
              <w:spacing w:line="300" w:lineRule="exact"/>
              <w:jc w:val="center"/>
              <w:rPr>
                <w:rFonts w:ascii="Times New Roman" w:hAnsi="Times New Roman" w:cs="Times New Roman"/>
              </w:rPr>
            </w:pPr>
            <w:r w:rsidRPr="004E083F">
              <w:rPr>
                <w:rFonts w:ascii="Times New Roman" w:hAnsi="Times New Roman" w:cs="Times New Roman"/>
              </w:rPr>
              <w:t>500-Ar-O-N</w:t>
            </w:r>
          </w:p>
        </w:tc>
        <w:tc>
          <w:tcPr>
            <w:tcW w:w="964" w:type="dxa"/>
            <w:tcBorders>
              <w:top w:val="nil"/>
              <w:left w:val="nil"/>
              <w:bottom w:val="single" w:sz="12" w:space="0" w:color="auto"/>
              <w:right w:val="nil"/>
            </w:tcBorders>
            <w:shd w:val="clear" w:color="auto" w:fill="auto"/>
          </w:tcPr>
          <w:p w14:paraId="11686903" w14:textId="49C8DA4E"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71.1</w:t>
            </w:r>
          </w:p>
        </w:tc>
        <w:tc>
          <w:tcPr>
            <w:tcW w:w="964" w:type="dxa"/>
            <w:tcBorders>
              <w:top w:val="nil"/>
              <w:left w:val="nil"/>
              <w:bottom w:val="single" w:sz="12" w:space="0" w:color="auto"/>
              <w:right w:val="nil"/>
            </w:tcBorders>
            <w:shd w:val="clear" w:color="auto" w:fill="auto"/>
          </w:tcPr>
          <w:p w14:paraId="6D914379" w14:textId="396BB5A8"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14.9</w:t>
            </w:r>
          </w:p>
        </w:tc>
        <w:tc>
          <w:tcPr>
            <w:tcW w:w="708" w:type="dxa"/>
            <w:tcBorders>
              <w:top w:val="nil"/>
              <w:left w:val="nil"/>
              <w:bottom w:val="single" w:sz="12" w:space="0" w:color="auto"/>
              <w:right w:val="dotted" w:sz="4" w:space="0" w:color="auto"/>
            </w:tcBorders>
            <w:shd w:val="clear" w:color="auto" w:fill="auto"/>
          </w:tcPr>
          <w:p w14:paraId="78D65950" w14:textId="7424C745"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6.1</w:t>
            </w:r>
          </w:p>
        </w:tc>
        <w:tc>
          <w:tcPr>
            <w:tcW w:w="709" w:type="dxa"/>
            <w:tcBorders>
              <w:top w:val="nil"/>
              <w:left w:val="dotted" w:sz="4" w:space="0" w:color="auto"/>
              <w:bottom w:val="single" w:sz="12" w:space="0" w:color="auto"/>
              <w:right w:val="nil"/>
            </w:tcBorders>
            <w:shd w:val="clear" w:color="auto" w:fill="auto"/>
          </w:tcPr>
          <w:p w14:paraId="522D42AE" w14:textId="77777777" w:rsidR="003817C5" w:rsidRPr="004E083F" w:rsidRDefault="003817C5" w:rsidP="00C54365">
            <w:pPr>
              <w:spacing w:line="300" w:lineRule="exact"/>
              <w:jc w:val="center"/>
              <w:rPr>
                <w:rFonts w:ascii="Times New Roman" w:hAnsi="Times New Roman" w:cs="Times New Roman"/>
                <w:lang w:val="en-US"/>
              </w:rPr>
            </w:pPr>
          </w:p>
        </w:tc>
        <w:tc>
          <w:tcPr>
            <w:tcW w:w="709" w:type="dxa"/>
            <w:tcBorders>
              <w:top w:val="nil"/>
              <w:left w:val="nil"/>
              <w:bottom w:val="single" w:sz="12" w:space="0" w:color="auto"/>
              <w:right w:val="dotted" w:sz="4" w:space="0" w:color="auto"/>
            </w:tcBorders>
            <w:shd w:val="clear" w:color="auto" w:fill="auto"/>
          </w:tcPr>
          <w:p w14:paraId="2D63E75A" w14:textId="41FD88B8" w:rsidR="003817C5" w:rsidRPr="004E083F" w:rsidRDefault="003817C5" w:rsidP="00C54365">
            <w:pPr>
              <w:spacing w:line="300" w:lineRule="exact"/>
              <w:jc w:val="center"/>
              <w:rPr>
                <w:rFonts w:ascii="Times New Roman" w:hAnsi="Times New Roman" w:cs="Times New Roman"/>
                <w:lang w:val="en-US"/>
              </w:rPr>
            </w:pPr>
            <w:r w:rsidRPr="004E083F">
              <w:rPr>
                <w:rFonts w:ascii="Times New Roman" w:hAnsi="Times New Roman" w:cs="Times New Roman"/>
              </w:rPr>
              <w:t>6.4</w:t>
            </w:r>
          </w:p>
        </w:tc>
        <w:tc>
          <w:tcPr>
            <w:tcW w:w="709" w:type="dxa"/>
            <w:tcBorders>
              <w:top w:val="nil"/>
              <w:left w:val="dotted" w:sz="4" w:space="0" w:color="auto"/>
              <w:bottom w:val="single" w:sz="12" w:space="0" w:color="auto"/>
              <w:right w:val="nil"/>
            </w:tcBorders>
            <w:shd w:val="clear" w:color="auto" w:fill="auto"/>
          </w:tcPr>
          <w:p w14:paraId="6CAF2EE0" w14:textId="77777777" w:rsidR="003817C5" w:rsidRPr="004E083F" w:rsidRDefault="003817C5" w:rsidP="00C54365">
            <w:pPr>
              <w:spacing w:line="300" w:lineRule="exact"/>
              <w:jc w:val="center"/>
              <w:rPr>
                <w:rFonts w:ascii="Times New Roman" w:hAnsi="Times New Roman" w:cs="Times New Roman"/>
                <w:lang w:val="en-US"/>
              </w:rPr>
            </w:pPr>
          </w:p>
        </w:tc>
        <w:tc>
          <w:tcPr>
            <w:tcW w:w="964" w:type="dxa"/>
            <w:tcBorders>
              <w:top w:val="nil"/>
              <w:left w:val="nil"/>
              <w:bottom w:val="single" w:sz="12" w:space="0" w:color="auto"/>
              <w:right w:val="nil"/>
            </w:tcBorders>
            <w:shd w:val="clear" w:color="auto" w:fill="auto"/>
          </w:tcPr>
          <w:p w14:paraId="17A636A5" w14:textId="3672CEFD" w:rsidR="003817C5" w:rsidRPr="004E083F" w:rsidRDefault="003817C5" w:rsidP="00C54365">
            <w:pPr>
              <w:jc w:val="center"/>
              <w:rPr>
                <w:rFonts w:ascii="Times New Roman" w:hAnsi="Times New Roman" w:cs="Times New Roman"/>
                <w:lang w:val="en-US"/>
              </w:rPr>
            </w:pPr>
            <w:r w:rsidRPr="004E083F">
              <w:rPr>
                <w:rFonts w:ascii="Times New Roman" w:hAnsi="Times New Roman" w:cs="Times New Roman"/>
              </w:rPr>
              <w:t>1.4</w:t>
            </w:r>
          </w:p>
        </w:tc>
        <w:tc>
          <w:tcPr>
            <w:tcW w:w="907" w:type="dxa"/>
            <w:tcBorders>
              <w:top w:val="nil"/>
              <w:left w:val="nil"/>
              <w:bottom w:val="single" w:sz="12" w:space="0" w:color="auto"/>
              <w:right w:val="nil"/>
            </w:tcBorders>
            <w:shd w:val="clear" w:color="auto" w:fill="auto"/>
            <w:vAlign w:val="center"/>
          </w:tcPr>
          <w:p w14:paraId="5E8B27BD" w14:textId="77777777" w:rsidR="003817C5" w:rsidRPr="004E083F" w:rsidRDefault="003817C5" w:rsidP="00C54365">
            <w:pPr>
              <w:jc w:val="center"/>
              <w:rPr>
                <w:rFonts w:ascii="Times New Roman" w:hAnsi="Times New Roman" w:cs="Times New Roman"/>
                <w:lang w:val="en-US"/>
              </w:rPr>
            </w:pPr>
          </w:p>
        </w:tc>
        <w:tc>
          <w:tcPr>
            <w:tcW w:w="907" w:type="dxa"/>
            <w:tcBorders>
              <w:top w:val="nil"/>
              <w:left w:val="nil"/>
              <w:bottom w:val="single" w:sz="12" w:space="0" w:color="auto"/>
              <w:right w:val="nil"/>
            </w:tcBorders>
            <w:shd w:val="clear" w:color="auto" w:fill="auto"/>
            <w:vAlign w:val="center"/>
          </w:tcPr>
          <w:p w14:paraId="1B8068A9" w14:textId="77777777" w:rsidR="003817C5" w:rsidRPr="004E083F" w:rsidRDefault="003817C5" w:rsidP="00C54365">
            <w:pPr>
              <w:jc w:val="center"/>
              <w:rPr>
                <w:rFonts w:ascii="Times New Roman" w:hAnsi="Times New Roman" w:cs="Times New Roman"/>
                <w:lang w:val="en-US"/>
              </w:rPr>
            </w:pPr>
          </w:p>
        </w:tc>
        <w:tc>
          <w:tcPr>
            <w:tcW w:w="912" w:type="dxa"/>
            <w:tcBorders>
              <w:top w:val="nil"/>
              <w:left w:val="nil"/>
              <w:bottom w:val="single" w:sz="12" w:space="0" w:color="auto"/>
              <w:right w:val="nil"/>
            </w:tcBorders>
            <w:vAlign w:val="center"/>
          </w:tcPr>
          <w:p w14:paraId="283BDD8F" w14:textId="2C9D6060" w:rsidR="003817C5" w:rsidRPr="004E083F" w:rsidRDefault="003817C5" w:rsidP="00C54365">
            <w:pPr>
              <w:spacing w:line="300" w:lineRule="exact"/>
              <w:jc w:val="center"/>
              <w:rPr>
                <w:rFonts w:ascii="Times New Roman" w:hAnsi="Times New Roman" w:cs="Times New Roman"/>
              </w:rPr>
            </w:pPr>
          </w:p>
        </w:tc>
      </w:tr>
    </w:tbl>
    <w:p w14:paraId="3034F3BD" w14:textId="4726D401" w:rsidR="001943C9" w:rsidRPr="004E083F" w:rsidRDefault="001943C9" w:rsidP="001943C9">
      <w:pPr>
        <w:spacing w:afterLines="100" w:after="240" w:line="360" w:lineRule="auto"/>
        <w:jc w:val="both"/>
        <w:rPr>
          <w:rFonts w:ascii="Times New Roman" w:hAnsi="Times New Roman" w:cs="Times New Roman"/>
          <w:lang w:val="en-US"/>
        </w:rPr>
      </w:pPr>
      <w:r w:rsidRPr="004E083F">
        <w:rPr>
          <w:rFonts w:ascii="Times New Roman" w:hAnsi="Times New Roman" w:cs="Times New Roman"/>
          <w:lang w:val="en-US"/>
        </w:rPr>
        <w:t>*</w:t>
      </w:r>
      <w:r w:rsidR="007E5837" w:rsidRPr="004E083F">
        <w:rPr>
          <w:rFonts w:ascii="Times New Roman" w:hAnsi="Times New Roman" w:cs="Times New Roman"/>
          <w:lang w:val="en-US"/>
        </w:rPr>
        <w:t xml:space="preserve"> G, N30 and N60 are referred to be pristine graphene, 30 NH</w:t>
      </w:r>
      <w:r w:rsidR="007E5837" w:rsidRPr="004E083F">
        <w:rPr>
          <w:rFonts w:ascii="Times New Roman" w:hAnsi="Times New Roman" w:cs="Times New Roman"/>
          <w:vertAlign w:val="subscript"/>
          <w:lang w:val="en-US"/>
        </w:rPr>
        <w:t>3</w:t>
      </w:r>
      <w:r w:rsidR="007E5837" w:rsidRPr="004E083F">
        <w:rPr>
          <w:rFonts w:ascii="Times New Roman" w:hAnsi="Times New Roman" w:cs="Times New Roman"/>
          <w:lang w:val="en-US"/>
        </w:rPr>
        <w:t xml:space="preserve"> and 60 s NH</w:t>
      </w:r>
      <w:r w:rsidR="007E5837" w:rsidRPr="004E083F">
        <w:rPr>
          <w:rFonts w:ascii="Times New Roman" w:hAnsi="Times New Roman" w:cs="Times New Roman"/>
          <w:vertAlign w:val="subscript"/>
          <w:lang w:val="en-US"/>
        </w:rPr>
        <w:t>3</w:t>
      </w:r>
      <w:r w:rsidR="007E5837" w:rsidRPr="004E083F">
        <w:rPr>
          <w:rFonts w:ascii="Times New Roman" w:hAnsi="Times New Roman" w:cs="Times New Roman"/>
          <w:lang w:val="en-US"/>
        </w:rPr>
        <w:t xml:space="preserve"> treated graphene in Figure S4. </w:t>
      </w:r>
      <w:r w:rsidRPr="004E083F">
        <w:rPr>
          <w:rFonts w:ascii="Times New Roman" w:hAnsi="Times New Roman" w:cs="Times New Roman"/>
          <w:lang w:val="en-US"/>
        </w:rPr>
        <w:t xml:space="preserve">XPS characterizations were performed on graphene supported by </w:t>
      </w:r>
      <w:r w:rsidR="00671BCD" w:rsidRPr="004E083F">
        <w:rPr>
          <w:rFonts w:ascii="Times New Roman" w:hAnsi="Times New Roman" w:cs="Times New Roman"/>
          <w:lang w:val="en-US"/>
        </w:rPr>
        <w:t xml:space="preserve">copper </w:t>
      </w:r>
      <w:r w:rsidRPr="004E083F">
        <w:rPr>
          <w:rFonts w:ascii="Times New Roman" w:hAnsi="Times New Roman" w:cs="Times New Roman"/>
          <w:lang w:val="en-US"/>
        </w:rPr>
        <w:t>foil. PMMA coating and removal procedure were introduced to simulate the transfer process and the resultant polymer residues effect on chemical compositions.</w:t>
      </w:r>
    </w:p>
    <w:p w14:paraId="58716EF9" w14:textId="77777777" w:rsidR="001943C9" w:rsidRPr="004E083F" w:rsidRDefault="001943C9" w:rsidP="00E3472D">
      <w:pPr>
        <w:spacing w:afterLines="100" w:after="240" w:line="240" w:lineRule="auto"/>
        <w:jc w:val="both"/>
        <w:rPr>
          <w:rFonts w:ascii="Times New Roman" w:hAnsi="Times New Roman" w:cs="Times New Roman"/>
          <w:lang w:val="en-US"/>
        </w:rPr>
      </w:pPr>
    </w:p>
    <w:p w14:paraId="6412AD84" w14:textId="77777777" w:rsidR="007A576B" w:rsidRPr="004E083F" w:rsidRDefault="007A576B" w:rsidP="007A576B">
      <w:pPr>
        <w:spacing w:afterLines="100" w:after="240"/>
        <w:jc w:val="both"/>
        <w:rPr>
          <w:rFonts w:ascii="Times New Roman" w:hAnsi="Times New Roman" w:cs="Times New Roman"/>
          <w:lang w:val="en-US"/>
        </w:rPr>
      </w:pPr>
      <w:r w:rsidRPr="004E083F">
        <w:rPr>
          <w:rFonts w:ascii="Times New Roman" w:hAnsi="Times New Roman" w:cs="Times New Roman"/>
          <w:noProof/>
        </w:rPr>
        <w:lastRenderedPageBreak/>
        <w:drawing>
          <wp:inline distT="0" distB="0" distL="0" distR="0" wp14:anchorId="4128830F" wp14:editId="4A38B5C2">
            <wp:extent cx="5752054" cy="2340000"/>
            <wp:effectExtent l="0" t="0" r="127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1">
                      <a:extLst>
                        <a:ext uri="{28A0092B-C50C-407E-A947-70E740481C1C}">
                          <a14:useLocalDpi xmlns:a14="http://schemas.microsoft.com/office/drawing/2010/main" val="0"/>
                        </a:ext>
                      </a:extLst>
                    </a:blip>
                    <a:srcRect l="2428" t="3682"/>
                    <a:stretch/>
                  </pic:blipFill>
                  <pic:spPr bwMode="auto">
                    <a:xfrm>
                      <a:off x="0" y="0"/>
                      <a:ext cx="5752054" cy="2340000"/>
                    </a:xfrm>
                    <a:prstGeom prst="rect">
                      <a:avLst/>
                    </a:prstGeom>
                    <a:noFill/>
                    <a:ln>
                      <a:noFill/>
                    </a:ln>
                    <a:extLst>
                      <a:ext uri="{53640926-AAD7-44D8-BBD7-CCE9431645EC}">
                        <a14:shadowObscured xmlns:a14="http://schemas.microsoft.com/office/drawing/2010/main"/>
                      </a:ext>
                    </a:extLst>
                  </pic:spPr>
                </pic:pic>
              </a:graphicData>
            </a:graphic>
          </wp:inline>
        </w:drawing>
      </w:r>
    </w:p>
    <w:p w14:paraId="122651F6" w14:textId="1919F103" w:rsidR="00C05EC4" w:rsidRPr="004E083F" w:rsidRDefault="007A576B" w:rsidP="00E3472D">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S1</w:t>
      </w:r>
      <w:r w:rsidR="009C59B3" w:rsidRPr="004E083F">
        <w:rPr>
          <w:rFonts w:ascii="Times New Roman" w:hAnsi="Times New Roman" w:cs="Times New Roman"/>
          <w:b/>
          <w:lang w:val="en-US"/>
        </w:rPr>
        <w:t>1</w:t>
      </w:r>
      <w:r w:rsidRPr="004E083F">
        <w:rPr>
          <w:rFonts w:ascii="Times New Roman" w:hAnsi="Times New Roman" w:cs="Times New Roman"/>
          <w:b/>
          <w:lang w:val="en-US"/>
        </w:rPr>
        <w:t xml:space="preserve">. </w:t>
      </w:r>
      <w:r w:rsidRPr="004E083F">
        <w:rPr>
          <w:rFonts w:ascii="Times New Roman" w:hAnsi="Times New Roman" w:cs="Times New Roman"/>
          <w:lang w:val="en-US"/>
        </w:rPr>
        <w:t>Levich constant and collection efficiency. a) ORR polarization curves at different rotation rates on a platinum disk electrode in 0.1 M NaOH solution saturated with O</w:t>
      </w:r>
      <w:r w:rsidRPr="004E083F">
        <w:rPr>
          <w:rFonts w:ascii="Times New Roman" w:hAnsi="Times New Roman" w:cs="Times New Roman"/>
          <w:vertAlign w:val="subscript"/>
          <w:lang w:val="en-US"/>
        </w:rPr>
        <w:t>2</w:t>
      </w:r>
      <w:r w:rsidRPr="004E083F">
        <w:rPr>
          <w:rFonts w:ascii="Times New Roman" w:hAnsi="Times New Roman" w:cs="Times New Roman"/>
          <w:lang w:val="en-US"/>
        </w:rPr>
        <w:t>. b) Currents on the GC disk and platinum ring electrodes for 1 mM K</w:t>
      </w:r>
      <w:r w:rsidRPr="004E083F">
        <w:rPr>
          <w:rFonts w:ascii="Times New Roman" w:hAnsi="Times New Roman" w:cs="Times New Roman"/>
          <w:vertAlign w:val="subscript"/>
          <w:lang w:val="en-US"/>
        </w:rPr>
        <w:t>3</w:t>
      </w:r>
      <w:r w:rsidR="00671BCD" w:rsidRPr="004E083F">
        <w:rPr>
          <w:rFonts w:ascii="Times New Roman" w:hAnsi="Times New Roman" w:cs="Times New Roman"/>
          <w:lang w:val="en-US"/>
        </w:rPr>
        <w:t>[</w:t>
      </w:r>
      <w:r w:rsidRPr="004E083F">
        <w:rPr>
          <w:rFonts w:ascii="Times New Roman" w:hAnsi="Times New Roman" w:cs="Times New Roman"/>
          <w:lang w:val="en-US"/>
        </w:rPr>
        <w:t>Fe(CN)</w:t>
      </w:r>
      <w:r w:rsidRPr="004E083F">
        <w:rPr>
          <w:rFonts w:ascii="Times New Roman" w:hAnsi="Times New Roman" w:cs="Times New Roman"/>
          <w:vertAlign w:val="subscript"/>
          <w:lang w:val="en-US"/>
        </w:rPr>
        <w:t>6</w:t>
      </w:r>
      <w:r w:rsidR="00671BCD" w:rsidRPr="004E083F">
        <w:rPr>
          <w:rFonts w:ascii="Times New Roman" w:hAnsi="Times New Roman" w:cs="Times New Roman"/>
          <w:lang w:val="en-US"/>
        </w:rPr>
        <w:t>]</w:t>
      </w:r>
      <w:r w:rsidRPr="004E083F">
        <w:rPr>
          <w:rFonts w:ascii="Times New Roman" w:hAnsi="Times New Roman" w:cs="Times New Roman"/>
          <w:lang w:val="en-US"/>
        </w:rPr>
        <w:t xml:space="preserve"> in 0.1 M NaClO</w:t>
      </w:r>
      <w:r w:rsidRPr="004E083F">
        <w:rPr>
          <w:rFonts w:ascii="Times New Roman" w:hAnsi="Times New Roman" w:cs="Times New Roman"/>
          <w:vertAlign w:val="subscript"/>
          <w:lang w:val="en-US"/>
        </w:rPr>
        <w:t>4</w:t>
      </w:r>
      <w:r w:rsidRPr="004E083F">
        <w:rPr>
          <w:rFonts w:ascii="Times New Roman" w:hAnsi="Times New Roman" w:cs="Times New Roman"/>
          <w:lang w:val="en-US"/>
        </w:rPr>
        <w:t xml:space="preserve"> purged with argon at different rotation speeds. </w:t>
      </w:r>
    </w:p>
    <w:p w14:paraId="3A060B5D" w14:textId="4DD18E67" w:rsidR="00C05EC4" w:rsidRPr="004E083F" w:rsidRDefault="00C05EC4" w:rsidP="004B2E3B">
      <w:pPr>
        <w:spacing w:afterLines="100" w:after="240" w:line="240" w:lineRule="auto"/>
        <w:jc w:val="center"/>
        <w:rPr>
          <w:rFonts w:ascii="Times New Roman" w:hAnsi="Times New Roman" w:cs="Times New Roman"/>
          <w:lang w:val="en-US"/>
        </w:rPr>
      </w:pPr>
      <w:r w:rsidRPr="004E083F">
        <w:rPr>
          <w:rFonts w:ascii="Times New Roman" w:hAnsi="Times New Roman" w:cs="Times New Roman"/>
          <w:noProof/>
        </w:rPr>
        <w:lastRenderedPageBreak/>
        <w:drawing>
          <wp:inline distT="0" distB="0" distL="0" distR="0" wp14:anchorId="0F93D565" wp14:editId="30BC95F4">
            <wp:extent cx="5017674" cy="6770684"/>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22863" cy="6777685"/>
                    </a:xfrm>
                    <a:prstGeom prst="rect">
                      <a:avLst/>
                    </a:prstGeom>
                    <a:noFill/>
                  </pic:spPr>
                </pic:pic>
              </a:graphicData>
            </a:graphic>
          </wp:inline>
        </w:drawing>
      </w:r>
    </w:p>
    <w:p w14:paraId="41ADDD48" w14:textId="6189C436" w:rsidR="00C05EC4" w:rsidRPr="004E083F" w:rsidRDefault="00C05EC4" w:rsidP="00C05EC4">
      <w:pPr>
        <w:spacing w:afterLines="100" w:after="240" w:line="240" w:lineRule="auto"/>
        <w:jc w:val="both"/>
        <w:rPr>
          <w:rFonts w:ascii="Times New Roman" w:hAnsi="Times New Roman" w:cs="Times New Roman"/>
          <w:lang w:val="en-US"/>
        </w:rPr>
      </w:pPr>
      <w:r w:rsidRPr="004E083F">
        <w:rPr>
          <w:rFonts w:ascii="Times New Roman" w:hAnsi="Times New Roman" w:cs="Times New Roman"/>
          <w:b/>
          <w:lang w:val="en-US"/>
        </w:rPr>
        <w:t>Figure S</w:t>
      </w:r>
      <w:r w:rsidR="007A576B" w:rsidRPr="004E083F">
        <w:rPr>
          <w:rFonts w:ascii="Times New Roman" w:hAnsi="Times New Roman" w:cs="Times New Roman"/>
          <w:b/>
          <w:lang w:val="en-US"/>
        </w:rPr>
        <w:t>1</w:t>
      </w:r>
      <w:r w:rsidR="009C59B3" w:rsidRPr="004E083F">
        <w:rPr>
          <w:rFonts w:ascii="Times New Roman" w:hAnsi="Times New Roman" w:cs="Times New Roman"/>
          <w:b/>
          <w:lang w:val="en-US"/>
        </w:rPr>
        <w:t>2</w:t>
      </w:r>
      <w:r w:rsidRPr="004E083F">
        <w:rPr>
          <w:rFonts w:ascii="Times New Roman" w:hAnsi="Times New Roman" w:cs="Times New Roman"/>
          <w:b/>
          <w:lang w:val="en-US"/>
        </w:rPr>
        <w:t xml:space="preserve">. ORR activities comparison between </w:t>
      </w:r>
      <w:proofErr w:type="spellStart"/>
      <w:r w:rsidRPr="004E083F">
        <w:rPr>
          <w:rFonts w:ascii="Times New Roman" w:hAnsi="Times New Roman" w:cs="Times New Roman"/>
          <w:b/>
          <w:lang w:val="en-US"/>
        </w:rPr>
        <w:t>Ar</w:t>
      </w:r>
      <w:proofErr w:type="spellEnd"/>
      <w:r w:rsidRPr="004E083F">
        <w:rPr>
          <w:rFonts w:ascii="Times New Roman" w:hAnsi="Times New Roman" w:cs="Times New Roman"/>
          <w:b/>
          <w:lang w:val="en-US"/>
        </w:rPr>
        <w:t>-O-N, O-</w:t>
      </w:r>
      <w:proofErr w:type="spellStart"/>
      <w:r w:rsidRPr="004E083F">
        <w:rPr>
          <w:rFonts w:ascii="Times New Roman" w:hAnsi="Times New Roman" w:cs="Times New Roman"/>
          <w:b/>
          <w:lang w:val="en-US"/>
        </w:rPr>
        <w:t>Ar</w:t>
      </w:r>
      <w:proofErr w:type="spellEnd"/>
      <w:r w:rsidRPr="004E083F">
        <w:rPr>
          <w:rFonts w:ascii="Times New Roman" w:hAnsi="Times New Roman" w:cs="Times New Roman"/>
          <w:b/>
          <w:lang w:val="en-US"/>
        </w:rPr>
        <w:t>-N versus N-O-</w:t>
      </w:r>
      <w:proofErr w:type="spellStart"/>
      <w:r w:rsidRPr="004E083F">
        <w:rPr>
          <w:rFonts w:ascii="Times New Roman" w:hAnsi="Times New Roman" w:cs="Times New Roman"/>
          <w:b/>
          <w:lang w:val="en-US"/>
        </w:rPr>
        <w:t>Ar</w:t>
      </w:r>
      <w:proofErr w:type="spellEnd"/>
      <w:r w:rsidRPr="004E083F">
        <w:rPr>
          <w:rFonts w:ascii="Times New Roman" w:hAnsi="Times New Roman" w:cs="Times New Roman"/>
          <w:b/>
          <w:lang w:val="en-US"/>
        </w:rPr>
        <w:t>, N-</w:t>
      </w:r>
      <w:proofErr w:type="spellStart"/>
      <w:r w:rsidRPr="004E083F">
        <w:rPr>
          <w:rFonts w:ascii="Times New Roman" w:hAnsi="Times New Roman" w:cs="Times New Roman"/>
          <w:b/>
          <w:lang w:val="en-US"/>
        </w:rPr>
        <w:t>Ar</w:t>
      </w:r>
      <w:proofErr w:type="spellEnd"/>
      <w:r w:rsidRPr="004E083F">
        <w:rPr>
          <w:rFonts w:ascii="Times New Roman" w:hAnsi="Times New Roman" w:cs="Times New Roman"/>
          <w:b/>
          <w:lang w:val="en-US"/>
        </w:rPr>
        <w:t>-O</w:t>
      </w:r>
      <w:r w:rsidR="00DA6B05" w:rsidRPr="004E083F">
        <w:rPr>
          <w:rFonts w:ascii="Times New Roman" w:hAnsi="Times New Roman" w:cs="Times New Roman"/>
          <w:b/>
          <w:lang w:val="en-US"/>
        </w:rPr>
        <w:t>.</w:t>
      </w:r>
      <w:r w:rsidR="00DA6B05" w:rsidRPr="004E083F">
        <w:rPr>
          <w:rFonts w:ascii="Times New Roman" w:hAnsi="Times New Roman" w:cs="Times New Roman"/>
          <w:lang w:val="en-US"/>
        </w:rPr>
        <w:t xml:space="preserve"> a) LSV polarization curves. b) ORR activities and onset potentials. c) K-L plots. d) Electron transfer number N</w:t>
      </w:r>
      <w:r w:rsidR="00DA6B05" w:rsidRPr="004E083F">
        <w:rPr>
          <w:rFonts w:ascii="Times New Roman" w:hAnsi="Times New Roman" w:cs="Times New Roman"/>
          <w:vertAlign w:val="subscript"/>
          <w:lang w:val="en-US"/>
        </w:rPr>
        <w:t>e</w:t>
      </w:r>
      <w:r w:rsidR="00DA6B05" w:rsidRPr="004E083F">
        <w:rPr>
          <w:rFonts w:ascii="Times New Roman" w:hAnsi="Times New Roman" w:cs="Times New Roman"/>
          <w:lang w:val="en-US"/>
        </w:rPr>
        <w:t xml:space="preserve">. e) ORR polarization curves of </w:t>
      </w:r>
      <w:proofErr w:type="spellStart"/>
      <w:r w:rsidR="00DA6B05" w:rsidRPr="004E083F">
        <w:rPr>
          <w:rFonts w:ascii="Times New Roman" w:hAnsi="Times New Roman" w:cs="Times New Roman"/>
          <w:lang w:val="en-US"/>
        </w:rPr>
        <w:t>Ar</w:t>
      </w:r>
      <w:proofErr w:type="spellEnd"/>
      <w:r w:rsidR="00DA6B05" w:rsidRPr="004E083F">
        <w:rPr>
          <w:rFonts w:ascii="Times New Roman" w:hAnsi="Times New Roman" w:cs="Times New Roman"/>
          <w:lang w:val="en-US"/>
        </w:rPr>
        <w:t>-O-N at different rotation rates. f) ORR polarization curves of O-</w:t>
      </w:r>
      <w:proofErr w:type="spellStart"/>
      <w:r w:rsidR="00DA6B05" w:rsidRPr="004E083F">
        <w:rPr>
          <w:rFonts w:ascii="Times New Roman" w:hAnsi="Times New Roman" w:cs="Times New Roman"/>
          <w:lang w:val="en-US"/>
        </w:rPr>
        <w:t>Ar</w:t>
      </w:r>
      <w:proofErr w:type="spellEnd"/>
      <w:r w:rsidR="00DA6B05" w:rsidRPr="004E083F">
        <w:rPr>
          <w:rFonts w:ascii="Times New Roman" w:hAnsi="Times New Roman" w:cs="Times New Roman"/>
          <w:lang w:val="en-US"/>
        </w:rPr>
        <w:t>-N at different rotation rates. g) ORR polarization curves of N-O-</w:t>
      </w:r>
      <w:proofErr w:type="spellStart"/>
      <w:r w:rsidR="00DA6B05" w:rsidRPr="004E083F">
        <w:rPr>
          <w:rFonts w:ascii="Times New Roman" w:hAnsi="Times New Roman" w:cs="Times New Roman"/>
          <w:lang w:val="en-US"/>
        </w:rPr>
        <w:t>Ar</w:t>
      </w:r>
      <w:proofErr w:type="spellEnd"/>
      <w:r w:rsidR="00DA6B05" w:rsidRPr="004E083F">
        <w:rPr>
          <w:rFonts w:ascii="Times New Roman" w:hAnsi="Times New Roman" w:cs="Times New Roman"/>
          <w:lang w:val="en-US"/>
        </w:rPr>
        <w:t xml:space="preserve"> at different rotation rates. h) ORR polarization curves of N-</w:t>
      </w:r>
      <w:proofErr w:type="spellStart"/>
      <w:r w:rsidR="00DA6B05" w:rsidRPr="004E083F">
        <w:rPr>
          <w:rFonts w:ascii="Times New Roman" w:hAnsi="Times New Roman" w:cs="Times New Roman"/>
          <w:lang w:val="en-US"/>
        </w:rPr>
        <w:t>Ar</w:t>
      </w:r>
      <w:proofErr w:type="spellEnd"/>
      <w:r w:rsidR="00DA6B05" w:rsidRPr="004E083F">
        <w:rPr>
          <w:rFonts w:ascii="Times New Roman" w:hAnsi="Times New Roman" w:cs="Times New Roman"/>
          <w:lang w:val="en-US"/>
        </w:rPr>
        <w:t xml:space="preserve">-O at different rotation rates. </w:t>
      </w:r>
      <w:r w:rsidR="00B97941" w:rsidRPr="004E083F">
        <w:rPr>
          <w:rFonts w:ascii="Times New Roman" w:hAnsi="Times New Roman" w:cs="Times New Roman"/>
          <w:lang w:val="en-US"/>
        </w:rPr>
        <w:t xml:space="preserve">All the ORR experiments were performed in 0.1 M NaOH solutions saturated with </w:t>
      </w:r>
      <m:oMath>
        <m:sSub>
          <m:sSubPr>
            <m:ctrlPr>
              <w:rPr>
                <w:rFonts w:ascii="Cambria Math" w:hAnsi="Cambria Math" w:cs="Times New Roman"/>
              </w:rPr>
            </m:ctrlPr>
          </m:sSubPr>
          <m:e>
            <m:r>
              <m:rPr>
                <m:sty m:val="p"/>
              </m:rPr>
              <w:rPr>
                <w:rFonts w:ascii="Cambria Math" w:hAnsi="Cambria Math" w:cs="Times New Roman"/>
                <w:lang w:val="en-US"/>
              </w:rPr>
              <m:t>O</m:t>
            </m:r>
          </m:e>
          <m:sub>
            <m:r>
              <m:rPr>
                <m:sty m:val="p"/>
              </m:rPr>
              <w:rPr>
                <w:rFonts w:ascii="Cambria Math" w:hAnsi="Cambria Math" w:cs="Times New Roman"/>
                <w:lang w:val="en-US"/>
              </w:rPr>
              <m:t>2</m:t>
            </m:r>
          </m:sub>
        </m:sSub>
      </m:oMath>
      <w:r w:rsidR="00B97941" w:rsidRPr="004E083F">
        <w:rPr>
          <w:rFonts w:ascii="Times New Roman" w:hAnsi="Times New Roman" w:cs="Times New Roman"/>
          <w:lang w:val="en-US"/>
        </w:rPr>
        <w:t xml:space="preserve"> at a rotation speed of 800 rpm (scan rate of 100 mV/s).</w:t>
      </w:r>
      <w:r w:rsidR="00DA6B05" w:rsidRPr="004E083F">
        <w:rPr>
          <w:rFonts w:ascii="Times New Roman" w:hAnsi="Times New Roman" w:cs="Times New Roman"/>
          <w:lang w:val="en-US"/>
        </w:rPr>
        <w:t xml:space="preserve"> </w:t>
      </w:r>
    </w:p>
    <w:p w14:paraId="130973F5" w14:textId="36301D51" w:rsidR="00DA6B05" w:rsidRPr="004E083F" w:rsidRDefault="00DA6B05" w:rsidP="00DA6B05">
      <w:pPr>
        <w:spacing w:before="120" w:afterLines="100" w:after="240" w:line="240" w:lineRule="auto"/>
        <w:jc w:val="both"/>
        <w:rPr>
          <w:rFonts w:ascii="Times New Roman" w:hAnsi="Times New Roman" w:cs="Times New Roman"/>
          <w:lang w:val="en-US"/>
        </w:rPr>
      </w:pPr>
    </w:p>
    <w:p w14:paraId="6521CBAE" w14:textId="77777777" w:rsidR="00DA6B05" w:rsidRPr="004E083F" w:rsidRDefault="00DA6B05" w:rsidP="00C05EC4">
      <w:pPr>
        <w:spacing w:afterLines="100" w:after="240" w:line="240" w:lineRule="auto"/>
        <w:jc w:val="both"/>
        <w:rPr>
          <w:rFonts w:ascii="Times New Roman" w:hAnsi="Times New Roman" w:cs="Times New Roman"/>
          <w:lang w:val="en-US"/>
        </w:rPr>
      </w:pPr>
    </w:p>
    <w:p w14:paraId="7B50DA4F" w14:textId="77777777" w:rsidR="00C05EC4" w:rsidRPr="004E083F" w:rsidRDefault="00C05EC4" w:rsidP="00E3472D">
      <w:pPr>
        <w:spacing w:afterLines="100" w:after="240" w:line="240" w:lineRule="auto"/>
        <w:jc w:val="both"/>
        <w:rPr>
          <w:rFonts w:ascii="Times New Roman" w:hAnsi="Times New Roman" w:cs="Times New Roman"/>
          <w:lang w:val="en-US"/>
        </w:rPr>
      </w:pPr>
    </w:p>
    <w:p w14:paraId="2D09776F" w14:textId="77777777" w:rsidR="00870525" w:rsidRPr="004E083F" w:rsidRDefault="00185C9E" w:rsidP="00870525">
      <w:pPr>
        <w:spacing w:afterLines="100" w:after="240" w:line="360" w:lineRule="auto"/>
        <w:jc w:val="both"/>
        <w:rPr>
          <w:rFonts w:ascii="Times New Roman" w:hAnsi="Times New Roman" w:cs="Times New Roman"/>
          <w:b/>
          <w:lang w:val="fr-FR"/>
        </w:rPr>
      </w:pPr>
      <w:proofErr w:type="spellStart"/>
      <w:r w:rsidRPr="004E083F">
        <w:rPr>
          <w:rFonts w:ascii="Times New Roman" w:hAnsi="Times New Roman" w:cs="Times New Roman"/>
          <w:b/>
          <w:lang w:val="fr-FR"/>
        </w:rPr>
        <w:lastRenderedPageBreak/>
        <w:t>References</w:t>
      </w:r>
      <w:proofErr w:type="spellEnd"/>
      <w:r w:rsidR="00C40818" w:rsidRPr="004E083F">
        <w:rPr>
          <w:rFonts w:ascii="Times New Roman" w:hAnsi="Times New Roman" w:cs="Times New Roman"/>
          <w:b/>
          <w:lang w:val="fr-FR"/>
        </w:rPr>
        <w:t>:</w:t>
      </w:r>
    </w:p>
    <w:p w14:paraId="5F37AE78" w14:textId="77777777" w:rsidR="00DC6D48" w:rsidRPr="004E083F" w:rsidRDefault="00870525" w:rsidP="00DC6D48">
      <w:pPr>
        <w:pStyle w:val="EndNoteBibliography"/>
        <w:spacing w:after="0"/>
        <w:ind w:left="720" w:hanging="720"/>
        <w:rPr>
          <w:rFonts w:ascii="Times New Roman" w:hAnsi="Times New Roman" w:cs="Times New Roman"/>
          <w:lang w:val="en-US"/>
        </w:rPr>
      </w:pPr>
      <w:r w:rsidRPr="004E083F">
        <w:rPr>
          <w:rFonts w:ascii="Times New Roman" w:eastAsia="Calibri" w:hAnsi="Times New Roman" w:cs="Times New Roman"/>
          <w:lang w:val="en-US"/>
        </w:rPr>
        <w:fldChar w:fldCharType="begin"/>
      </w:r>
      <w:r w:rsidRPr="004E083F">
        <w:rPr>
          <w:rFonts w:ascii="Times New Roman" w:eastAsia="Calibri" w:hAnsi="Times New Roman" w:cs="Times New Roman"/>
          <w:lang w:val="fr-FR"/>
        </w:rPr>
        <w:instrText xml:space="preserve"> ADDIN EN.REFLIST </w:instrText>
      </w:r>
      <w:r w:rsidRPr="004E083F">
        <w:rPr>
          <w:rFonts w:ascii="Times New Roman" w:eastAsia="Calibri" w:hAnsi="Times New Roman" w:cs="Times New Roman"/>
          <w:lang w:val="en-US"/>
        </w:rPr>
        <w:fldChar w:fldCharType="separate"/>
      </w:r>
      <w:r w:rsidR="00DC6D48" w:rsidRPr="004E083F">
        <w:rPr>
          <w:rFonts w:ascii="Times New Roman" w:hAnsi="Times New Roman" w:cs="Times New Roman"/>
          <w:lang w:val="fr-FR"/>
        </w:rPr>
        <w:t>1</w:t>
      </w:r>
      <w:r w:rsidR="00DC6D48" w:rsidRPr="004E083F">
        <w:rPr>
          <w:rFonts w:ascii="Times New Roman" w:hAnsi="Times New Roman" w:cs="Times New Roman"/>
          <w:lang w:val="fr-FR"/>
        </w:rPr>
        <w:tab/>
        <w:t>Lu, Y.-F.</w:t>
      </w:r>
      <w:r w:rsidR="00DC6D48" w:rsidRPr="004E083F">
        <w:rPr>
          <w:rFonts w:ascii="Times New Roman" w:hAnsi="Times New Roman" w:cs="Times New Roman"/>
          <w:i/>
          <w:lang w:val="fr-FR"/>
        </w:rPr>
        <w:t xml:space="preserve"> et al.</w:t>
      </w:r>
      <w:r w:rsidR="00DC6D48" w:rsidRPr="004E083F">
        <w:rPr>
          <w:rFonts w:ascii="Times New Roman" w:hAnsi="Times New Roman" w:cs="Times New Roman"/>
          <w:lang w:val="fr-FR"/>
        </w:rPr>
        <w:t xml:space="preserve"> </w:t>
      </w:r>
      <w:r w:rsidR="00DC6D48" w:rsidRPr="004E083F">
        <w:rPr>
          <w:rFonts w:ascii="Times New Roman" w:hAnsi="Times New Roman" w:cs="Times New Roman"/>
          <w:lang w:val="en-US"/>
        </w:rPr>
        <w:t xml:space="preserve">Nitrogen-doped graphene sheets grown by chemical vapor deposition: synthesis and influence of nitrogen impurities on carrier transport. </w:t>
      </w:r>
      <w:r w:rsidR="00DC6D48" w:rsidRPr="004E083F">
        <w:rPr>
          <w:rFonts w:ascii="Times New Roman" w:hAnsi="Times New Roman" w:cs="Times New Roman"/>
          <w:i/>
          <w:lang w:val="en-US"/>
        </w:rPr>
        <w:t xml:space="preserve">ACS </w:t>
      </w:r>
      <w:r w:rsidR="00185C9E" w:rsidRPr="004E083F">
        <w:rPr>
          <w:rFonts w:ascii="Times New Roman" w:hAnsi="Times New Roman" w:cs="Times New Roman"/>
          <w:i/>
          <w:lang w:val="en-US"/>
        </w:rPr>
        <w:t>N</w:t>
      </w:r>
      <w:r w:rsidR="00DC6D48" w:rsidRPr="004E083F">
        <w:rPr>
          <w:rFonts w:ascii="Times New Roman" w:hAnsi="Times New Roman" w:cs="Times New Roman"/>
          <w:i/>
          <w:lang w:val="en-US"/>
        </w:rPr>
        <w:t>ano</w:t>
      </w:r>
      <w:r w:rsidR="00DC6D48" w:rsidRPr="004E083F">
        <w:rPr>
          <w:rFonts w:ascii="Times New Roman" w:hAnsi="Times New Roman" w:cs="Times New Roman"/>
          <w:lang w:val="en-US"/>
        </w:rPr>
        <w:t xml:space="preserve"> </w:t>
      </w:r>
      <w:r w:rsidR="00DC6D48" w:rsidRPr="004E083F">
        <w:rPr>
          <w:rFonts w:ascii="Times New Roman" w:hAnsi="Times New Roman" w:cs="Times New Roman"/>
          <w:b/>
          <w:lang w:val="en-US"/>
        </w:rPr>
        <w:t>7</w:t>
      </w:r>
      <w:r w:rsidR="00DC6D48" w:rsidRPr="004E083F">
        <w:rPr>
          <w:rFonts w:ascii="Times New Roman" w:hAnsi="Times New Roman" w:cs="Times New Roman"/>
          <w:lang w:val="en-US"/>
        </w:rPr>
        <w:t>, 6522-6532 (2013).</w:t>
      </w:r>
    </w:p>
    <w:p w14:paraId="762D26EE"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2</w:t>
      </w:r>
      <w:r w:rsidRPr="004E083F">
        <w:rPr>
          <w:rFonts w:ascii="Times New Roman" w:hAnsi="Times New Roman" w:cs="Times New Roman"/>
          <w:lang w:val="en-US"/>
        </w:rPr>
        <w:tab/>
        <w:t xml:space="preserve">Jin, Z., Yao, J., Kittrell, C. &amp; Tour, J. M. Large-scale growth and characterizations of nitrogen-doped monolayer graphene sheets. </w:t>
      </w:r>
      <w:r w:rsidRPr="004E083F">
        <w:rPr>
          <w:rFonts w:ascii="Times New Roman" w:hAnsi="Times New Roman" w:cs="Times New Roman"/>
          <w:i/>
          <w:lang w:val="en-US"/>
        </w:rPr>
        <w:t>A</w:t>
      </w:r>
      <w:r w:rsidR="00185C9E" w:rsidRPr="004E083F">
        <w:rPr>
          <w:rFonts w:ascii="Times New Roman" w:hAnsi="Times New Roman" w:cs="Times New Roman"/>
          <w:i/>
          <w:lang w:val="en-US"/>
        </w:rPr>
        <w:t>CS</w:t>
      </w:r>
      <w:r w:rsidRPr="004E083F">
        <w:rPr>
          <w:rFonts w:ascii="Times New Roman" w:hAnsi="Times New Roman" w:cs="Times New Roman"/>
          <w:i/>
          <w:lang w:val="en-US"/>
        </w:rPr>
        <w:t xml:space="preserve"> Nano</w:t>
      </w:r>
      <w:r w:rsidRPr="004E083F">
        <w:rPr>
          <w:rFonts w:ascii="Times New Roman" w:hAnsi="Times New Roman" w:cs="Times New Roman"/>
          <w:lang w:val="en-US"/>
        </w:rPr>
        <w:t xml:space="preserve"> </w:t>
      </w:r>
      <w:r w:rsidRPr="004E083F">
        <w:rPr>
          <w:rFonts w:ascii="Times New Roman" w:hAnsi="Times New Roman" w:cs="Times New Roman"/>
          <w:b/>
          <w:lang w:val="en-US"/>
        </w:rPr>
        <w:t>5</w:t>
      </w:r>
      <w:r w:rsidRPr="004E083F">
        <w:rPr>
          <w:rFonts w:ascii="Times New Roman" w:hAnsi="Times New Roman" w:cs="Times New Roman"/>
          <w:lang w:val="en-US"/>
        </w:rPr>
        <w:t>, 4112-4117 (2011).</w:t>
      </w:r>
    </w:p>
    <w:p w14:paraId="3D3B6389"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3</w:t>
      </w:r>
      <w:r w:rsidRPr="004E083F">
        <w:rPr>
          <w:rFonts w:ascii="Times New Roman" w:hAnsi="Times New Roman" w:cs="Times New Roman"/>
          <w:lang w:val="en-US"/>
        </w:rPr>
        <w:tab/>
        <w:t>Schiros, T.</w:t>
      </w:r>
      <w:r w:rsidRPr="004E083F">
        <w:rPr>
          <w:rFonts w:ascii="Times New Roman" w:hAnsi="Times New Roman" w:cs="Times New Roman"/>
          <w:i/>
          <w:lang w:val="en-US"/>
        </w:rPr>
        <w:t xml:space="preserve"> et al.</w:t>
      </w:r>
      <w:r w:rsidRPr="004E083F">
        <w:rPr>
          <w:rFonts w:ascii="Times New Roman" w:hAnsi="Times New Roman" w:cs="Times New Roman"/>
          <w:lang w:val="en-US"/>
        </w:rPr>
        <w:t xml:space="preserve"> Connecting dopant bond type with electronic structure in N-doped graphene. </w:t>
      </w:r>
      <w:r w:rsidRPr="004E083F">
        <w:rPr>
          <w:rFonts w:ascii="Times New Roman" w:hAnsi="Times New Roman" w:cs="Times New Roman"/>
          <w:i/>
          <w:lang w:val="en-US"/>
        </w:rPr>
        <w:t xml:space="preserve">Nano </w:t>
      </w:r>
      <w:r w:rsidR="00185C9E" w:rsidRPr="004E083F">
        <w:rPr>
          <w:rFonts w:ascii="Times New Roman" w:hAnsi="Times New Roman" w:cs="Times New Roman"/>
          <w:i/>
          <w:lang w:val="en-US"/>
        </w:rPr>
        <w:t>L</w:t>
      </w:r>
      <w:r w:rsidRPr="004E083F">
        <w:rPr>
          <w:rFonts w:ascii="Times New Roman" w:hAnsi="Times New Roman" w:cs="Times New Roman"/>
          <w:i/>
          <w:lang w:val="en-US"/>
        </w:rPr>
        <w:t>ett</w:t>
      </w:r>
      <w:r w:rsidR="00185C9E" w:rsidRPr="004E083F">
        <w:rPr>
          <w:rFonts w:ascii="Times New Roman" w:hAnsi="Times New Roman" w:cs="Times New Roman"/>
          <w:i/>
          <w:lang w:val="en-US"/>
        </w:rPr>
        <w:t>.</w:t>
      </w:r>
      <w:r w:rsidRPr="004E083F">
        <w:rPr>
          <w:rFonts w:ascii="Times New Roman" w:hAnsi="Times New Roman" w:cs="Times New Roman"/>
          <w:lang w:val="en-US"/>
        </w:rPr>
        <w:t xml:space="preserve"> </w:t>
      </w:r>
      <w:r w:rsidRPr="004E083F">
        <w:rPr>
          <w:rFonts w:ascii="Times New Roman" w:hAnsi="Times New Roman" w:cs="Times New Roman"/>
          <w:b/>
          <w:lang w:val="en-US"/>
        </w:rPr>
        <w:t>12</w:t>
      </w:r>
      <w:r w:rsidRPr="004E083F">
        <w:rPr>
          <w:rFonts w:ascii="Times New Roman" w:hAnsi="Times New Roman" w:cs="Times New Roman"/>
          <w:lang w:val="en-US"/>
        </w:rPr>
        <w:t>, 4025-4031 (2012).</w:t>
      </w:r>
    </w:p>
    <w:p w14:paraId="2A6647FA"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4</w:t>
      </w:r>
      <w:r w:rsidRPr="004E083F">
        <w:rPr>
          <w:rFonts w:ascii="Times New Roman" w:hAnsi="Times New Roman" w:cs="Times New Roman"/>
          <w:lang w:val="en-US"/>
        </w:rPr>
        <w:tab/>
        <w:t>Li, J.</w:t>
      </w:r>
      <w:r w:rsidRPr="004E083F">
        <w:rPr>
          <w:rFonts w:ascii="Times New Roman" w:hAnsi="Times New Roman" w:cs="Times New Roman"/>
          <w:i/>
          <w:lang w:val="en-US"/>
        </w:rPr>
        <w:t xml:space="preserve"> et al.</w:t>
      </w:r>
      <w:r w:rsidRPr="004E083F">
        <w:rPr>
          <w:rFonts w:ascii="Times New Roman" w:hAnsi="Times New Roman" w:cs="Times New Roman"/>
          <w:lang w:val="en-US"/>
        </w:rPr>
        <w:t xml:space="preserve"> Electron–hole symmetry breaking in charge transport in nitrogen-doped graphene. </w:t>
      </w:r>
      <w:r w:rsidRPr="004E083F">
        <w:rPr>
          <w:rFonts w:ascii="Times New Roman" w:hAnsi="Times New Roman" w:cs="Times New Roman"/>
          <w:i/>
          <w:lang w:val="en-US"/>
        </w:rPr>
        <w:t xml:space="preserve">ACS </w:t>
      </w:r>
      <w:r w:rsidR="00185C9E" w:rsidRPr="004E083F">
        <w:rPr>
          <w:rFonts w:ascii="Times New Roman" w:hAnsi="Times New Roman" w:cs="Times New Roman"/>
          <w:i/>
          <w:lang w:val="en-US"/>
        </w:rPr>
        <w:t>N</w:t>
      </w:r>
      <w:r w:rsidRPr="004E083F">
        <w:rPr>
          <w:rFonts w:ascii="Times New Roman" w:hAnsi="Times New Roman" w:cs="Times New Roman"/>
          <w:i/>
          <w:lang w:val="en-US"/>
        </w:rPr>
        <w:t>ano</w:t>
      </w:r>
      <w:r w:rsidRPr="004E083F">
        <w:rPr>
          <w:rFonts w:ascii="Times New Roman" w:hAnsi="Times New Roman" w:cs="Times New Roman"/>
          <w:lang w:val="en-US"/>
        </w:rPr>
        <w:t xml:space="preserve"> </w:t>
      </w:r>
      <w:r w:rsidRPr="004E083F">
        <w:rPr>
          <w:rFonts w:ascii="Times New Roman" w:hAnsi="Times New Roman" w:cs="Times New Roman"/>
          <w:b/>
          <w:lang w:val="en-US"/>
        </w:rPr>
        <w:t>11</w:t>
      </w:r>
      <w:r w:rsidRPr="004E083F">
        <w:rPr>
          <w:rFonts w:ascii="Times New Roman" w:hAnsi="Times New Roman" w:cs="Times New Roman"/>
          <w:lang w:val="en-US"/>
        </w:rPr>
        <w:t>, 4641-4650 (2017).</w:t>
      </w:r>
    </w:p>
    <w:p w14:paraId="30E4070E"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5</w:t>
      </w:r>
      <w:r w:rsidRPr="004E083F">
        <w:rPr>
          <w:rFonts w:ascii="Times New Roman" w:hAnsi="Times New Roman" w:cs="Times New Roman"/>
          <w:lang w:val="en-US"/>
        </w:rPr>
        <w:tab/>
        <w:t>Hao, Y.</w:t>
      </w:r>
      <w:r w:rsidRPr="004E083F">
        <w:rPr>
          <w:rFonts w:ascii="Times New Roman" w:hAnsi="Times New Roman" w:cs="Times New Roman"/>
          <w:i/>
          <w:lang w:val="en-US"/>
        </w:rPr>
        <w:t xml:space="preserve"> et al.</w:t>
      </w:r>
      <w:r w:rsidRPr="004E083F">
        <w:rPr>
          <w:rFonts w:ascii="Times New Roman" w:hAnsi="Times New Roman" w:cs="Times New Roman"/>
          <w:lang w:val="en-US"/>
        </w:rPr>
        <w:t xml:space="preserve"> Probing layer number and stacking order of few‐layer graphene by Raman spectroscopy. </w:t>
      </w:r>
      <w:r w:rsidR="00185C9E" w:rsidRPr="004E083F">
        <w:rPr>
          <w:rFonts w:ascii="Times New Roman" w:hAnsi="Times New Roman" w:cs="Times New Roman"/>
          <w:i/>
          <w:lang w:val="en-US"/>
        </w:rPr>
        <w:t>S</w:t>
      </w:r>
      <w:r w:rsidRPr="004E083F">
        <w:rPr>
          <w:rFonts w:ascii="Times New Roman" w:hAnsi="Times New Roman" w:cs="Times New Roman"/>
          <w:i/>
          <w:lang w:val="en-US"/>
        </w:rPr>
        <w:t>mall</w:t>
      </w:r>
      <w:r w:rsidRPr="004E083F">
        <w:rPr>
          <w:rFonts w:ascii="Times New Roman" w:hAnsi="Times New Roman" w:cs="Times New Roman"/>
          <w:lang w:val="en-US"/>
        </w:rPr>
        <w:t xml:space="preserve"> </w:t>
      </w:r>
      <w:r w:rsidRPr="004E083F">
        <w:rPr>
          <w:rFonts w:ascii="Times New Roman" w:hAnsi="Times New Roman" w:cs="Times New Roman"/>
          <w:b/>
          <w:lang w:val="en-US"/>
        </w:rPr>
        <w:t>6</w:t>
      </w:r>
      <w:r w:rsidRPr="004E083F">
        <w:rPr>
          <w:rFonts w:ascii="Times New Roman" w:hAnsi="Times New Roman" w:cs="Times New Roman"/>
          <w:lang w:val="en-US"/>
        </w:rPr>
        <w:t>, 195-200 (2010).</w:t>
      </w:r>
    </w:p>
    <w:p w14:paraId="36EF77A2"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6</w:t>
      </w:r>
      <w:r w:rsidRPr="004E083F">
        <w:rPr>
          <w:rFonts w:ascii="Times New Roman" w:hAnsi="Times New Roman" w:cs="Times New Roman"/>
          <w:lang w:val="en-US"/>
        </w:rPr>
        <w:tab/>
        <w:t xml:space="preserve">Bard, A. J., Faulkner, L. R., Leddy, J. &amp; Zoski, C. G. </w:t>
      </w:r>
      <w:r w:rsidRPr="004E083F">
        <w:rPr>
          <w:rFonts w:ascii="Times New Roman" w:hAnsi="Times New Roman" w:cs="Times New Roman"/>
          <w:i/>
          <w:lang w:val="en-US"/>
        </w:rPr>
        <w:t>Electrochemical methods: fundamentals and applications</w:t>
      </w:r>
      <w:r w:rsidRPr="004E083F">
        <w:rPr>
          <w:rFonts w:ascii="Times New Roman" w:hAnsi="Times New Roman" w:cs="Times New Roman"/>
          <w:lang w:val="en-US"/>
        </w:rPr>
        <w:t>. Vol. 2 (wiley New York, 1980).</w:t>
      </w:r>
    </w:p>
    <w:p w14:paraId="1BCD49A3"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7</w:t>
      </w:r>
      <w:r w:rsidRPr="004E083F">
        <w:rPr>
          <w:rFonts w:ascii="Times New Roman" w:hAnsi="Times New Roman" w:cs="Times New Roman"/>
          <w:lang w:val="en-US"/>
        </w:rPr>
        <w:tab/>
        <w:t>Yang, H. B.</w:t>
      </w:r>
      <w:r w:rsidRPr="004E083F">
        <w:rPr>
          <w:rFonts w:ascii="Times New Roman" w:hAnsi="Times New Roman" w:cs="Times New Roman"/>
          <w:i/>
          <w:lang w:val="en-US"/>
        </w:rPr>
        <w:t xml:space="preserve"> et al.</w:t>
      </w:r>
      <w:r w:rsidRPr="004E083F">
        <w:rPr>
          <w:rFonts w:ascii="Times New Roman" w:hAnsi="Times New Roman" w:cs="Times New Roman"/>
          <w:lang w:val="en-US"/>
        </w:rPr>
        <w:t xml:space="preserve"> Identification of catalytic sites for oxygen reduction and oxygen evolution in N-doped graphene materials: Development of highly efficient metal-free bifunctional electrocatalyst. </w:t>
      </w:r>
      <w:r w:rsidRPr="004E083F">
        <w:rPr>
          <w:rFonts w:ascii="Times New Roman" w:hAnsi="Times New Roman" w:cs="Times New Roman"/>
          <w:i/>
          <w:lang w:val="en-US"/>
        </w:rPr>
        <w:t>Sci</w:t>
      </w:r>
      <w:r w:rsidR="00185C9E" w:rsidRPr="004E083F">
        <w:rPr>
          <w:rFonts w:ascii="Times New Roman" w:hAnsi="Times New Roman" w:cs="Times New Roman"/>
          <w:i/>
          <w:lang w:val="en-US"/>
        </w:rPr>
        <w:t>.</w:t>
      </w:r>
      <w:r w:rsidRPr="004E083F">
        <w:rPr>
          <w:rFonts w:ascii="Times New Roman" w:hAnsi="Times New Roman" w:cs="Times New Roman"/>
          <w:i/>
          <w:lang w:val="en-US"/>
        </w:rPr>
        <w:t xml:space="preserve"> </w:t>
      </w:r>
      <w:r w:rsidR="00185C9E" w:rsidRPr="004E083F">
        <w:rPr>
          <w:rFonts w:ascii="Times New Roman" w:hAnsi="Times New Roman" w:cs="Times New Roman"/>
          <w:i/>
          <w:lang w:val="en-US"/>
        </w:rPr>
        <w:t>A</w:t>
      </w:r>
      <w:r w:rsidRPr="004E083F">
        <w:rPr>
          <w:rFonts w:ascii="Times New Roman" w:hAnsi="Times New Roman" w:cs="Times New Roman"/>
          <w:i/>
          <w:lang w:val="en-US"/>
        </w:rPr>
        <w:t>dv</w:t>
      </w:r>
      <w:r w:rsidR="00185C9E" w:rsidRPr="004E083F">
        <w:rPr>
          <w:rFonts w:ascii="Times New Roman" w:hAnsi="Times New Roman" w:cs="Times New Roman"/>
          <w:i/>
          <w:lang w:val="en-US"/>
        </w:rPr>
        <w:t>.</w:t>
      </w:r>
      <w:r w:rsidRPr="004E083F">
        <w:rPr>
          <w:rFonts w:ascii="Times New Roman" w:hAnsi="Times New Roman" w:cs="Times New Roman"/>
          <w:lang w:val="en-US"/>
        </w:rPr>
        <w:t xml:space="preserve"> </w:t>
      </w:r>
      <w:r w:rsidRPr="004E083F">
        <w:rPr>
          <w:rFonts w:ascii="Times New Roman" w:hAnsi="Times New Roman" w:cs="Times New Roman"/>
          <w:b/>
          <w:lang w:val="en-US"/>
        </w:rPr>
        <w:t>2</w:t>
      </w:r>
      <w:r w:rsidRPr="004E083F">
        <w:rPr>
          <w:rFonts w:ascii="Times New Roman" w:hAnsi="Times New Roman" w:cs="Times New Roman"/>
          <w:lang w:val="en-US"/>
        </w:rPr>
        <w:t>, e1501122 (2016).</w:t>
      </w:r>
    </w:p>
    <w:p w14:paraId="2D8EA624"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8</w:t>
      </w:r>
      <w:r w:rsidRPr="004E083F">
        <w:rPr>
          <w:rFonts w:ascii="Times New Roman" w:hAnsi="Times New Roman" w:cs="Times New Roman"/>
          <w:lang w:val="en-US"/>
        </w:rPr>
        <w:tab/>
        <w:t xml:space="preserve">Hall, S. B., Khudaish, E. A. &amp; Hart, A. L. Electrochemical oxidation of hydrogen peroxide at platinum electrodes. Part IV: phosphate buffer dependence. </w:t>
      </w:r>
      <w:r w:rsidRPr="004E083F">
        <w:rPr>
          <w:rFonts w:ascii="Times New Roman" w:hAnsi="Times New Roman" w:cs="Times New Roman"/>
          <w:i/>
          <w:lang w:val="en-US"/>
        </w:rPr>
        <w:t>Electrochim</w:t>
      </w:r>
      <w:r w:rsidR="00185C9E" w:rsidRPr="004E083F">
        <w:rPr>
          <w:rFonts w:ascii="Times New Roman" w:hAnsi="Times New Roman" w:cs="Times New Roman"/>
          <w:i/>
          <w:lang w:val="en-US"/>
        </w:rPr>
        <w:t>.</w:t>
      </w:r>
      <w:r w:rsidRPr="004E083F">
        <w:rPr>
          <w:rFonts w:ascii="Times New Roman" w:hAnsi="Times New Roman" w:cs="Times New Roman"/>
          <w:i/>
          <w:lang w:val="en-US"/>
        </w:rPr>
        <w:t xml:space="preserve"> Acta</w:t>
      </w:r>
      <w:r w:rsidRPr="004E083F">
        <w:rPr>
          <w:rFonts w:ascii="Times New Roman" w:hAnsi="Times New Roman" w:cs="Times New Roman"/>
          <w:lang w:val="en-US"/>
        </w:rPr>
        <w:t xml:space="preserve"> </w:t>
      </w:r>
      <w:r w:rsidRPr="004E083F">
        <w:rPr>
          <w:rFonts w:ascii="Times New Roman" w:hAnsi="Times New Roman" w:cs="Times New Roman"/>
          <w:b/>
          <w:lang w:val="en-US"/>
        </w:rPr>
        <w:t>44</w:t>
      </w:r>
      <w:r w:rsidRPr="004E083F">
        <w:rPr>
          <w:rFonts w:ascii="Times New Roman" w:hAnsi="Times New Roman" w:cs="Times New Roman"/>
          <w:lang w:val="en-US"/>
        </w:rPr>
        <w:t>, 4573-4582 (1999).</w:t>
      </w:r>
    </w:p>
    <w:p w14:paraId="54888832" w14:textId="77777777" w:rsidR="00DC6D48" w:rsidRPr="004E083F" w:rsidRDefault="00DC6D48" w:rsidP="00DC6D48">
      <w:pPr>
        <w:pStyle w:val="EndNoteBibliography"/>
        <w:spacing w:after="0"/>
        <w:ind w:left="720" w:hanging="720"/>
        <w:rPr>
          <w:rFonts w:ascii="Times New Roman" w:hAnsi="Times New Roman" w:cs="Times New Roman"/>
          <w:lang w:val="en-US"/>
        </w:rPr>
      </w:pPr>
      <w:r w:rsidRPr="004E083F">
        <w:rPr>
          <w:rFonts w:ascii="Times New Roman" w:hAnsi="Times New Roman" w:cs="Times New Roman"/>
          <w:lang w:val="en-US"/>
        </w:rPr>
        <w:t>9</w:t>
      </w:r>
      <w:r w:rsidRPr="004E083F">
        <w:rPr>
          <w:rFonts w:ascii="Times New Roman" w:hAnsi="Times New Roman" w:cs="Times New Roman"/>
          <w:lang w:val="en-US"/>
        </w:rPr>
        <w:tab/>
        <w:t xml:space="preserve">Zhou, R., Zheng, Y., Jaroniec, M. &amp; Qiao, S.-Z. Determination of the electron transfer number for the oxygen reduction reaction: from theory to experiment. </w:t>
      </w:r>
      <w:r w:rsidRPr="004E083F">
        <w:rPr>
          <w:rFonts w:ascii="Times New Roman" w:hAnsi="Times New Roman" w:cs="Times New Roman"/>
          <w:i/>
          <w:lang w:val="en-US"/>
        </w:rPr>
        <w:t>ACS Catal</w:t>
      </w:r>
      <w:r w:rsidR="00185C9E" w:rsidRPr="004E083F">
        <w:rPr>
          <w:rFonts w:ascii="Times New Roman" w:hAnsi="Times New Roman" w:cs="Times New Roman"/>
          <w:i/>
          <w:lang w:val="en-US"/>
        </w:rPr>
        <w:t>.</w:t>
      </w:r>
      <w:r w:rsidRPr="004E083F">
        <w:rPr>
          <w:rFonts w:ascii="Times New Roman" w:hAnsi="Times New Roman" w:cs="Times New Roman"/>
          <w:lang w:val="en-US"/>
        </w:rPr>
        <w:t xml:space="preserve"> </w:t>
      </w:r>
      <w:r w:rsidRPr="004E083F">
        <w:rPr>
          <w:rFonts w:ascii="Times New Roman" w:hAnsi="Times New Roman" w:cs="Times New Roman"/>
          <w:b/>
          <w:lang w:val="en-US"/>
        </w:rPr>
        <w:t>6</w:t>
      </w:r>
      <w:r w:rsidRPr="004E083F">
        <w:rPr>
          <w:rFonts w:ascii="Times New Roman" w:hAnsi="Times New Roman" w:cs="Times New Roman"/>
          <w:lang w:val="en-US"/>
        </w:rPr>
        <w:t>, 4720-4728 (2016).</w:t>
      </w:r>
    </w:p>
    <w:p w14:paraId="14DDCD32" w14:textId="77777777" w:rsidR="00DC6D48" w:rsidRPr="004E083F" w:rsidRDefault="00DC6D48" w:rsidP="00DC6D48">
      <w:pPr>
        <w:pStyle w:val="EndNoteBibliography"/>
        <w:ind w:left="720" w:hanging="720"/>
        <w:rPr>
          <w:rFonts w:ascii="Times New Roman" w:hAnsi="Times New Roman" w:cs="Times New Roman"/>
        </w:rPr>
      </w:pPr>
      <w:r w:rsidRPr="004E083F">
        <w:rPr>
          <w:rFonts w:ascii="Times New Roman" w:hAnsi="Times New Roman" w:cs="Times New Roman"/>
          <w:lang w:val="en-US"/>
        </w:rPr>
        <w:t>10</w:t>
      </w:r>
      <w:r w:rsidRPr="004E083F">
        <w:rPr>
          <w:rFonts w:ascii="Times New Roman" w:hAnsi="Times New Roman" w:cs="Times New Roman"/>
          <w:lang w:val="en-US"/>
        </w:rPr>
        <w:tab/>
        <w:t xml:space="preserve">Hall, S. B., Khudaish, E. A. &amp; Hart, A. L. Electrochemical oxidation of hydrogen peroxide at platinum electrodes. Part 1. An </w:t>
      </w:r>
      <w:r w:rsidRPr="004E083F">
        <w:rPr>
          <w:rFonts w:ascii="Times New Roman" w:hAnsi="Times New Roman" w:cs="Times New Roman"/>
        </w:rPr>
        <w:t xml:space="preserve">adsorption-controlled mechanism. </w:t>
      </w:r>
      <w:r w:rsidRPr="004E083F">
        <w:rPr>
          <w:rFonts w:ascii="Times New Roman" w:hAnsi="Times New Roman" w:cs="Times New Roman"/>
          <w:i/>
        </w:rPr>
        <w:t>Electrochim</w:t>
      </w:r>
      <w:r w:rsidR="00185C9E" w:rsidRPr="004E083F">
        <w:rPr>
          <w:rFonts w:ascii="Times New Roman" w:hAnsi="Times New Roman" w:cs="Times New Roman"/>
          <w:i/>
        </w:rPr>
        <w:t>.</w:t>
      </w:r>
      <w:r w:rsidRPr="004E083F">
        <w:rPr>
          <w:rFonts w:ascii="Times New Roman" w:hAnsi="Times New Roman" w:cs="Times New Roman"/>
          <w:i/>
        </w:rPr>
        <w:t xml:space="preserve"> Acta</w:t>
      </w:r>
      <w:r w:rsidRPr="004E083F">
        <w:rPr>
          <w:rFonts w:ascii="Times New Roman" w:hAnsi="Times New Roman" w:cs="Times New Roman"/>
        </w:rPr>
        <w:t xml:space="preserve"> </w:t>
      </w:r>
      <w:r w:rsidRPr="004E083F">
        <w:rPr>
          <w:rFonts w:ascii="Times New Roman" w:hAnsi="Times New Roman" w:cs="Times New Roman"/>
          <w:b/>
        </w:rPr>
        <w:t>43</w:t>
      </w:r>
      <w:r w:rsidRPr="004E083F">
        <w:rPr>
          <w:rFonts w:ascii="Times New Roman" w:hAnsi="Times New Roman" w:cs="Times New Roman"/>
        </w:rPr>
        <w:t>, 579-588 (1998).</w:t>
      </w:r>
    </w:p>
    <w:p w14:paraId="1C15A147" w14:textId="77777777" w:rsidR="00E0316A" w:rsidRPr="004E083F" w:rsidRDefault="00870525" w:rsidP="00870525">
      <w:pPr>
        <w:spacing w:afterLines="100" w:after="240" w:line="360" w:lineRule="auto"/>
        <w:jc w:val="both"/>
        <w:rPr>
          <w:rFonts w:ascii="Times New Roman" w:eastAsia="Calibri" w:hAnsi="Times New Roman" w:cs="Times New Roman"/>
          <w:lang w:val="en-US"/>
        </w:rPr>
      </w:pPr>
      <w:r w:rsidRPr="004E083F">
        <w:rPr>
          <w:rFonts w:ascii="Times New Roman" w:eastAsia="Calibri" w:hAnsi="Times New Roman" w:cs="Times New Roman"/>
          <w:lang w:val="en-US"/>
        </w:rPr>
        <w:fldChar w:fldCharType="end"/>
      </w:r>
    </w:p>
    <w:sectPr w:rsidR="00E0316A" w:rsidRPr="004E083F">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8483D" w14:textId="77777777" w:rsidR="00B028CB" w:rsidRDefault="00B028CB" w:rsidP="00671BCD">
      <w:pPr>
        <w:spacing w:after="0" w:line="240" w:lineRule="auto"/>
      </w:pPr>
      <w:r>
        <w:separator/>
      </w:r>
    </w:p>
  </w:endnote>
  <w:endnote w:type="continuationSeparator" w:id="0">
    <w:p w14:paraId="6853D05A" w14:textId="77777777" w:rsidR="00B028CB" w:rsidRDefault="00B028CB" w:rsidP="00671B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0552980"/>
      <w:docPartObj>
        <w:docPartGallery w:val="Page Numbers (Bottom of Page)"/>
        <w:docPartUnique/>
      </w:docPartObj>
    </w:sdtPr>
    <w:sdtEndPr/>
    <w:sdtContent>
      <w:p w14:paraId="65F8B735" w14:textId="56D4F896" w:rsidR="00B028CB" w:rsidRDefault="00B028CB">
        <w:pPr>
          <w:pStyle w:val="Footer"/>
          <w:jc w:val="right"/>
        </w:pPr>
        <w:r>
          <w:fldChar w:fldCharType="begin"/>
        </w:r>
        <w:r>
          <w:instrText>PAGE   \* MERGEFORMAT</w:instrText>
        </w:r>
        <w:r>
          <w:fldChar w:fldCharType="separate"/>
        </w:r>
        <w:r w:rsidR="00945DEC" w:rsidRPr="00945DEC">
          <w:rPr>
            <w:noProof/>
            <w:lang w:val="de-DE"/>
          </w:rPr>
          <w:t>15</w:t>
        </w:r>
        <w:r>
          <w:fldChar w:fldCharType="end"/>
        </w:r>
      </w:p>
    </w:sdtContent>
  </w:sdt>
  <w:p w14:paraId="7AE32B01" w14:textId="77777777" w:rsidR="00B028CB" w:rsidRDefault="00B028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1CA4C" w14:textId="77777777" w:rsidR="00B028CB" w:rsidRDefault="00B028CB" w:rsidP="00671BCD">
      <w:pPr>
        <w:spacing w:after="0" w:line="240" w:lineRule="auto"/>
      </w:pPr>
      <w:r>
        <w:separator/>
      </w:r>
    </w:p>
  </w:footnote>
  <w:footnote w:type="continuationSeparator" w:id="0">
    <w:p w14:paraId="3A1BA8F7" w14:textId="77777777" w:rsidR="00B028CB" w:rsidRDefault="00B028CB" w:rsidP="00671B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EB7C65"/>
    <w:multiLevelType w:val="hybridMultilevel"/>
    <w:tmpl w:val="40DA71AE"/>
    <w:lvl w:ilvl="0" w:tplc="CAF6BCB6">
      <w:start w:val="1"/>
      <w:numFmt w:val="bullet"/>
      <w:lvlText w:val=""/>
      <w:lvlJc w:val="left"/>
      <w:pPr>
        <w:ind w:left="720" w:hanging="360"/>
      </w:pPr>
      <w:rPr>
        <w:rFonts w:ascii="Wingdings" w:eastAsiaTheme="minorEastAsia"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zwsrr97fdxxges9pfvwvekdzt9w2zdswef&quot;&gt;My EndNote Library&lt;record-ids&gt;&lt;item&gt;151&lt;/item&gt;&lt;item&gt;152&lt;/item&gt;&lt;item&gt;153&lt;/item&gt;&lt;item&gt;154&lt;/item&gt;&lt;item&gt;161&lt;/item&gt;&lt;item&gt;163&lt;/item&gt;&lt;item&gt;167&lt;/item&gt;&lt;item&gt;367&lt;/item&gt;&lt;item&gt;368&lt;/item&gt;&lt;item&gt;369&lt;/item&gt;&lt;/record-ids&gt;&lt;/item&gt;&lt;/Libraries&gt;"/>
  </w:docVars>
  <w:rsids>
    <w:rsidRoot w:val="00382F27"/>
    <w:rsid w:val="0000227F"/>
    <w:rsid w:val="0001655F"/>
    <w:rsid w:val="00027669"/>
    <w:rsid w:val="00051D50"/>
    <w:rsid w:val="000809C2"/>
    <w:rsid w:val="00084DA3"/>
    <w:rsid w:val="0009412C"/>
    <w:rsid w:val="000A03D1"/>
    <w:rsid w:val="000A5136"/>
    <w:rsid w:val="000C1180"/>
    <w:rsid w:val="000C3668"/>
    <w:rsid w:val="000F069B"/>
    <w:rsid w:val="000F3578"/>
    <w:rsid w:val="000F4D97"/>
    <w:rsid w:val="000F778B"/>
    <w:rsid w:val="0011152E"/>
    <w:rsid w:val="001173B3"/>
    <w:rsid w:val="001238A8"/>
    <w:rsid w:val="00141369"/>
    <w:rsid w:val="0014337D"/>
    <w:rsid w:val="00145005"/>
    <w:rsid w:val="00155E1C"/>
    <w:rsid w:val="00160643"/>
    <w:rsid w:val="00185614"/>
    <w:rsid w:val="00185C9E"/>
    <w:rsid w:val="00193E08"/>
    <w:rsid w:val="001943C9"/>
    <w:rsid w:val="001C5A6C"/>
    <w:rsid w:val="001C6A2C"/>
    <w:rsid w:val="001C7896"/>
    <w:rsid w:val="001E4000"/>
    <w:rsid w:val="001E5000"/>
    <w:rsid w:val="00233A26"/>
    <w:rsid w:val="00237D24"/>
    <w:rsid w:val="00241034"/>
    <w:rsid w:val="00241A2D"/>
    <w:rsid w:val="00243505"/>
    <w:rsid w:val="0027715C"/>
    <w:rsid w:val="00282533"/>
    <w:rsid w:val="00290DBC"/>
    <w:rsid w:val="002C3BAD"/>
    <w:rsid w:val="002C5DE9"/>
    <w:rsid w:val="002D0B07"/>
    <w:rsid w:val="002E63F0"/>
    <w:rsid w:val="002E75EF"/>
    <w:rsid w:val="002F3B8D"/>
    <w:rsid w:val="003028F0"/>
    <w:rsid w:val="003376BE"/>
    <w:rsid w:val="00347DA8"/>
    <w:rsid w:val="003534D0"/>
    <w:rsid w:val="00363FE7"/>
    <w:rsid w:val="003658AA"/>
    <w:rsid w:val="003703A5"/>
    <w:rsid w:val="0037071C"/>
    <w:rsid w:val="003817C5"/>
    <w:rsid w:val="00382F27"/>
    <w:rsid w:val="00383AFB"/>
    <w:rsid w:val="003A692B"/>
    <w:rsid w:val="003D3B6D"/>
    <w:rsid w:val="00400CDF"/>
    <w:rsid w:val="004036DE"/>
    <w:rsid w:val="004139B6"/>
    <w:rsid w:val="0041661E"/>
    <w:rsid w:val="0044685F"/>
    <w:rsid w:val="0047698D"/>
    <w:rsid w:val="004A0EB8"/>
    <w:rsid w:val="004B1861"/>
    <w:rsid w:val="004B1EAB"/>
    <w:rsid w:val="004B2E3B"/>
    <w:rsid w:val="004B6AA8"/>
    <w:rsid w:val="004C48F5"/>
    <w:rsid w:val="004E083F"/>
    <w:rsid w:val="00503DDC"/>
    <w:rsid w:val="00506EE9"/>
    <w:rsid w:val="005127D6"/>
    <w:rsid w:val="00537117"/>
    <w:rsid w:val="00552896"/>
    <w:rsid w:val="00573CF6"/>
    <w:rsid w:val="00576F5A"/>
    <w:rsid w:val="00584DFC"/>
    <w:rsid w:val="005933EE"/>
    <w:rsid w:val="00596A5F"/>
    <w:rsid w:val="005B42AA"/>
    <w:rsid w:val="005B7073"/>
    <w:rsid w:val="005C79C0"/>
    <w:rsid w:val="005D28E9"/>
    <w:rsid w:val="005E5ADF"/>
    <w:rsid w:val="00601907"/>
    <w:rsid w:val="00631BCC"/>
    <w:rsid w:val="00645225"/>
    <w:rsid w:val="00653921"/>
    <w:rsid w:val="00671BCD"/>
    <w:rsid w:val="006A1BEA"/>
    <w:rsid w:val="006D3BCE"/>
    <w:rsid w:val="006F5999"/>
    <w:rsid w:val="0070438B"/>
    <w:rsid w:val="00706B28"/>
    <w:rsid w:val="0071194D"/>
    <w:rsid w:val="007138C4"/>
    <w:rsid w:val="00716705"/>
    <w:rsid w:val="00732FC1"/>
    <w:rsid w:val="00735713"/>
    <w:rsid w:val="00746B4E"/>
    <w:rsid w:val="00753B8B"/>
    <w:rsid w:val="0076128C"/>
    <w:rsid w:val="00773181"/>
    <w:rsid w:val="007946A2"/>
    <w:rsid w:val="007A47A4"/>
    <w:rsid w:val="007A5029"/>
    <w:rsid w:val="007A576B"/>
    <w:rsid w:val="007C5167"/>
    <w:rsid w:val="007E3641"/>
    <w:rsid w:val="007E5837"/>
    <w:rsid w:val="007F58E8"/>
    <w:rsid w:val="007F77EE"/>
    <w:rsid w:val="008050D4"/>
    <w:rsid w:val="00810929"/>
    <w:rsid w:val="00821E73"/>
    <w:rsid w:val="00832FD0"/>
    <w:rsid w:val="00843499"/>
    <w:rsid w:val="008532AF"/>
    <w:rsid w:val="00857338"/>
    <w:rsid w:val="008609CF"/>
    <w:rsid w:val="00870525"/>
    <w:rsid w:val="00872FDB"/>
    <w:rsid w:val="008739E4"/>
    <w:rsid w:val="00876306"/>
    <w:rsid w:val="00877E6F"/>
    <w:rsid w:val="008800A5"/>
    <w:rsid w:val="00883341"/>
    <w:rsid w:val="008A20FA"/>
    <w:rsid w:val="008A5A91"/>
    <w:rsid w:val="008B4E10"/>
    <w:rsid w:val="008C0B2E"/>
    <w:rsid w:val="008C7D7C"/>
    <w:rsid w:val="008D5D03"/>
    <w:rsid w:val="008D708B"/>
    <w:rsid w:val="008E6952"/>
    <w:rsid w:val="00900808"/>
    <w:rsid w:val="00934D23"/>
    <w:rsid w:val="00942E6C"/>
    <w:rsid w:val="00945DEC"/>
    <w:rsid w:val="00966DAE"/>
    <w:rsid w:val="0099356F"/>
    <w:rsid w:val="0099681D"/>
    <w:rsid w:val="009A076C"/>
    <w:rsid w:val="009A451C"/>
    <w:rsid w:val="009C458C"/>
    <w:rsid w:val="009C59B3"/>
    <w:rsid w:val="009C6CCA"/>
    <w:rsid w:val="009D035C"/>
    <w:rsid w:val="009D5D3B"/>
    <w:rsid w:val="009D5F7D"/>
    <w:rsid w:val="009E2E13"/>
    <w:rsid w:val="009F04D0"/>
    <w:rsid w:val="009F2411"/>
    <w:rsid w:val="009F5882"/>
    <w:rsid w:val="00A014D6"/>
    <w:rsid w:val="00A14DF2"/>
    <w:rsid w:val="00A253BE"/>
    <w:rsid w:val="00A3031E"/>
    <w:rsid w:val="00A37A04"/>
    <w:rsid w:val="00A7086C"/>
    <w:rsid w:val="00A92FCD"/>
    <w:rsid w:val="00AA3275"/>
    <w:rsid w:val="00AB66CC"/>
    <w:rsid w:val="00AC07A3"/>
    <w:rsid w:val="00AD0980"/>
    <w:rsid w:val="00AD1F24"/>
    <w:rsid w:val="00AE586B"/>
    <w:rsid w:val="00AF776A"/>
    <w:rsid w:val="00B028CB"/>
    <w:rsid w:val="00B31930"/>
    <w:rsid w:val="00B32EF7"/>
    <w:rsid w:val="00B45B8B"/>
    <w:rsid w:val="00B57A33"/>
    <w:rsid w:val="00B626CA"/>
    <w:rsid w:val="00B67A0F"/>
    <w:rsid w:val="00B67D6C"/>
    <w:rsid w:val="00B700F7"/>
    <w:rsid w:val="00B928F4"/>
    <w:rsid w:val="00B93168"/>
    <w:rsid w:val="00B95932"/>
    <w:rsid w:val="00B97941"/>
    <w:rsid w:val="00BA611C"/>
    <w:rsid w:val="00BC1718"/>
    <w:rsid w:val="00BD321B"/>
    <w:rsid w:val="00BD66D1"/>
    <w:rsid w:val="00BE5D53"/>
    <w:rsid w:val="00BE7E1C"/>
    <w:rsid w:val="00BF0D76"/>
    <w:rsid w:val="00BF3223"/>
    <w:rsid w:val="00C05EC4"/>
    <w:rsid w:val="00C11C5D"/>
    <w:rsid w:val="00C40818"/>
    <w:rsid w:val="00C417D2"/>
    <w:rsid w:val="00C46A14"/>
    <w:rsid w:val="00C500E7"/>
    <w:rsid w:val="00C54365"/>
    <w:rsid w:val="00C63328"/>
    <w:rsid w:val="00C64C6E"/>
    <w:rsid w:val="00C71031"/>
    <w:rsid w:val="00C719EC"/>
    <w:rsid w:val="00CA0097"/>
    <w:rsid w:val="00CB196E"/>
    <w:rsid w:val="00CC27FF"/>
    <w:rsid w:val="00CC290A"/>
    <w:rsid w:val="00CC65C4"/>
    <w:rsid w:val="00CE0597"/>
    <w:rsid w:val="00CE5BC7"/>
    <w:rsid w:val="00CF1F65"/>
    <w:rsid w:val="00D147A9"/>
    <w:rsid w:val="00D334F1"/>
    <w:rsid w:val="00D62BD1"/>
    <w:rsid w:val="00D80A19"/>
    <w:rsid w:val="00D80DCC"/>
    <w:rsid w:val="00D81463"/>
    <w:rsid w:val="00D85411"/>
    <w:rsid w:val="00D900F1"/>
    <w:rsid w:val="00D95027"/>
    <w:rsid w:val="00DA43E3"/>
    <w:rsid w:val="00DA6B05"/>
    <w:rsid w:val="00DB1C6C"/>
    <w:rsid w:val="00DB398D"/>
    <w:rsid w:val="00DC1750"/>
    <w:rsid w:val="00DC6D48"/>
    <w:rsid w:val="00DD0E23"/>
    <w:rsid w:val="00DE0360"/>
    <w:rsid w:val="00DF1AF0"/>
    <w:rsid w:val="00DF6A99"/>
    <w:rsid w:val="00E0316A"/>
    <w:rsid w:val="00E132D9"/>
    <w:rsid w:val="00E147FC"/>
    <w:rsid w:val="00E30382"/>
    <w:rsid w:val="00E3231E"/>
    <w:rsid w:val="00E3472D"/>
    <w:rsid w:val="00E36D61"/>
    <w:rsid w:val="00E42D4E"/>
    <w:rsid w:val="00E43E0C"/>
    <w:rsid w:val="00E44D5F"/>
    <w:rsid w:val="00E45661"/>
    <w:rsid w:val="00E579CC"/>
    <w:rsid w:val="00E6218C"/>
    <w:rsid w:val="00E66212"/>
    <w:rsid w:val="00E737F7"/>
    <w:rsid w:val="00E80017"/>
    <w:rsid w:val="00E836F1"/>
    <w:rsid w:val="00E8540E"/>
    <w:rsid w:val="00E95CE4"/>
    <w:rsid w:val="00EA69D7"/>
    <w:rsid w:val="00EB2B90"/>
    <w:rsid w:val="00ED15A9"/>
    <w:rsid w:val="00F03B17"/>
    <w:rsid w:val="00F11C4E"/>
    <w:rsid w:val="00F3134D"/>
    <w:rsid w:val="00F41E02"/>
    <w:rsid w:val="00F73547"/>
    <w:rsid w:val="00F84DB8"/>
    <w:rsid w:val="00FB169E"/>
    <w:rsid w:val="00FC32C2"/>
    <w:rsid w:val="00FC33E4"/>
    <w:rsid w:val="00FC3C46"/>
    <w:rsid w:val="00FE1D8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CF8CE"/>
  <w15:docId w15:val="{5672053C-CE8B-4731-9112-DC98468A1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8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23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238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8A8"/>
    <w:rPr>
      <w:rFonts w:ascii="Tahoma" w:hAnsi="Tahoma" w:cs="Tahoma"/>
      <w:sz w:val="16"/>
      <w:szCs w:val="16"/>
    </w:rPr>
  </w:style>
  <w:style w:type="paragraph" w:customStyle="1" w:styleId="EndNoteBibliographyTitle">
    <w:name w:val="EndNote Bibliography Title"/>
    <w:basedOn w:val="Normal"/>
    <w:link w:val="EndNoteBibliographyTitleChar"/>
    <w:rsid w:val="0087052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70525"/>
    <w:rPr>
      <w:rFonts w:ascii="Calibri" w:hAnsi="Calibri" w:cs="Calibri"/>
      <w:noProof/>
    </w:rPr>
  </w:style>
  <w:style w:type="paragraph" w:customStyle="1" w:styleId="EndNoteBibliography">
    <w:name w:val="EndNote Bibliography"/>
    <w:basedOn w:val="Normal"/>
    <w:link w:val="EndNoteBibliographyChar"/>
    <w:rsid w:val="00870525"/>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870525"/>
    <w:rPr>
      <w:rFonts w:ascii="Calibri" w:hAnsi="Calibri" w:cs="Calibri"/>
      <w:noProof/>
    </w:rPr>
  </w:style>
  <w:style w:type="paragraph" w:styleId="ListParagraph">
    <w:name w:val="List Paragraph"/>
    <w:basedOn w:val="Normal"/>
    <w:uiPriority w:val="34"/>
    <w:qFormat/>
    <w:rsid w:val="00A253BE"/>
    <w:pPr>
      <w:ind w:left="720"/>
      <w:contextualSpacing/>
    </w:pPr>
  </w:style>
  <w:style w:type="character" w:styleId="PlaceholderText">
    <w:name w:val="Placeholder Text"/>
    <w:basedOn w:val="DefaultParagraphFont"/>
    <w:uiPriority w:val="99"/>
    <w:semiHidden/>
    <w:rsid w:val="001C5A6C"/>
    <w:rPr>
      <w:color w:val="808080"/>
    </w:rPr>
  </w:style>
  <w:style w:type="character" w:styleId="Hyperlink">
    <w:name w:val="Hyperlink"/>
    <w:basedOn w:val="DefaultParagraphFont"/>
    <w:uiPriority w:val="99"/>
    <w:unhideWhenUsed/>
    <w:rsid w:val="004B6AA8"/>
    <w:rPr>
      <w:color w:val="0000FF" w:themeColor="hyperlink"/>
      <w:u w:val="single"/>
    </w:rPr>
  </w:style>
  <w:style w:type="paragraph" w:styleId="PlainText">
    <w:name w:val="Plain Text"/>
    <w:basedOn w:val="Normal"/>
    <w:link w:val="PlainTextChar"/>
    <w:uiPriority w:val="99"/>
    <w:unhideWhenUsed/>
    <w:rsid w:val="00DA43E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A43E3"/>
    <w:rPr>
      <w:rFonts w:ascii="Calibri" w:hAnsi="Calibri"/>
      <w:szCs w:val="21"/>
    </w:rPr>
  </w:style>
  <w:style w:type="character" w:styleId="CommentReference">
    <w:name w:val="annotation reference"/>
    <w:basedOn w:val="DefaultParagraphFont"/>
    <w:uiPriority w:val="99"/>
    <w:semiHidden/>
    <w:unhideWhenUsed/>
    <w:rsid w:val="00E44D5F"/>
    <w:rPr>
      <w:sz w:val="16"/>
      <w:szCs w:val="16"/>
    </w:rPr>
  </w:style>
  <w:style w:type="paragraph" w:styleId="CommentText">
    <w:name w:val="annotation text"/>
    <w:basedOn w:val="Normal"/>
    <w:link w:val="CommentTextChar"/>
    <w:uiPriority w:val="99"/>
    <w:semiHidden/>
    <w:unhideWhenUsed/>
    <w:rsid w:val="00E44D5F"/>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E44D5F"/>
    <w:rPr>
      <w:sz w:val="20"/>
      <w:szCs w:val="20"/>
      <w:lang w:val="en-US"/>
    </w:rPr>
  </w:style>
  <w:style w:type="paragraph" w:styleId="CommentSubject">
    <w:name w:val="annotation subject"/>
    <w:basedOn w:val="CommentText"/>
    <w:next w:val="CommentText"/>
    <w:link w:val="CommentSubjectChar"/>
    <w:uiPriority w:val="99"/>
    <w:semiHidden/>
    <w:unhideWhenUsed/>
    <w:rsid w:val="005B42AA"/>
    <w:rPr>
      <w:b/>
      <w:bCs/>
      <w:lang w:val="nl-NL"/>
    </w:rPr>
  </w:style>
  <w:style w:type="character" w:customStyle="1" w:styleId="CommentSubjectChar">
    <w:name w:val="Comment Subject Char"/>
    <w:basedOn w:val="CommentTextChar"/>
    <w:link w:val="CommentSubject"/>
    <w:uiPriority w:val="99"/>
    <w:semiHidden/>
    <w:rsid w:val="005B42AA"/>
    <w:rPr>
      <w:b/>
      <w:bCs/>
      <w:sz w:val="20"/>
      <w:szCs w:val="20"/>
      <w:lang w:val="en-US"/>
    </w:rPr>
  </w:style>
  <w:style w:type="paragraph" w:styleId="Header">
    <w:name w:val="header"/>
    <w:basedOn w:val="Normal"/>
    <w:link w:val="HeaderChar"/>
    <w:uiPriority w:val="99"/>
    <w:unhideWhenUsed/>
    <w:rsid w:val="00671BCD"/>
    <w:pPr>
      <w:tabs>
        <w:tab w:val="center" w:pos="4703"/>
        <w:tab w:val="right" w:pos="9406"/>
      </w:tabs>
      <w:spacing w:after="0" w:line="240" w:lineRule="auto"/>
    </w:pPr>
  </w:style>
  <w:style w:type="character" w:customStyle="1" w:styleId="HeaderChar">
    <w:name w:val="Header Char"/>
    <w:basedOn w:val="DefaultParagraphFont"/>
    <w:link w:val="Header"/>
    <w:uiPriority w:val="99"/>
    <w:rsid w:val="00671BCD"/>
  </w:style>
  <w:style w:type="paragraph" w:styleId="Footer">
    <w:name w:val="footer"/>
    <w:basedOn w:val="Normal"/>
    <w:link w:val="FooterChar"/>
    <w:uiPriority w:val="99"/>
    <w:unhideWhenUsed/>
    <w:rsid w:val="00671BCD"/>
    <w:pPr>
      <w:tabs>
        <w:tab w:val="center" w:pos="4703"/>
        <w:tab w:val="right" w:pos="9406"/>
      </w:tabs>
      <w:spacing w:after="0" w:line="240" w:lineRule="auto"/>
    </w:pPr>
  </w:style>
  <w:style w:type="character" w:customStyle="1" w:styleId="FooterChar">
    <w:name w:val="Footer Char"/>
    <w:basedOn w:val="DefaultParagraphFont"/>
    <w:link w:val="Footer"/>
    <w:uiPriority w:val="99"/>
    <w:rsid w:val="00671B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7147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f.schneider@chem.leidenuniv.nl" TargetMode="External"/><Relationship Id="rId13" Type="http://schemas.openxmlformats.org/officeDocument/2006/relationships/image" Target="media/image3.png"/><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hyperlink" Target="mailto:d.g.h.hetterscheid@chem.leidenuniv.nl"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 TargetMode="Externa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CCC18-A48A-4E5C-801C-955561B90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3757</Words>
  <Characters>21420</Characters>
  <Application>Microsoft Office Word</Application>
  <DocSecurity>0</DocSecurity>
  <Lines>178</Lines>
  <Paragraphs>50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Leiden</Company>
  <LinksUpToDate>false</LinksUpToDate>
  <CharactersWithSpaces>25127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Jiang, L.</dc:creator>
  <cp:lastModifiedBy>Jiang Lin</cp:lastModifiedBy>
  <cp:revision>2</cp:revision>
  <cp:lastPrinted>2021-03-04T11:03:00Z</cp:lastPrinted>
  <dcterms:created xsi:type="dcterms:W3CDTF">2021-04-20T17:18:00Z</dcterms:created>
  <dcterms:modified xsi:type="dcterms:W3CDTF">2021-04-20T17:18:00Z</dcterms:modified>
</cp:coreProperties>
</file>