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SUPPLEMENTARY INFORMATION</w:t>
      </w:r>
    </w:p>
    <w:p>
      <w:pPr>
        <w:spacing w:line="480" w:lineRule="auto"/>
        <w:jc w:val="center"/>
        <w:rPr>
          <w:rFonts w:ascii="Times New Roman" w:hAnsi="Times New Roman" w:eastAsia="Times New Roman" w:cs="Times New Roman"/>
          <w:b/>
          <w:sz w:val="24"/>
          <w:szCs w:val="24"/>
        </w:rPr>
      </w:pPr>
    </w:p>
    <w:p>
      <w:pPr>
        <w:numPr>
          <w:ilvl w:val="0"/>
          <w:numId w:val="1"/>
        </w:numPr>
        <w:spacing w:line="480" w:lineRule="auto"/>
        <w:ind w:left="360" w:hanging="360"/>
        <w:rPr>
          <w:rFonts w:ascii="Times New Roman" w:hAnsi="Times New Roman" w:eastAsia="Times New Roman" w:cs="Times New Roman"/>
          <w:b/>
          <w:sz w:val="24"/>
          <w:szCs w:val="24"/>
        </w:rPr>
      </w:pPr>
      <w:r>
        <w:rPr>
          <w:rFonts w:ascii="Times New Roman" w:hAnsi="Times New Roman" w:eastAsia="Times New Roman" w:cs="Times New Roman"/>
          <w:b/>
          <w:sz w:val="24"/>
          <w:szCs w:val="24"/>
        </w:rPr>
        <w:t>Supplementary Methods</w:t>
      </w:r>
    </w:p>
    <w:p>
      <w:pPr>
        <w:numPr>
          <w:ilvl w:val="0"/>
          <w:numId w:val="1"/>
        </w:numPr>
        <w:spacing w:line="480" w:lineRule="auto"/>
        <w:ind w:left="360" w:hanging="360"/>
        <w:rPr>
          <w:rFonts w:ascii="Times New Roman" w:hAnsi="Times New Roman" w:eastAsia="Times New Roman" w:cs="Times New Roman"/>
          <w:b/>
          <w:sz w:val="24"/>
          <w:szCs w:val="24"/>
        </w:rPr>
      </w:pPr>
      <w:r>
        <w:rPr>
          <w:rFonts w:ascii="Times New Roman" w:hAnsi="Times New Roman" w:eastAsia="Times New Roman" w:cs="Times New Roman"/>
          <w:b/>
          <w:sz w:val="24"/>
          <w:szCs w:val="24"/>
        </w:rPr>
        <w:t>Supplementary Results</w:t>
      </w:r>
    </w:p>
    <w:p>
      <w:pPr>
        <w:spacing w:line="480" w:lineRule="auto"/>
        <w:rPr>
          <w:rFonts w:ascii="Times New Roman" w:hAnsi="Times New Roman" w:eastAsia="Times New Roman" w:cs="Times New Roman"/>
          <w:b/>
          <w:sz w:val="24"/>
          <w:szCs w:val="24"/>
        </w:rPr>
      </w:pPr>
      <w:bookmarkStart w:id="0" w:name="OLE_LINK9"/>
      <w:bookmarkStart w:id="12" w:name="_GoBack"/>
      <w:bookmarkEnd w:id="12"/>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eastAsia="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bookmarkEnd w:id="0"/>
    <w:p>
      <w:pPr>
        <w:spacing w:line="480" w:lineRule="auto"/>
        <w:rPr>
          <w:rFonts w:ascii="Times New Roman" w:hAnsi="Times New Roman" w:cs="Times New Roman"/>
          <w:b/>
          <w:sz w:val="24"/>
          <w:szCs w:val="24"/>
        </w:rPr>
      </w:pPr>
      <w:r>
        <w:rPr>
          <w:rFonts w:ascii="Times New Roman" w:hAnsi="Times New Roman" w:eastAsia="Times New Roman" w:cs="Times New Roman"/>
          <w:b/>
          <w:sz w:val="24"/>
          <w:szCs w:val="24"/>
        </w:rPr>
        <w:t>Supplementary Methods</w:t>
      </w:r>
    </w:p>
    <w:p>
      <w:pPr>
        <w:spacing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Patient selection and data collection </w:t>
      </w:r>
    </w:p>
    <w:p>
      <w:pPr>
        <w:spacing w:line="480" w:lineRule="auto"/>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Inclusion criteria: (1) Biopsy or </w:t>
      </w:r>
      <w:bookmarkStart w:id="1" w:name="OLE_LINK17"/>
      <w:r>
        <w:rPr>
          <w:rFonts w:ascii="Times New Roman" w:hAnsi="Times New Roman" w:eastAsia="等线" w:cs="Times New Roman"/>
          <w:sz w:val="24"/>
          <w:szCs w:val="24"/>
          <w:lang w:bidi="ar"/>
        </w:rPr>
        <w:t>pathological</w:t>
      </w:r>
      <w:bookmarkEnd w:id="1"/>
      <w:r>
        <w:rPr>
          <w:rFonts w:ascii="Times New Roman" w:hAnsi="Times New Roman" w:eastAsia="等线" w:cs="Times New Roman"/>
          <w:sz w:val="24"/>
          <w:szCs w:val="24"/>
          <w:lang w:bidi="ar"/>
        </w:rPr>
        <w:t xml:space="preserve"> tissue confirmed primary GC; (2) All patients underwent the same PET/CT scanning conditions; (3) Availability of </w:t>
      </w:r>
      <w:bookmarkStart w:id="2" w:name="OLE_LINK6"/>
      <w:bookmarkStart w:id="3" w:name="OLE_LINK8"/>
      <w:r>
        <w:rPr>
          <w:rFonts w:ascii="Times New Roman" w:hAnsi="Times New Roman" w:eastAsia="等线" w:cs="Times New Roman"/>
          <w:sz w:val="24"/>
          <w:szCs w:val="24"/>
          <w:lang w:bidi="ar"/>
        </w:rPr>
        <w:t>clinicopathologic</w:t>
      </w:r>
      <w:bookmarkEnd w:id="2"/>
      <w:r>
        <w:rPr>
          <w:rFonts w:ascii="Times New Roman" w:hAnsi="Times New Roman" w:eastAsia="等线" w:cs="Times New Roman"/>
          <w:sz w:val="24"/>
          <w:szCs w:val="24"/>
          <w:lang w:bidi="ar"/>
        </w:rPr>
        <w:t xml:space="preserve"> data </w:t>
      </w:r>
      <w:bookmarkEnd w:id="3"/>
      <w:r>
        <w:rPr>
          <w:rFonts w:ascii="Times New Roman" w:hAnsi="Times New Roman" w:eastAsia="等线" w:cs="Times New Roman"/>
          <w:sz w:val="24"/>
          <w:szCs w:val="24"/>
          <w:lang w:bidi="ar"/>
        </w:rPr>
        <w:t>and follow-up data; (4) Without pretreatment before performing PET/CT scan. Exclusion criteria: (1) Patients treated with neoadjuvant radiotherapy, neoadjuvant chemotherapy, or neoadjuvant chemoradiotherapy before PET/CT scan; (2) Poor PET/CT image quality; (3) Without completed clinicopathologic data or followed-up data</w:t>
      </w:r>
      <w:r>
        <w:rPr>
          <w:rFonts w:hint="eastAsia" w:ascii="Times New Roman" w:hAnsi="Times New Roman" w:eastAsia="等线" w:cs="Times New Roman"/>
          <w:sz w:val="24"/>
          <w:szCs w:val="24"/>
          <w:lang w:bidi="ar"/>
        </w:rPr>
        <w:t>.</w:t>
      </w:r>
      <w:r>
        <w:rPr>
          <w:rFonts w:ascii="Times New Roman" w:hAnsi="Times New Roman" w:cs="Times New Roman"/>
          <w:sz w:val="24"/>
          <w:szCs w:val="24"/>
        </w:rPr>
        <w:t xml:space="preserve"> For each patient, baseline information was documented, including age, sex, tumour size, tumour differentiation status, tumour location, carcinoembryonic antigen level, carbohydrate antigen 19-9 level, clinical tumour, node, and metastasis (TNM) stage (according to the American Joint Committee on Cancer TNM Staging Manual, eighth edition), and follow-up data.</w:t>
      </w:r>
    </w:p>
    <w:p>
      <w:pPr>
        <w:spacing w:line="480" w:lineRule="auto"/>
        <w:rPr>
          <w:rFonts w:ascii="Times New Roman" w:hAnsi="Times New Roman" w:eastAsia="等线" w:cs="Times New Roman"/>
          <w:sz w:val="24"/>
          <w:szCs w:val="24"/>
          <w:lang w:bidi="ar"/>
        </w:rPr>
      </w:pPr>
    </w:p>
    <w:p>
      <w:pPr>
        <w:spacing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PET/CT scan</w:t>
      </w:r>
    </w:p>
    <w:p>
      <w:pPr>
        <w:spacing w:line="480" w:lineRule="auto"/>
        <w:rPr>
          <w:rFonts w:ascii="Times New Roman" w:hAnsi="Times New Roman" w:eastAsia="等线" w:cs="Times New Roman"/>
          <w:sz w:val="24"/>
          <w:szCs w:val="24"/>
          <w:lang w:bidi="ar"/>
        </w:rPr>
      </w:pPr>
      <w:r>
        <w:rPr>
          <w:rFonts w:ascii="Times New Roman" w:hAnsi="Times New Roman" w:cs="Times New Roman"/>
          <w:kern w:val="0"/>
          <w:sz w:val="24"/>
          <w:szCs w:val="24"/>
        </w:rPr>
        <w:t>A</w:t>
      </w:r>
      <w:r>
        <w:rPr>
          <w:rFonts w:ascii="Times New Roman" w:hAnsi="Times New Roman" w:eastAsia="等线" w:cs="Times New Roman"/>
          <w:sz w:val="24"/>
          <w:szCs w:val="24"/>
          <w:lang w:bidi="ar"/>
        </w:rPr>
        <w:t xml:space="preserve">ll patients underwent the same PET/CT examinations with the same acquisition equipment </w:t>
      </w:r>
      <w:r>
        <w:rPr>
          <w:rFonts w:hint="eastAsia" w:ascii="Times New Roman" w:hAnsi="Times New Roman" w:eastAsia="等线" w:cs="Times New Roman"/>
          <w:sz w:val="24"/>
          <w:szCs w:val="24"/>
          <w:lang w:bidi="ar"/>
        </w:rPr>
        <w:t>(</w:t>
      </w:r>
      <w:bookmarkStart w:id="4" w:name="OLE_LINK1"/>
      <w:r>
        <w:rPr>
          <w:rFonts w:ascii="Times New Roman" w:hAnsi="Times New Roman" w:eastAsia="等线" w:cs="Times New Roman"/>
          <w:sz w:val="24"/>
          <w:szCs w:val="24"/>
          <w:lang w:bidi="ar"/>
        </w:rPr>
        <w:t>Biograph mCTx</w:t>
      </w:r>
      <w:bookmarkEnd w:id="4"/>
      <w:r>
        <w:rPr>
          <w:rFonts w:ascii="Times New Roman" w:hAnsi="Times New Roman" w:eastAsia="等线" w:cs="Times New Roman"/>
          <w:sz w:val="24"/>
          <w:szCs w:val="24"/>
          <w:lang w:bidi="ar"/>
        </w:rPr>
        <w:t xml:space="preserve"> PET/CT scanner (Siemens), Germany). </w:t>
      </w:r>
      <w:bookmarkStart w:id="5" w:name="OLE_LINK25"/>
      <w:r>
        <w:rPr>
          <w:rFonts w:ascii="Times New Roman" w:hAnsi="Times New Roman" w:eastAsia="等线" w:cs="Times New Roman"/>
          <w:sz w:val="24"/>
          <w:szCs w:val="24"/>
          <w:lang w:bidi="ar"/>
        </w:rPr>
        <w:t>[18F] FDG</w:t>
      </w:r>
      <w:bookmarkEnd w:id="5"/>
      <w:r>
        <w:rPr>
          <w:rFonts w:ascii="Times New Roman" w:hAnsi="Times New Roman" w:eastAsia="等线" w:cs="Times New Roman"/>
          <w:sz w:val="24"/>
          <w:szCs w:val="24"/>
          <w:lang w:bidi="ar"/>
        </w:rPr>
        <w:t xml:space="preserve"> was injected using a Tracerlab FXF-N (GE Healthcare) tracer synthesis system with a radiochemical purity greater than 95%. Patients were fasted for at least 6 hours to standardize blood glucose levels &lt; 10 mM before injecting [18F] FDG. The scope of [18F] FDG PET/CT imaging is from the top of the skull to the middle of the femur (6 to 8 beds). Patients were given 100–150 μci/kg intravenous injection of [18F] FDG for performing image acquisition in about 60 min. PET scanning was performed in a three-dimensional acquisition mode. The parameters were as follows: voltage 120kV, automatic milliampere, pitch 0.55, tube rotat</w:t>
      </w:r>
      <w:r>
        <w:rPr>
          <w:rFonts w:hint="eastAsia" w:ascii="Times New Roman" w:hAnsi="Times New Roman" w:eastAsia="等线" w:cs="Times New Roman"/>
          <w:sz w:val="24"/>
          <w:szCs w:val="24"/>
          <w:lang w:bidi="ar"/>
        </w:rPr>
        <w:t>ion</w:t>
      </w:r>
      <w:r>
        <w:rPr>
          <w:rFonts w:ascii="Times New Roman" w:hAnsi="Times New Roman" w:eastAsia="等线" w:cs="Times New Roman"/>
          <w:sz w:val="24"/>
          <w:szCs w:val="24"/>
          <w:lang w:bidi="ar"/>
        </w:rPr>
        <w:t xml:space="preserve"> 1.0s per circle, and layer thickness 3mm. PET images were acquired with 2 min of acquisition time per bed position in 6-8 beds, and CT images were collected by Spiral CT scan.</w:t>
      </w:r>
    </w:p>
    <w:p>
      <w:pPr>
        <w:spacing w:line="480" w:lineRule="auto"/>
        <w:rPr>
          <w:rFonts w:ascii="Times New Roman" w:hAnsi="Times New Roman" w:eastAsia="等线" w:cs="Times New Roman"/>
          <w:sz w:val="24"/>
          <w:szCs w:val="24"/>
          <w:lang w:bidi="ar"/>
        </w:rPr>
      </w:pPr>
    </w:p>
    <w:p>
      <w:pPr>
        <w:spacing w:line="480" w:lineRule="auto"/>
        <w:rPr>
          <w:rFonts w:ascii="Times New Roman" w:hAnsi="Times New Roman" w:cs="Times New Roman"/>
          <w:b/>
          <w:bCs/>
          <w:kern w:val="0"/>
          <w:sz w:val="24"/>
          <w:szCs w:val="24"/>
        </w:rPr>
      </w:pPr>
      <w:r>
        <w:rPr>
          <w:rFonts w:ascii="Times New Roman" w:hAnsi="Times New Roman" w:eastAsia="等线" w:cs="Times New Roman"/>
          <w:b/>
          <w:bCs/>
          <w:kern w:val="0"/>
          <w:sz w:val="24"/>
          <w:szCs w:val="24"/>
          <w:lang w:bidi="ar"/>
        </w:rPr>
        <w:t>Image segmentation, feature extraction, and selection</w:t>
      </w:r>
    </w:p>
    <w:p>
      <w:pPr>
        <w:spacing w:line="480" w:lineRule="auto"/>
        <w:rPr>
          <w:rFonts w:ascii="Times New Roman" w:hAnsi="Times New Roman" w:cs="Times New Roman"/>
          <w:kern w:val="0"/>
          <w:sz w:val="24"/>
          <w:szCs w:val="24"/>
        </w:rPr>
      </w:pPr>
      <w:r>
        <w:rPr>
          <w:rFonts w:ascii="Times New Roman" w:hAnsi="Times New Roman" w:cs="Times New Roman"/>
          <w:kern w:val="0"/>
          <w:sz w:val="24"/>
          <w:szCs w:val="24"/>
        </w:rPr>
        <w:t xml:space="preserve">PET/CT images were evaluated by two experienced radiologists with more than ten years of experience in PET/CT diagnosis by ITK-SNAP software (version 3.8.0-beta; www.itksnap.org). The extracted radiomics features included 14 shape features, 18 first-order intensity features, 75 second-order textural features, and 279 higher-order textural features, summarized in supplementary materials. All the image features were implemented and computed using an open-source radiomics analysis package in the MATLAB platform (https://github.com/mvallieres/radiomics).Values of extracted radiomics features were then normalized using the Z-transform method for further analysis </w:t>
      </w:r>
      <w:r>
        <w:rPr>
          <w:rFonts w:ascii="Times New Roman" w:hAnsi="Times New Roman" w:cs="Times New Roman"/>
          <w:kern w:val="0"/>
          <w:sz w:val="24"/>
          <w:szCs w:val="24"/>
        </w:rPr>
        <w:fldChar w:fldCharType="begin">
          <w:fldData xml:space="preserve">PEVuZE5vdGU+PENpdGU+PEF1dGhvcj5TdW48L0F1dGhvcj48WWVhcj4yMDE4PC9ZZWFyPjxSZWNO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</w:fldData>
        </w:fldChar>
      </w:r>
      <w:r>
        <w:rPr>
          <w:rFonts w:ascii="Times New Roman" w:hAnsi="Times New Roman" w:cs="Times New Roman"/>
          <w:kern w:val="0"/>
          <w:sz w:val="24"/>
          <w:szCs w:val="24"/>
        </w:rPr>
        <w:instrText xml:space="preserve"> ADDIN EN.CITE </w:instrText>
      </w:r>
      <w:r>
        <w:rPr>
          <w:rFonts w:ascii="Times New Roman" w:hAnsi="Times New Roman" w:cs="Times New Roman"/>
          <w:kern w:val="0"/>
          <w:sz w:val="24"/>
          <w:szCs w:val="24"/>
        </w:rPr>
        <w:fldChar w:fldCharType="begin">
          <w:fldData xml:space="preserve">PEVuZE5vdGU+PENpdGU+PEF1dGhvcj5TdW48L0F1dGhvcj48WWVhcj4yMDE4PC9ZZWFyPjxSZWNO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</w:fldData>
        </w:fldChar>
      </w:r>
      <w:r>
        <w:rPr>
          <w:rFonts w:ascii="Times New Roman" w:hAnsi="Times New Roman" w:cs="Times New Roman"/>
          <w:kern w:val="0"/>
          <w:sz w:val="24"/>
          <w:szCs w:val="24"/>
        </w:rPr>
        <w:instrText xml:space="preserve"> ADDIN EN.CITE.DATA </w:instrText>
      </w:r>
      <w:r>
        <w:rPr>
          <w:rFonts w:ascii="Times New Roman" w:hAnsi="Times New Roman" w:cs="Times New Roman"/>
          <w:kern w:val="0"/>
          <w:sz w:val="24"/>
          <w:szCs w:val="24"/>
        </w:rPr>
        <w:fldChar w:fldCharType="end"/>
      </w:r>
      <w:r>
        <w:rPr>
          <w:rFonts w:ascii="Times New Roman" w:hAnsi="Times New Roman" w:cs="Times New Roman"/>
          <w:kern w:val="0"/>
          <w:sz w:val="24"/>
          <w:szCs w:val="24"/>
        </w:rPr>
        <w:fldChar w:fldCharType="separate"/>
      </w:r>
      <w:r>
        <w:rPr>
          <w:rFonts w:ascii="Times New Roman" w:hAnsi="Times New Roman" w:cs="Times New Roman"/>
          <w:kern w:val="0"/>
          <w:sz w:val="24"/>
          <w:szCs w:val="24"/>
        </w:rPr>
        <w:t>[41]</w:t>
      </w:r>
      <w:r>
        <w:rPr>
          <w:rFonts w:ascii="Times New Roman" w:hAnsi="Times New Roman" w:cs="Times New Roman"/>
          <w:kern w:val="0"/>
          <w:sz w:val="24"/>
          <w:szCs w:val="24"/>
        </w:rPr>
        <w:fldChar w:fldCharType="end"/>
      </w:r>
      <w:r>
        <w:rPr>
          <w:rFonts w:ascii="Times New Roman" w:hAnsi="Times New Roman" w:cs="Times New Roman"/>
          <w:kern w:val="0"/>
          <w:sz w:val="24"/>
          <w:szCs w:val="24"/>
        </w:rPr>
        <w:t>. For feature selection, the maximum relevance minimum redundancy (mRMR) method was firstly used to eliminate the redundant and irrelevant features, then the least minor absolute shrinkage and selection operator (LASSO) regression method was performed to select the most predictive features of VEGF.</w:t>
      </w:r>
    </w:p>
    <w:p>
      <w:pPr>
        <w:spacing w:line="480" w:lineRule="auto"/>
        <w:ind w:firstLine="360" w:firstLineChars="150"/>
        <w:rPr>
          <w:rFonts w:ascii="Times New Roman" w:hAnsi="Times New Roman" w:cs="Times New Roman"/>
          <w:kern w:val="0"/>
          <w:sz w:val="24"/>
          <w:szCs w:val="24"/>
        </w:rPr>
      </w:pPr>
      <w:r>
        <w:rPr>
          <w:rFonts w:ascii="Times New Roman" w:hAnsi="Times New Roman" w:cs="Times New Roman"/>
          <w:kern w:val="0"/>
          <w:sz w:val="24"/>
          <w:szCs w:val="24"/>
        </w:rPr>
        <w:t>To evaluate whether the agreements of the features extracted from these two radiologists on the same patients were good, intra- and inter-class correlation coefficients (ICCs) were used based on 30 cases. ICCs greater than 0.75 indicated good consistency.</w:t>
      </w:r>
    </w:p>
    <w:p>
      <w:pPr>
        <w:spacing w:line="480" w:lineRule="auto"/>
        <w:ind w:firstLine="360" w:firstLineChars="150"/>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For image segmentation, the volumes of interest (VOIs) from the primary tumor of each patient’s PET and CT images were constructed manually without the knowledge of the patient’s clinicopathologic information. Image preprocessing was performed by resampling the spatial resolution of the PET and CT image VOIs to 1 × 1 </w:t>
      </w:r>
      <w:bookmarkStart w:id="6" w:name="_Hlk108359292"/>
      <w:r>
        <w:rPr>
          <w:rFonts w:ascii="Times New Roman" w:hAnsi="Times New Roman" w:eastAsia="等线" w:cs="Times New Roman"/>
          <w:sz w:val="24"/>
          <w:szCs w:val="24"/>
          <w:lang w:bidi="ar"/>
        </w:rPr>
        <w:t>×</w:t>
      </w:r>
      <w:bookmarkEnd w:id="6"/>
      <w:r>
        <w:rPr>
          <w:rFonts w:ascii="Times New Roman" w:hAnsi="Times New Roman" w:eastAsia="等线" w:cs="Times New Roman"/>
          <w:sz w:val="24"/>
          <w:szCs w:val="24"/>
          <w:lang w:bidi="ar"/>
        </w:rPr>
        <w:t xml:space="preserve"> 1 mm</w:t>
      </w:r>
      <w:r>
        <w:rPr>
          <w:rFonts w:ascii="Times New Roman" w:hAnsi="Times New Roman" w:eastAsia="等线" w:cs="Times New Roman"/>
          <w:sz w:val="24"/>
          <w:szCs w:val="24"/>
          <w:vertAlign w:val="superscript"/>
          <w:lang w:bidi="ar"/>
        </w:rPr>
        <w:t>3</w:t>
      </w:r>
      <w:r>
        <w:rPr>
          <w:rFonts w:ascii="Times New Roman" w:hAnsi="Times New Roman" w:eastAsia="等线" w:cs="Times New Roman"/>
          <w:sz w:val="24"/>
          <w:szCs w:val="24"/>
          <w:lang w:bidi="ar"/>
        </w:rPr>
        <w:t xml:space="preserve"> voxels before feature extraction. PET images were transformed into SUV unit. After preprocessing the images, a total of 386 × 2 radiomics features were extracted from CT and PET images by the python package Pyradiomics (version 2.2.0).</w:t>
      </w:r>
    </w:p>
    <w:p>
      <w:pPr>
        <w:spacing w:line="480" w:lineRule="auto"/>
        <w:rPr>
          <w:rFonts w:ascii="Times New Roman" w:hAnsi="Times New Roman" w:eastAsia="等线" w:cs="Times New Roman"/>
          <w:b/>
          <w:bCs/>
          <w:kern w:val="0"/>
          <w:sz w:val="24"/>
          <w:szCs w:val="24"/>
          <w:lang w:bidi="ar"/>
        </w:rPr>
      </w:pPr>
    </w:p>
    <w:p>
      <w:pPr>
        <w:spacing w:line="480" w:lineRule="auto"/>
        <w:rPr>
          <w:rFonts w:ascii="Times New Roman" w:hAnsi="Times New Roman" w:eastAsia="等线" w:cs="Times New Roman"/>
          <w:b/>
          <w:bCs/>
          <w:kern w:val="0"/>
          <w:sz w:val="24"/>
          <w:szCs w:val="24"/>
          <w:lang w:bidi="ar"/>
        </w:rPr>
      </w:pPr>
      <w:r>
        <w:rPr>
          <w:rFonts w:ascii="Times New Roman" w:hAnsi="Times New Roman" w:eastAsia="等线" w:cs="Times New Roman"/>
          <w:b/>
          <w:bCs/>
          <w:kern w:val="0"/>
          <w:sz w:val="24"/>
          <w:szCs w:val="24"/>
          <w:lang w:bidi="ar"/>
        </w:rPr>
        <w:t>Validations of the non-invasive imaging biomarker</w:t>
      </w:r>
    </w:p>
    <w:p>
      <w:pPr>
        <w:spacing w:line="480" w:lineRule="auto"/>
        <w:ind w:firstLine="360" w:firstLineChars="150"/>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The assessment of diagnostic performance for the prediction models involved the use of the receiver operating characteristic (ROC) and calibration curves. When predicting VEGF status, the </w:t>
      </w:r>
      <w:bookmarkStart w:id="7" w:name="_Hlk71988792"/>
      <w:r>
        <w:rPr>
          <w:rFonts w:ascii="Times New Roman" w:hAnsi="Times New Roman" w:eastAsia="等线" w:cs="Times New Roman"/>
          <w:sz w:val="24"/>
          <w:szCs w:val="24"/>
          <w:lang w:bidi="ar"/>
        </w:rPr>
        <w:t xml:space="preserve">efficacy of </w:t>
      </w:r>
      <w:bookmarkEnd w:id="7"/>
      <w:r>
        <w:rPr>
          <w:rFonts w:ascii="Times New Roman" w:hAnsi="Times New Roman" w:eastAsia="等线" w:cs="Times New Roman"/>
          <w:sz w:val="24"/>
          <w:szCs w:val="24"/>
          <w:lang w:bidi="ar"/>
        </w:rPr>
        <w:t xml:space="preserve">RS was assessed by the </w:t>
      </w:r>
      <w:bookmarkStart w:id="8" w:name="_Hlk71988714"/>
      <w:r>
        <w:rPr>
          <w:rFonts w:ascii="Times New Roman" w:hAnsi="Times New Roman" w:eastAsia="等线" w:cs="Times New Roman"/>
          <w:sz w:val="24"/>
          <w:szCs w:val="24"/>
          <w:lang w:bidi="ar"/>
        </w:rPr>
        <w:t>sensitivity, specificity, accuracy, positive likelihood ratio (+LR), negative likelihood ratio (-LR), positive predictive value (PPV), and negative predictive value (NPV)</w:t>
      </w:r>
      <w:bookmarkEnd w:id="8"/>
      <w:r>
        <w:rPr>
          <w:rFonts w:ascii="Times New Roman" w:hAnsi="Times New Roman" w:eastAsia="等线" w:cs="Times New Roman"/>
          <w:sz w:val="24"/>
          <w:szCs w:val="24"/>
          <w:lang w:bidi="ar"/>
        </w:rPr>
        <w:t>. These metrics were determined based on the RS cut-off value that corresponded to the maximum Youden index. In the case of predicting OS, the discrimination performance of the PET/CT prognostic model was assessed using Harrell’s concordance index (C-index).</w:t>
      </w:r>
    </w:p>
    <w:p>
      <w:pPr>
        <w:spacing w:line="480" w:lineRule="auto"/>
        <w:ind w:firstLine="360" w:firstLineChars="150"/>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 </w:t>
      </w:r>
    </w:p>
    <w:p>
      <w:pPr>
        <w:spacing w:line="480" w:lineRule="auto"/>
        <w:rPr>
          <w:rFonts w:ascii="Times New Roman" w:hAnsi="Times New Roman" w:eastAsia="等线" w:cs="Times New Roman"/>
          <w:b/>
          <w:bCs/>
          <w:kern w:val="0"/>
          <w:sz w:val="24"/>
          <w:szCs w:val="24"/>
          <w:lang w:bidi="ar"/>
        </w:rPr>
      </w:pPr>
      <w:bookmarkStart w:id="9" w:name="_Hlk151018145"/>
      <w:r>
        <w:rPr>
          <w:rFonts w:ascii="Times New Roman" w:hAnsi="Times New Roman" w:eastAsia="等线" w:cs="Times New Roman"/>
          <w:b/>
          <w:bCs/>
          <w:kern w:val="0"/>
          <w:sz w:val="24"/>
          <w:szCs w:val="24"/>
          <w:lang w:bidi="ar"/>
        </w:rPr>
        <w:t>Clinical usefulness</w:t>
      </w:r>
    </w:p>
    <w:bookmarkEnd w:id="9"/>
    <w:p>
      <w:pPr>
        <w:spacing w:line="480" w:lineRule="auto"/>
        <w:ind w:firstLine="360" w:firstLineChars="150"/>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Decision curve analyses (DCA) were used to evaluate the clinical influence of the non-invasive imaging biomarker for VEGF. This was achieved by quantifying the net benefits at a specific threshold probability within each cohort. </w:t>
      </w:r>
    </w:p>
    <w:p>
      <w:pPr>
        <w:spacing w:line="480" w:lineRule="auto"/>
        <w:rPr>
          <w:rFonts w:ascii="Times New Roman" w:hAnsi="Times New Roman" w:eastAsia="等线" w:cs="Times New Roman"/>
          <w:sz w:val="24"/>
          <w:szCs w:val="24"/>
          <w:lang w:bidi="ar"/>
        </w:rPr>
      </w:pPr>
    </w:p>
    <w:p>
      <w:pPr>
        <w:spacing w:line="480" w:lineRule="auto"/>
        <w:rPr>
          <w:rFonts w:ascii="Times New Roman" w:hAnsi="Times New Roman" w:eastAsia="等线" w:cs="Times New Roman"/>
          <w:sz w:val="24"/>
          <w:szCs w:val="24"/>
          <w:lang w:bidi="ar"/>
        </w:rPr>
      </w:pPr>
      <w:r>
        <w:rPr>
          <w:rFonts w:ascii="Times New Roman" w:hAnsi="Times New Roman" w:eastAsia="等线" w:cs="Times New Roman"/>
          <w:b/>
          <w:bCs/>
          <w:kern w:val="0"/>
          <w:sz w:val="24"/>
          <w:szCs w:val="24"/>
          <w:lang w:bidi="ar"/>
        </w:rPr>
        <w:t>Statistical analysis</w:t>
      </w:r>
    </w:p>
    <w:p>
      <w:pPr>
        <w:spacing w:line="480" w:lineRule="auto"/>
        <w:rPr>
          <w:rFonts w:ascii="Times New Roman" w:hAnsi="Times New Roman" w:eastAsia="等线" w:cs="Times New Roman"/>
          <w:sz w:val="24"/>
          <w:szCs w:val="24"/>
          <w:lang w:bidi="ar"/>
        </w:rPr>
      </w:pPr>
      <w:r>
        <w:rPr>
          <w:rFonts w:ascii="Times New Roman" w:hAnsi="Times New Roman" w:eastAsia="等线" w:cs="Times New Roman"/>
          <w:sz w:val="24"/>
          <w:szCs w:val="24"/>
          <w:lang w:bidi="ar"/>
        </w:rPr>
        <w:t xml:space="preserve">Redundant and irrelevant features elimination was performed by using the mRMR </w:t>
      </w:r>
      <w:bookmarkStart w:id="10" w:name="OLE_LINK16"/>
      <w:r>
        <w:rPr>
          <w:rFonts w:ascii="Times New Roman" w:hAnsi="Times New Roman" w:eastAsia="等线" w:cs="Times New Roman"/>
          <w:sz w:val="24"/>
          <w:szCs w:val="24"/>
          <w:lang w:bidi="ar"/>
        </w:rPr>
        <w:t>algorithm</w:t>
      </w:r>
      <w:bookmarkEnd w:id="10"/>
      <w:r>
        <w:rPr>
          <w:rFonts w:ascii="Times New Roman" w:hAnsi="Times New Roman" w:eastAsia="等线" w:cs="Times New Roman"/>
          <w:sz w:val="24"/>
          <w:szCs w:val="24"/>
          <w:lang w:bidi="ar"/>
        </w:rPr>
        <w:t xml:space="preserve"> in the “mRMRe” package; Predictive features selections were performed by using the LASSO logistic regression algorithm in the “glmnet” package; ROC curves and calibration plots were plotted by using the “pROC” and “pec” </w:t>
      </w:r>
      <w:bookmarkStart w:id="11" w:name="_Hlk71891082"/>
      <w:r>
        <w:rPr>
          <w:rFonts w:ascii="Times New Roman" w:hAnsi="Times New Roman" w:eastAsia="等线" w:cs="Times New Roman"/>
          <w:sz w:val="24"/>
          <w:szCs w:val="24"/>
          <w:lang w:bidi="ar"/>
        </w:rPr>
        <w:t>package</w:t>
      </w:r>
      <w:bookmarkEnd w:id="11"/>
      <w:r>
        <w:rPr>
          <w:rFonts w:ascii="Times New Roman" w:hAnsi="Times New Roman" w:eastAsia="等线" w:cs="Times New Roman"/>
          <w:sz w:val="24"/>
          <w:szCs w:val="24"/>
          <w:lang w:bidi="ar"/>
        </w:rPr>
        <w:t>s; Nomogram was constructed by using the “rms” package; Survival curves and DCA curves were plotted by using the “survminer” and “ggDCA” packages.</w:t>
      </w: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sz w:val="24"/>
          <w:szCs w:val="24"/>
        </w:rPr>
      </w:pPr>
    </w:p>
    <w:p>
      <w:pPr>
        <w:spacing w:line="480" w:lineRule="auto"/>
        <w:rPr>
          <w:rFonts w:ascii="Times New Roman" w:hAnsi="Times New Roman" w:cs="Times New Roman"/>
          <w:b/>
          <w:bCs/>
          <w:sz w:val="28"/>
          <w:szCs w:val="28"/>
        </w:rPr>
      </w:pPr>
      <w:r>
        <w:rPr>
          <w:rFonts w:ascii="Times New Roman" w:hAnsi="Times New Roman" w:eastAsia="Times New Roman" w:cs="Times New Roman"/>
          <w:b/>
          <w:sz w:val="24"/>
          <w:szCs w:val="24"/>
        </w:rPr>
        <w:t>Supplementary Results</w:t>
      </w:r>
    </w:p>
    <w:p>
      <w:pPr>
        <w:autoSpaceDE w:val="0"/>
        <w:autoSpaceDN w:val="0"/>
        <w:adjustRightInd w:val="0"/>
        <w:jc w:val="left"/>
        <w:rPr>
          <w:rFonts w:ascii="Times New Roman" w:hAnsi="Times New Roman" w:cs="Times New Roman"/>
          <w:b/>
          <w:bCs/>
          <w:color w:val="0D0D0D"/>
          <w:kern w:val="0"/>
          <w:sz w:val="24"/>
          <w:szCs w:val="24"/>
        </w:rPr>
      </w:pPr>
      <w:r>
        <w:rPr>
          <w:rFonts w:ascii="Times New Roman" w:hAnsi="Times New Roman" w:cs="Times New Roman"/>
          <w:b/>
          <w:bCs/>
          <w:color w:val="0D0D0D"/>
          <w:kern w:val="0"/>
          <w:sz w:val="24"/>
          <w:szCs w:val="24"/>
        </w:rPr>
        <w:t>Calculation formula of the VEGF Rad-score</w:t>
      </w:r>
    </w:p>
    <w:p>
      <w:pPr>
        <w:jc w:val="left"/>
        <w:rPr>
          <w:rFonts w:ascii="Times New Roman" w:hAnsi="Times New Roman" w:cs="Times New Roman"/>
          <w:kern w:val="0"/>
          <w:sz w:val="24"/>
          <w:szCs w:val="24"/>
        </w:rPr>
      </w:pPr>
      <w:r>
        <w:rPr>
          <w:rFonts w:ascii="Times New Roman" w:hAnsi="Times New Roman" w:cs="Times New Roman"/>
          <w:b/>
          <w:bCs/>
          <w:color w:val="0D0D0D"/>
          <w:kern w:val="0"/>
          <w:sz w:val="24"/>
          <w:szCs w:val="24"/>
        </w:rPr>
        <w:t>VEGF</w:t>
      </w:r>
      <w:r>
        <w:rPr>
          <w:rFonts w:ascii="Times New Roman" w:hAnsi="Times New Roman" w:cs="Times New Roman"/>
          <w:b/>
          <w:bCs/>
          <w:kern w:val="0"/>
          <w:sz w:val="24"/>
          <w:szCs w:val="24"/>
        </w:rPr>
        <w:t xml:space="preserve"> Rad-score</w:t>
      </w:r>
      <w:r>
        <w:rPr>
          <w:rFonts w:ascii="Times New Roman" w:hAnsi="Times New Roman" w:cs="Times New Roman"/>
          <w:kern w:val="0"/>
          <w:sz w:val="24"/>
          <w:szCs w:val="24"/>
        </w:rPr>
        <w:t xml:space="preserve"> =</w:t>
      </w:r>
    </w:p>
    <w:p>
      <w:pPr>
        <w:spacing w:line="360" w:lineRule="auto"/>
        <w:rPr>
          <w:rFonts w:ascii="Times New Roman" w:hAnsi="Times New Roman" w:cs="Times New Roman"/>
          <w:sz w:val="24"/>
          <w:szCs w:val="24"/>
        </w:rPr>
      </w:pPr>
      <w:r>
        <w:rPr>
          <w:rFonts w:ascii="Times New Roman" w:hAnsi="Times New Roman" w:cs="Times New Roman"/>
          <w:sz w:val="24"/>
          <w:szCs w:val="24"/>
        </w:rPr>
        <w:t>(CT_log.sigma.3.mm.3D_glszm_ZonePercentage</w:t>
      </w:r>
      <w:r>
        <w:rPr>
          <w:rFonts w:ascii="Times New Roman" w:hAnsi="Times New Roman" w:cs="Times New Roman"/>
          <w:kern w:val="0"/>
          <w:sz w:val="24"/>
          <w:szCs w:val="24"/>
        </w:rPr>
        <w:t>×</w:t>
      </w:r>
      <w:r>
        <w:rPr>
          <w:rFonts w:ascii="Times New Roman" w:hAnsi="Times New Roman" w:cs="Times New Roman"/>
          <w:sz w:val="24"/>
          <w:szCs w:val="24"/>
        </w:rPr>
        <w:t>-0.01236) +</w:t>
      </w:r>
    </w:p>
    <w:p>
      <w:pPr>
        <w:spacing w:line="360" w:lineRule="auto"/>
        <w:rPr>
          <w:rFonts w:ascii="Times New Roman" w:hAnsi="Times New Roman" w:cs="Times New Roman"/>
          <w:sz w:val="24"/>
          <w:szCs w:val="24"/>
        </w:rPr>
      </w:pPr>
      <w:r>
        <w:rPr>
          <w:rFonts w:ascii="Times New Roman" w:hAnsi="Times New Roman" w:cs="Times New Roman"/>
          <w:sz w:val="24"/>
          <w:szCs w:val="24"/>
        </w:rPr>
        <w:t>(CT_log.sigma.2.mm.3D_gldm_DependenceNonUniformityNormalized</w:t>
      </w:r>
      <w:r>
        <w:rPr>
          <w:rFonts w:ascii="Times New Roman" w:hAnsi="Times New Roman" w:cs="Times New Roman"/>
          <w:kern w:val="0"/>
          <w:sz w:val="24"/>
          <w:szCs w:val="24"/>
        </w:rPr>
        <w:t>×</w:t>
      </w:r>
      <w:r>
        <w:rPr>
          <w:rFonts w:ascii="Times New Roman" w:hAnsi="Times New Roman" w:cs="Times New Roman"/>
          <w:sz w:val="24"/>
          <w:szCs w:val="24"/>
        </w:rPr>
        <w:t>0.00845) +</w:t>
      </w:r>
    </w:p>
    <w:p>
      <w:pPr>
        <w:spacing w:line="360" w:lineRule="auto"/>
        <w:rPr>
          <w:rFonts w:ascii="Times New Roman" w:hAnsi="Times New Roman" w:cs="Times New Roman"/>
          <w:sz w:val="24"/>
          <w:szCs w:val="24"/>
        </w:rPr>
      </w:pPr>
      <w:r>
        <w:rPr>
          <w:rFonts w:ascii="Times New Roman" w:hAnsi="Times New Roman" w:cs="Times New Roman"/>
          <w:sz w:val="24"/>
          <w:szCs w:val="24"/>
        </w:rPr>
        <w:t>(CT_log.sigma.2.mm.3D_gldm_DependenceNonUniformity</w:t>
      </w:r>
      <w:r>
        <w:rPr>
          <w:rFonts w:ascii="Times New Roman" w:hAnsi="Times New Roman" w:cs="Times New Roman"/>
          <w:kern w:val="0"/>
          <w:sz w:val="24"/>
          <w:szCs w:val="24"/>
        </w:rPr>
        <w:t>×</w:t>
      </w:r>
      <w:r>
        <w:rPr>
          <w:rFonts w:ascii="Times New Roman" w:hAnsi="Times New Roman" w:cs="Times New Roman"/>
          <w:sz w:val="24"/>
          <w:szCs w:val="24"/>
        </w:rPr>
        <w:t>0.01495) +</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CT_original_firstorder_InterquartileRange</w:t>
      </w:r>
      <w:r>
        <w:rPr>
          <w:rFonts w:ascii="Times New Roman" w:hAnsi="Times New Roman" w:cs="Times New Roman"/>
          <w:kern w:val="0"/>
          <w:sz w:val="24"/>
          <w:szCs w:val="24"/>
        </w:rPr>
        <w:t>×</w:t>
      </w:r>
      <w:r>
        <w:rPr>
          <w:rFonts w:ascii="Times New Roman" w:hAnsi="Times New Roman" w:cs="Times New Roman"/>
          <w:sz w:val="24"/>
          <w:szCs w:val="24"/>
        </w:rPr>
        <w:t>0.00357) +</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CT_original_firstorder_90Percentile</w:t>
      </w:r>
      <w:r>
        <w:rPr>
          <w:rFonts w:ascii="Times New Roman" w:hAnsi="Times New Roman" w:cs="Times New Roman"/>
          <w:kern w:val="0"/>
          <w:sz w:val="24"/>
          <w:szCs w:val="24"/>
        </w:rPr>
        <w:t>×</w:t>
      </w:r>
      <w:r>
        <w:rPr>
          <w:rFonts w:ascii="Times New Roman" w:hAnsi="Times New Roman" w:cs="Times New Roman"/>
          <w:sz w:val="24"/>
          <w:szCs w:val="24"/>
        </w:rPr>
        <w:t>0.00075) +</w:t>
      </w:r>
    </w:p>
    <w:p>
      <w:pPr>
        <w:spacing w:line="360" w:lineRule="auto"/>
        <w:rPr>
          <w:rFonts w:ascii="Times New Roman" w:hAnsi="Times New Roman" w:cs="Times New Roman"/>
          <w:sz w:val="24"/>
          <w:szCs w:val="24"/>
        </w:rPr>
      </w:pPr>
      <w:r>
        <w:rPr>
          <w:rFonts w:ascii="Times New Roman" w:hAnsi="Times New Roman" w:cs="Times New Roman"/>
          <w:sz w:val="24"/>
          <w:szCs w:val="24"/>
        </w:rPr>
        <w:t>(CT_log.sigma.3.mm.3D_glszm_LargeAreaHighGrayLevelEmphasis</w:t>
      </w:r>
      <w:r>
        <w:rPr>
          <w:rFonts w:ascii="Times New Roman" w:hAnsi="Times New Roman" w:cs="Times New Roman"/>
          <w:kern w:val="0"/>
          <w:sz w:val="24"/>
          <w:szCs w:val="24"/>
        </w:rPr>
        <w:t>×</w:t>
      </w:r>
      <w:r>
        <w:rPr>
          <w:rFonts w:ascii="Times New Roman" w:hAnsi="Times New Roman" w:cs="Times New Roman"/>
          <w:sz w:val="24"/>
          <w:szCs w:val="24"/>
        </w:rPr>
        <w:t>0.11218) +</w:t>
      </w:r>
    </w:p>
    <w:p>
      <w:pPr>
        <w:spacing w:line="360" w:lineRule="auto"/>
        <w:rPr>
          <w:rFonts w:ascii="Times New Roman" w:hAnsi="Times New Roman" w:cs="Times New Roman"/>
          <w:sz w:val="24"/>
          <w:szCs w:val="24"/>
        </w:rPr>
      </w:pPr>
      <w:r>
        <w:rPr>
          <w:rFonts w:ascii="Times New Roman" w:hAnsi="Times New Roman" w:cs="Times New Roman"/>
          <w:sz w:val="24"/>
          <w:szCs w:val="24"/>
        </w:rPr>
        <w:t>(CT_log.sigma.1.mm.3D_glcm_InverseVariance</w:t>
      </w:r>
      <w:r>
        <w:rPr>
          <w:rFonts w:ascii="Times New Roman" w:hAnsi="Times New Roman" w:cs="Times New Roman"/>
          <w:kern w:val="0"/>
          <w:sz w:val="24"/>
          <w:szCs w:val="24"/>
        </w:rPr>
        <w:t>×</w:t>
      </w:r>
      <w:r>
        <w:rPr>
          <w:rFonts w:ascii="Times New Roman" w:hAnsi="Times New Roman" w:cs="Times New Roman"/>
          <w:sz w:val="24"/>
          <w:szCs w:val="24"/>
        </w:rPr>
        <w:t>0.06378) +</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CT_original_shape_Maximum2DDiameterRow</w:t>
      </w:r>
      <w:r>
        <w:rPr>
          <w:rFonts w:ascii="Times New Roman" w:hAnsi="Times New Roman" w:cs="Times New Roman"/>
          <w:kern w:val="0"/>
          <w:sz w:val="24"/>
          <w:szCs w:val="24"/>
        </w:rPr>
        <w:t>×</w:t>
      </w:r>
      <w:r>
        <w:rPr>
          <w:rFonts w:ascii="Times New Roman" w:hAnsi="Times New Roman" w:cs="Times New Roman"/>
          <w:sz w:val="24"/>
          <w:szCs w:val="24"/>
        </w:rPr>
        <w:t>0.11021) + (PET_original_shape_Maximum2DDiameterRow</w:t>
      </w:r>
      <w:r>
        <w:rPr>
          <w:rFonts w:ascii="Times New Roman" w:hAnsi="Times New Roman" w:cs="Times New Roman"/>
          <w:kern w:val="0"/>
          <w:sz w:val="24"/>
          <w:szCs w:val="24"/>
        </w:rPr>
        <w:t>×</w:t>
      </w:r>
      <w:r>
        <w:rPr>
          <w:rFonts w:ascii="Times New Roman" w:hAnsi="Times New Roman" w:cs="Times New Roman"/>
          <w:sz w:val="24"/>
          <w:szCs w:val="24"/>
        </w:rPr>
        <w:t>0.01410) +</w:t>
      </w:r>
    </w:p>
    <w:p>
      <w:pPr>
        <w:spacing w:line="360" w:lineRule="auto"/>
        <w:rPr>
          <w:rFonts w:ascii="Times New Roman" w:hAnsi="Times New Roman" w:cs="Times New Roman"/>
          <w:sz w:val="24"/>
          <w:szCs w:val="24"/>
        </w:rPr>
      </w:pPr>
      <w:r>
        <w:rPr>
          <w:rFonts w:ascii="Times New Roman" w:hAnsi="Times New Roman" w:cs="Times New Roman"/>
          <w:sz w:val="24"/>
          <w:szCs w:val="24"/>
        </w:rPr>
        <w:t>(PET_original_firstorder_Kurtosis</w:t>
      </w:r>
      <w:r>
        <w:rPr>
          <w:rFonts w:ascii="Times New Roman" w:hAnsi="Times New Roman" w:cs="Times New Roman"/>
          <w:kern w:val="0"/>
          <w:sz w:val="24"/>
          <w:szCs w:val="24"/>
        </w:rPr>
        <w:t>×</w:t>
      </w:r>
      <w:r>
        <w:rPr>
          <w:rFonts w:ascii="Times New Roman" w:hAnsi="Times New Roman" w:cs="Times New Roman"/>
          <w:sz w:val="24"/>
          <w:szCs w:val="24"/>
        </w:rPr>
        <w:t>0.00768) +</w:t>
      </w:r>
    </w:p>
    <w:p>
      <w:pPr>
        <w:spacing w:line="360" w:lineRule="auto"/>
        <w:rPr>
          <w:rFonts w:ascii="Times New Roman" w:hAnsi="Times New Roman" w:cs="Times New Roman"/>
          <w:sz w:val="24"/>
          <w:szCs w:val="24"/>
        </w:rPr>
      </w:pPr>
      <w:r>
        <w:rPr>
          <w:rFonts w:ascii="Times New Roman" w:hAnsi="Times New Roman" w:cs="Times New Roman"/>
          <w:sz w:val="24"/>
          <w:szCs w:val="24"/>
        </w:rPr>
        <w:t>(PET_log.sigma.3.mm.3D_gldm_DependenceNonUniformity</w:t>
      </w:r>
      <w:r>
        <w:rPr>
          <w:rFonts w:ascii="Times New Roman" w:hAnsi="Times New Roman" w:cs="Times New Roman"/>
          <w:kern w:val="0"/>
          <w:sz w:val="24"/>
          <w:szCs w:val="24"/>
        </w:rPr>
        <w:t>×</w:t>
      </w:r>
      <w:r>
        <w:rPr>
          <w:rFonts w:ascii="Times New Roman" w:hAnsi="Times New Roman" w:cs="Times New Roman"/>
          <w:sz w:val="24"/>
          <w:szCs w:val="24"/>
        </w:rPr>
        <w:t>0.00006) +</w:t>
      </w:r>
    </w:p>
    <w:p>
      <w:pPr>
        <w:spacing w:line="360" w:lineRule="auto"/>
        <w:rPr>
          <w:rFonts w:ascii="Times New Roman" w:hAnsi="Times New Roman" w:cs="Times New Roman"/>
          <w:sz w:val="24"/>
          <w:szCs w:val="24"/>
        </w:rPr>
      </w:pPr>
      <w:r>
        <w:rPr>
          <w:rFonts w:ascii="Times New Roman" w:hAnsi="Times New Roman" w:cs="Times New Roman"/>
          <w:sz w:val="24"/>
          <w:szCs w:val="24"/>
        </w:rPr>
        <w:t>(PET_log.sigma.2.mm.3D_glcm_MCC</w:t>
      </w:r>
      <w:r>
        <w:rPr>
          <w:rFonts w:ascii="Times New Roman" w:hAnsi="Times New Roman" w:cs="Times New Roman"/>
          <w:kern w:val="0"/>
          <w:sz w:val="24"/>
          <w:szCs w:val="24"/>
        </w:rPr>
        <w:t>×</w:t>
      </w:r>
      <w:r>
        <w:rPr>
          <w:rFonts w:ascii="Times New Roman" w:hAnsi="Times New Roman" w:cs="Times New Roman"/>
          <w:sz w:val="24"/>
          <w:szCs w:val="24"/>
        </w:rPr>
        <w:t>-0.03955) +</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t>PET_original_firstorder_Skewness</w:t>
      </w:r>
      <w:r>
        <w:rPr>
          <w:rFonts w:ascii="Times New Roman" w:hAnsi="Times New Roman" w:cs="Times New Roman"/>
          <w:kern w:val="0"/>
          <w:sz w:val="24"/>
          <w:szCs w:val="24"/>
        </w:rPr>
        <w:t>×</w:t>
      </w:r>
      <w:r>
        <w:rPr>
          <w:rFonts w:ascii="Times New Roman" w:hAnsi="Times New Roman" w:cs="Times New Roman"/>
          <w:sz w:val="24"/>
          <w:szCs w:val="24"/>
        </w:rPr>
        <w:t>0.00623) +</w:t>
      </w:r>
    </w:p>
    <w:p>
      <w:pPr>
        <w:spacing w:line="360" w:lineRule="auto"/>
        <w:rPr>
          <w:rFonts w:hint="eastAsia" w:ascii="Times New Roman" w:hAnsi="Times New Roman" w:cs="Times New Roman"/>
          <w:sz w:val="24"/>
          <w:szCs w:val="24"/>
        </w:rPr>
      </w:pPr>
      <w:r>
        <w:rPr>
          <w:rFonts w:ascii="Times New Roman" w:hAnsi="Times New Roman" w:cs="Times New Roman"/>
          <w:sz w:val="24"/>
          <w:szCs w:val="24"/>
        </w:rPr>
        <w:t>(PET_log.sigma.1.mm.3D_glcm_InverseVariance</w:t>
      </w:r>
      <w:r>
        <w:rPr>
          <w:rFonts w:ascii="Times New Roman" w:hAnsi="Times New Roman" w:cs="Times New Roman"/>
          <w:kern w:val="0"/>
          <w:sz w:val="24"/>
          <w:szCs w:val="24"/>
        </w:rPr>
        <w:t>×</w:t>
      </w:r>
      <w:r>
        <w:rPr>
          <w:rFonts w:ascii="Times New Roman" w:hAnsi="Times New Roman" w:cs="Times New Roman"/>
          <w:sz w:val="24"/>
          <w:szCs w:val="24"/>
        </w:rPr>
        <w:t xml:space="preserve">-0.02261)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F3D8F"/>
    <w:multiLevelType w:val="multilevel"/>
    <w:tmpl w:val="6C1F3D8F"/>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4NTliMTNjOWEyMzE2MDExOGRmZjJkZGUwNzcwZTYifQ=="/>
  </w:docVars>
  <w:rsids>
    <w:rsidRoot w:val="004F5688"/>
    <w:rsid w:val="00010C32"/>
    <w:rsid w:val="00014524"/>
    <w:rsid w:val="00016A15"/>
    <w:rsid w:val="000300A5"/>
    <w:rsid w:val="00040995"/>
    <w:rsid w:val="000C32AC"/>
    <w:rsid w:val="001203E4"/>
    <w:rsid w:val="001415BD"/>
    <w:rsid w:val="00163116"/>
    <w:rsid w:val="0018459C"/>
    <w:rsid w:val="00215D84"/>
    <w:rsid w:val="00220B41"/>
    <w:rsid w:val="00297945"/>
    <w:rsid w:val="002A2034"/>
    <w:rsid w:val="002C3BE3"/>
    <w:rsid w:val="003854CA"/>
    <w:rsid w:val="003E1C7B"/>
    <w:rsid w:val="00426C59"/>
    <w:rsid w:val="00450178"/>
    <w:rsid w:val="004D657D"/>
    <w:rsid w:val="004F5688"/>
    <w:rsid w:val="00503D7B"/>
    <w:rsid w:val="00570334"/>
    <w:rsid w:val="005A3ECC"/>
    <w:rsid w:val="005A6718"/>
    <w:rsid w:val="005B74FB"/>
    <w:rsid w:val="005E0D0C"/>
    <w:rsid w:val="00605538"/>
    <w:rsid w:val="00606D66"/>
    <w:rsid w:val="006121D2"/>
    <w:rsid w:val="00622522"/>
    <w:rsid w:val="006C258D"/>
    <w:rsid w:val="006E105C"/>
    <w:rsid w:val="007360E0"/>
    <w:rsid w:val="007B48AE"/>
    <w:rsid w:val="007E47CB"/>
    <w:rsid w:val="007F5F92"/>
    <w:rsid w:val="00825E6F"/>
    <w:rsid w:val="00830887"/>
    <w:rsid w:val="00837B2B"/>
    <w:rsid w:val="008C7E16"/>
    <w:rsid w:val="008E227B"/>
    <w:rsid w:val="008E51EC"/>
    <w:rsid w:val="008F1923"/>
    <w:rsid w:val="0093764A"/>
    <w:rsid w:val="009C7973"/>
    <w:rsid w:val="009E6DE0"/>
    <w:rsid w:val="00A04A31"/>
    <w:rsid w:val="00A7736D"/>
    <w:rsid w:val="00B15A04"/>
    <w:rsid w:val="00C16B86"/>
    <w:rsid w:val="00C3041A"/>
    <w:rsid w:val="00C548A3"/>
    <w:rsid w:val="00C75CE4"/>
    <w:rsid w:val="00C96733"/>
    <w:rsid w:val="00CD502D"/>
    <w:rsid w:val="00D20607"/>
    <w:rsid w:val="00D81ABC"/>
    <w:rsid w:val="00D82A78"/>
    <w:rsid w:val="00D90497"/>
    <w:rsid w:val="00DA5B5C"/>
    <w:rsid w:val="00DB06E1"/>
    <w:rsid w:val="00DB5C96"/>
    <w:rsid w:val="00DD0D52"/>
    <w:rsid w:val="00EA3A26"/>
    <w:rsid w:val="00EE683F"/>
    <w:rsid w:val="00EF5E71"/>
    <w:rsid w:val="00F128C6"/>
    <w:rsid w:val="00F17BEE"/>
    <w:rsid w:val="00F50B07"/>
    <w:rsid w:val="00FA5E37"/>
    <w:rsid w:val="00FD0B3D"/>
    <w:rsid w:val="00FF5085"/>
    <w:rsid w:val="0345578D"/>
    <w:rsid w:val="203C01ED"/>
    <w:rsid w:val="2C897CA6"/>
    <w:rsid w:val="437628BA"/>
    <w:rsid w:val="6A860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BB21-9308-4888-944B-F314AE9D8099}">
  <ds:schemaRefs/>
</ds:datastoreItem>
</file>

<file path=docProps/app.xml><?xml version="1.0" encoding="utf-8"?>
<Properties xmlns="http://schemas.openxmlformats.org/officeDocument/2006/extended-properties" xmlns:vt="http://schemas.openxmlformats.org/officeDocument/2006/docPropsVTypes">
  <Template>Normal</Template>
  <Pages>6</Pages>
  <Words>2806</Words>
  <Characters>15704</Characters>
  <Lines>136</Lines>
  <Paragraphs>38</Paragraphs>
  <TotalTime>154</TotalTime>
  <ScaleCrop>false</ScaleCrop>
  <LinksUpToDate>false</LinksUpToDate>
  <CharactersWithSpaces>17576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2022-07-10T07:06:00Z</dcterms:created>
  <dc:creator>冯 浩</dc:creator>
  <cp:lastModifiedBy>Jing.”</cp:lastModifiedBy>
  <dcterms:modified xsi:type="dcterms:W3CDTF">2024-05-17T06:08:02Z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01E681B709C248C58C993E1D7F4EB19A</vt:lpwstr>
  </property>
</Properties>
</file>