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15A58E" w14:textId="77777777" w:rsidR="00D8482F" w:rsidRDefault="00000000">
      <w:pPr>
        <w:spacing w:line="480" w:lineRule="auto"/>
        <w:rPr>
          <w:rFonts w:ascii="Times New Roman" w:eastAsia="Times New Roman"/>
          <w:b/>
          <w:sz w:val="24"/>
        </w:rPr>
      </w:pPr>
      <w:r>
        <w:rPr>
          <w:rFonts w:ascii="Times New Roman" w:eastAsia="Times New Roman"/>
          <w:b/>
          <w:kern w:val="0"/>
          <w:sz w:val="24"/>
        </w:rPr>
        <w:t>Table 1. C</w:t>
      </w:r>
      <w:r>
        <w:rPr>
          <w:rFonts w:ascii="Times New Roman" w:eastAsia="Times New Roman"/>
          <w:b/>
          <w:sz w:val="24"/>
        </w:rPr>
        <w:t>haracteristics of the Included Studies</w:t>
      </w:r>
    </w:p>
    <w:tbl>
      <w:tblPr>
        <w:tblW w:w="15323" w:type="dxa"/>
        <w:jc w:val="center"/>
        <w:tblBorders>
          <w:top w:val="single" w:sz="8" w:space="0" w:color="auto"/>
          <w:bottom w:val="single" w:sz="8" w:space="0" w:color="auto"/>
          <w:insideH w:val="single" w:sz="4" w:space="0" w:color="auto"/>
        </w:tblBorders>
        <w:tblLayout w:type="fixed"/>
        <w:tblCellMar>
          <w:left w:w="0" w:type="dxa"/>
          <w:right w:w="0" w:type="dxa"/>
        </w:tblCellMar>
        <w:tblLook w:val="04A0" w:firstRow="1" w:lastRow="0" w:firstColumn="1" w:lastColumn="0" w:noHBand="0" w:noVBand="1"/>
      </w:tblPr>
      <w:tblGrid>
        <w:gridCol w:w="1237"/>
        <w:gridCol w:w="848"/>
        <w:gridCol w:w="1320"/>
        <w:gridCol w:w="1401"/>
        <w:gridCol w:w="667"/>
        <w:gridCol w:w="667"/>
        <w:gridCol w:w="1137"/>
        <w:gridCol w:w="1073"/>
        <w:gridCol w:w="1580"/>
        <w:gridCol w:w="3669"/>
        <w:gridCol w:w="1724"/>
      </w:tblGrid>
      <w:tr w:rsidR="00D8482F" w14:paraId="7520EAF4" w14:textId="77777777">
        <w:trPr>
          <w:trHeight w:val="710"/>
          <w:jc w:val="center"/>
        </w:trPr>
        <w:tc>
          <w:tcPr>
            <w:tcW w:w="1237" w:type="dxa"/>
            <w:tcBorders>
              <w:top w:val="single" w:sz="8" w:space="0" w:color="auto"/>
              <w:left w:val="nil"/>
              <w:bottom w:val="single" w:sz="4" w:space="0" w:color="auto"/>
              <w:right w:val="nil"/>
            </w:tcBorders>
            <w:hideMark/>
          </w:tcPr>
          <w:p w14:paraId="1F7D4527" w14:textId="77777777" w:rsidR="00D8482F" w:rsidRDefault="00000000">
            <w:pPr>
              <w:autoSpaceDE w:val="0"/>
              <w:autoSpaceDN w:val="0"/>
              <w:snapToGrid w:val="0"/>
              <w:rPr>
                <w:rFonts w:ascii="Times New Roman" w:eastAsia="Times New Roman"/>
                <w:b/>
                <w:bCs/>
                <w:kern w:val="0"/>
                <w:szCs w:val="20"/>
              </w:rPr>
            </w:pPr>
            <w:r>
              <w:rPr>
                <w:rFonts w:ascii="Times New Roman" w:eastAsia="Times New Roman"/>
                <w:b/>
                <w:bCs/>
                <w:szCs w:val="20"/>
              </w:rPr>
              <w:t xml:space="preserve">Author </w:t>
            </w:r>
          </w:p>
          <w:p w14:paraId="23D2B9B8" w14:textId="77777777" w:rsidR="00D8482F" w:rsidRDefault="00000000">
            <w:pPr>
              <w:autoSpaceDE w:val="0"/>
              <w:autoSpaceDN w:val="0"/>
              <w:snapToGrid w:val="0"/>
              <w:rPr>
                <w:rFonts w:ascii="Times New Roman" w:eastAsia="Times New Roman"/>
                <w:b/>
                <w:bCs/>
                <w:szCs w:val="20"/>
              </w:rPr>
            </w:pPr>
            <w:r>
              <w:rPr>
                <w:rFonts w:ascii="Times New Roman" w:eastAsia="Times New Roman"/>
                <w:b/>
                <w:bCs/>
                <w:szCs w:val="20"/>
              </w:rPr>
              <w:t>year</w:t>
            </w:r>
          </w:p>
        </w:tc>
        <w:tc>
          <w:tcPr>
            <w:tcW w:w="848" w:type="dxa"/>
            <w:tcBorders>
              <w:top w:val="single" w:sz="8" w:space="0" w:color="auto"/>
              <w:left w:val="nil"/>
              <w:bottom w:val="single" w:sz="4" w:space="0" w:color="auto"/>
              <w:right w:val="nil"/>
            </w:tcBorders>
            <w:hideMark/>
          </w:tcPr>
          <w:p w14:paraId="662B856F" w14:textId="77777777" w:rsidR="00D8482F" w:rsidRDefault="00000000">
            <w:pPr>
              <w:autoSpaceDE w:val="0"/>
              <w:autoSpaceDN w:val="0"/>
              <w:snapToGrid w:val="0"/>
              <w:rPr>
                <w:rFonts w:ascii="Times New Roman" w:eastAsia="Times New Roman"/>
                <w:b/>
                <w:bCs/>
                <w:szCs w:val="20"/>
              </w:rPr>
            </w:pPr>
            <w:r>
              <w:rPr>
                <w:rFonts w:ascii="Times New Roman" w:eastAsia="Times New Roman"/>
                <w:b/>
                <w:bCs/>
                <w:szCs w:val="20"/>
              </w:rPr>
              <w:t>Country</w:t>
            </w:r>
          </w:p>
        </w:tc>
        <w:tc>
          <w:tcPr>
            <w:tcW w:w="1320" w:type="dxa"/>
            <w:tcBorders>
              <w:top w:val="single" w:sz="8" w:space="0" w:color="auto"/>
              <w:left w:val="nil"/>
              <w:bottom w:val="single" w:sz="4" w:space="0" w:color="auto"/>
              <w:right w:val="nil"/>
            </w:tcBorders>
            <w:hideMark/>
          </w:tcPr>
          <w:p w14:paraId="2EAAD901" w14:textId="77777777" w:rsidR="00D8482F" w:rsidRDefault="00000000">
            <w:pPr>
              <w:autoSpaceDE w:val="0"/>
              <w:autoSpaceDN w:val="0"/>
              <w:snapToGrid w:val="0"/>
              <w:rPr>
                <w:rFonts w:ascii="Times New Roman" w:eastAsia="Times New Roman"/>
                <w:b/>
                <w:bCs/>
                <w:szCs w:val="20"/>
              </w:rPr>
            </w:pPr>
            <w:r>
              <w:rPr>
                <w:rFonts w:ascii="Times New Roman" w:eastAsia="Times New Roman"/>
                <w:b/>
                <w:bCs/>
                <w:szCs w:val="20"/>
              </w:rPr>
              <w:t xml:space="preserve">Cancer </w:t>
            </w:r>
          </w:p>
          <w:p w14:paraId="6B53C17E" w14:textId="77777777" w:rsidR="00D8482F" w:rsidRDefault="00000000">
            <w:pPr>
              <w:autoSpaceDE w:val="0"/>
              <w:autoSpaceDN w:val="0"/>
              <w:snapToGrid w:val="0"/>
              <w:rPr>
                <w:rFonts w:ascii="Times New Roman" w:eastAsia="Times New Roman"/>
                <w:b/>
                <w:bCs/>
                <w:szCs w:val="20"/>
              </w:rPr>
            </w:pPr>
            <w:r>
              <w:rPr>
                <w:rFonts w:ascii="Times New Roman" w:eastAsia="Times New Roman"/>
                <w:b/>
                <w:bCs/>
                <w:szCs w:val="20"/>
              </w:rPr>
              <w:t>type</w:t>
            </w:r>
          </w:p>
        </w:tc>
        <w:tc>
          <w:tcPr>
            <w:tcW w:w="1401" w:type="dxa"/>
            <w:tcBorders>
              <w:top w:val="single" w:sz="8" w:space="0" w:color="auto"/>
              <w:left w:val="nil"/>
              <w:bottom w:val="single" w:sz="4" w:space="0" w:color="auto"/>
              <w:right w:val="nil"/>
            </w:tcBorders>
            <w:hideMark/>
          </w:tcPr>
          <w:p w14:paraId="0732FF94" w14:textId="77777777" w:rsidR="00D8482F" w:rsidRDefault="00000000">
            <w:pPr>
              <w:autoSpaceDE w:val="0"/>
              <w:autoSpaceDN w:val="0"/>
              <w:snapToGrid w:val="0"/>
              <w:rPr>
                <w:rFonts w:ascii="Times New Roman" w:eastAsia="Times New Roman"/>
                <w:b/>
                <w:bCs/>
                <w:szCs w:val="20"/>
              </w:rPr>
            </w:pPr>
            <w:r>
              <w:rPr>
                <w:rFonts w:ascii="Times New Roman" w:eastAsia="Times New Roman"/>
                <w:b/>
                <w:bCs/>
                <w:szCs w:val="20"/>
              </w:rPr>
              <w:t>Cause of NV</w:t>
            </w:r>
          </w:p>
        </w:tc>
        <w:tc>
          <w:tcPr>
            <w:tcW w:w="667" w:type="dxa"/>
            <w:tcBorders>
              <w:top w:val="single" w:sz="8" w:space="0" w:color="auto"/>
              <w:left w:val="nil"/>
              <w:bottom w:val="single" w:sz="4" w:space="0" w:color="auto"/>
              <w:right w:val="nil"/>
            </w:tcBorders>
            <w:hideMark/>
          </w:tcPr>
          <w:p w14:paraId="4A838D88" w14:textId="77777777" w:rsidR="00D8482F" w:rsidRDefault="00000000">
            <w:pPr>
              <w:autoSpaceDE w:val="0"/>
              <w:autoSpaceDN w:val="0"/>
              <w:snapToGrid w:val="0"/>
              <w:rPr>
                <w:rFonts w:ascii="Times New Roman" w:eastAsia="Times New Roman"/>
                <w:b/>
                <w:bCs/>
                <w:szCs w:val="20"/>
              </w:rPr>
            </w:pPr>
            <w:r>
              <w:rPr>
                <w:rFonts w:ascii="Times New Roman" w:eastAsia="Times New Roman"/>
                <w:b/>
                <w:bCs/>
                <w:szCs w:val="20"/>
              </w:rPr>
              <w:t xml:space="preserve">Sample size </w:t>
            </w:r>
          </w:p>
        </w:tc>
        <w:tc>
          <w:tcPr>
            <w:tcW w:w="667" w:type="dxa"/>
            <w:tcBorders>
              <w:top w:val="single" w:sz="8" w:space="0" w:color="auto"/>
              <w:left w:val="nil"/>
              <w:bottom w:val="single" w:sz="4" w:space="0" w:color="auto"/>
              <w:right w:val="nil"/>
            </w:tcBorders>
            <w:hideMark/>
          </w:tcPr>
          <w:p w14:paraId="33D98029" w14:textId="77777777" w:rsidR="00D8482F" w:rsidRDefault="00000000">
            <w:pPr>
              <w:autoSpaceDE w:val="0"/>
              <w:autoSpaceDN w:val="0"/>
              <w:snapToGrid w:val="0"/>
              <w:rPr>
                <w:rFonts w:ascii="Times New Roman" w:eastAsia="Times New Roman"/>
                <w:b/>
                <w:bCs/>
                <w:szCs w:val="20"/>
              </w:rPr>
            </w:pPr>
            <w:r>
              <w:rPr>
                <w:rFonts w:ascii="Times New Roman" w:eastAsia="Times New Roman"/>
                <w:b/>
                <w:bCs/>
                <w:szCs w:val="20"/>
              </w:rPr>
              <w:t>Mean Age (years)</w:t>
            </w:r>
          </w:p>
        </w:tc>
        <w:tc>
          <w:tcPr>
            <w:tcW w:w="1137" w:type="dxa"/>
            <w:tcBorders>
              <w:top w:val="single" w:sz="8" w:space="0" w:color="auto"/>
              <w:left w:val="nil"/>
              <w:bottom w:val="single" w:sz="4" w:space="0" w:color="auto"/>
              <w:right w:val="nil"/>
            </w:tcBorders>
            <w:hideMark/>
          </w:tcPr>
          <w:p w14:paraId="3A1671FF" w14:textId="77777777" w:rsidR="00D8482F" w:rsidRDefault="00000000">
            <w:pPr>
              <w:autoSpaceDE w:val="0"/>
              <w:autoSpaceDN w:val="0"/>
              <w:snapToGrid w:val="0"/>
              <w:rPr>
                <w:rFonts w:ascii="Times New Roman" w:eastAsia="Times New Roman"/>
                <w:b/>
                <w:bCs/>
                <w:szCs w:val="20"/>
              </w:rPr>
            </w:pPr>
            <w:r>
              <w:rPr>
                <w:rFonts w:ascii="Times New Roman" w:eastAsia="Times New Roman"/>
                <w:b/>
                <w:bCs/>
                <w:szCs w:val="20"/>
              </w:rPr>
              <w:t>Intervention</w:t>
            </w:r>
          </w:p>
        </w:tc>
        <w:tc>
          <w:tcPr>
            <w:tcW w:w="1073" w:type="dxa"/>
            <w:tcBorders>
              <w:top w:val="single" w:sz="8" w:space="0" w:color="auto"/>
              <w:left w:val="nil"/>
              <w:bottom w:val="single" w:sz="4" w:space="0" w:color="auto"/>
              <w:right w:val="nil"/>
            </w:tcBorders>
            <w:hideMark/>
          </w:tcPr>
          <w:p w14:paraId="0A2019F5" w14:textId="77777777" w:rsidR="00D8482F" w:rsidRDefault="00000000">
            <w:pPr>
              <w:autoSpaceDE w:val="0"/>
              <w:autoSpaceDN w:val="0"/>
              <w:snapToGrid w:val="0"/>
              <w:rPr>
                <w:rFonts w:ascii="Times New Roman" w:eastAsia="Times New Roman"/>
                <w:b/>
                <w:bCs/>
                <w:szCs w:val="20"/>
              </w:rPr>
            </w:pPr>
            <w:r>
              <w:rPr>
                <w:rFonts w:ascii="Times New Roman" w:eastAsia="Times New Roman"/>
                <w:b/>
                <w:bCs/>
                <w:szCs w:val="20"/>
              </w:rPr>
              <w:t>Control</w:t>
            </w:r>
          </w:p>
        </w:tc>
        <w:tc>
          <w:tcPr>
            <w:tcW w:w="1580" w:type="dxa"/>
            <w:tcBorders>
              <w:top w:val="single" w:sz="8" w:space="0" w:color="auto"/>
              <w:left w:val="nil"/>
              <w:bottom w:val="single" w:sz="4" w:space="0" w:color="auto"/>
              <w:right w:val="nil"/>
            </w:tcBorders>
            <w:hideMark/>
          </w:tcPr>
          <w:p w14:paraId="0C908913" w14:textId="77777777" w:rsidR="00D8482F" w:rsidRDefault="00000000">
            <w:pPr>
              <w:autoSpaceDE w:val="0"/>
              <w:autoSpaceDN w:val="0"/>
              <w:snapToGrid w:val="0"/>
              <w:rPr>
                <w:rFonts w:ascii="Times New Roman" w:eastAsia="Times New Roman"/>
                <w:b/>
                <w:bCs/>
                <w:szCs w:val="20"/>
              </w:rPr>
            </w:pPr>
            <w:r>
              <w:rPr>
                <w:rFonts w:ascii="Times New Roman" w:eastAsia="Times New Roman"/>
                <w:b/>
                <w:bCs/>
                <w:szCs w:val="20"/>
              </w:rPr>
              <w:t>Outcome measures</w:t>
            </w:r>
          </w:p>
        </w:tc>
        <w:tc>
          <w:tcPr>
            <w:tcW w:w="3669" w:type="dxa"/>
            <w:tcBorders>
              <w:top w:val="single" w:sz="8" w:space="0" w:color="auto"/>
              <w:left w:val="nil"/>
              <w:bottom w:val="single" w:sz="4" w:space="0" w:color="auto"/>
              <w:right w:val="nil"/>
            </w:tcBorders>
            <w:hideMark/>
          </w:tcPr>
          <w:p w14:paraId="1FE752CE" w14:textId="77777777" w:rsidR="00D8482F" w:rsidRDefault="00000000">
            <w:pPr>
              <w:autoSpaceDE w:val="0"/>
              <w:autoSpaceDN w:val="0"/>
              <w:snapToGrid w:val="0"/>
              <w:rPr>
                <w:rFonts w:ascii="Times New Roman" w:eastAsia="Times New Roman"/>
                <w:b/>
                <w:bCs/>
                <w:szCs w:val="20"/>
              </w:rPr>
            </w:pPr>
            <w:r>
              <w:rPr>
                <w:rFonts w:ascii="Times New Roman" w:eastAsia="Times New Roman"/>
                <w:b/>
                <w:bCs/>
                <w:szCs w:val="20"/>
              </w:rPr>
              <w:t>Main findings</w:t>
            </w:r>
          </w:p>
        </w:tc>
        <w:tc>
          <w:tcPr>
            <w:tcW w:w="1724" w:type="dxa"/>
            <w:tcBorders>
              <w:top w:val="single" w:sz="8" w:space="0" w:color="auto"/>
              <w:left w:val="nil"/>
              <w:bottom w:val="single" w:sz="4" w:space="0" w:color="auto"/>
              <w:right w:val="nil"/>
            </w:tcBorders>
            <w:hideMark/>
          </w:tcPr>
          <w:p w14:paraId="08606575" w14:textId="77777777" w:rsidR="00D8482F" w:rsidRDefault="00000000">
            <w:pPr>
              <w:autoSpaceDE w:val="0"/>
              <w:autoSpaceDN w:val="0"/>
              <w:snapToGrid w:val="0"/>
              <w:rPr>
                <w:rFonts w:ascii="Times New Roman" w:eastAsia="Times New Roman"/>
                <w:b/>
                <w:bCs/>
                <w:szCs w:val="20"/>
              </w:rPr>
            </w:pPr>
            <w:r>
              <w:rPr>
                <w:rFonts w:ascii="Times New Roman" w:eastAsia="Times New Roman"/>
                <w:b/>
                <w:bCs/>
                <w:szCs w:val="20"/>
              </w:rPr>
              <w:t>Adverse events</w:t>
            </w:r>
          </w:p>
        </w:tc>
      </w:tr>
      <w:tr w:rsidR="00D8482F" w14:paraId="7BA3D078" w14:textId="77777777">
        <w:trPr>
          <w:trHeight w:val="930"/>
          <w:jc w:val="center"/>
        </w:trPr>
        <w:tc>
          <w:tcPr>
            <w:tcW w:w="1237" w:type="dxa"/>
            <w:tcBorders>
              <w:top w:val="single" w:sz="4" w:space="0" w:color="auto"/>
              <w:left w:val="nil"/>
              <w:bottom w:val="single" w:sz="4" w:space="0" w:color="auto"/>
              <w:right w:val="nil"/>
            </w:tcBorders>
            <w:hideMark/>
          </w:tcPr>
          <w:p w14:paraId="0AE28E5A"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Shen </w:t>
            </w:r>
          </w:p>
          <w:p w14:paraId="307BC1FA"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2000</w:t>
            </w:r>
          </w:p>
          <w:p w14:paraId="16CD5EE7"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fldChar w:fldCharType="begin"/>
            </w:r>
            <w:r>
              <w:rPr>
                <w:rFonts w:ascii="Times New Roman" w:eastAsia="Times New Roman"/>
                <w:szCs w:val="20"/>
              </w:rPr>
              <w:instrText xml:space="preserve"> ADDIN EN.CITE &lt;EndNote&gt;&lt;Cite&gt;&lt;Author&gt;Shen&lt;/Author&gt;&lt;Year&gt;2000&lt;/Year&gt;&lt;RecNum&gt;21&lt;/RecNum&gt;&lt;DisplayText&gt;(19)&lt;/DisplayText&gt;&lt;record&gt;&lt;rec-number&gt;21&lt;/rec-number&gt;&lt;foreign-keys&gt;&lt;key app="EN" db-id="rtpzt5stqfptepe5zwevd9sna9rx2axae2xr" timestamp="1717327802"&gt;21&lt;/key&gt;&lt;/foreign-keys&gt;&lt;ref-type name="Journal Article"&gt;17&lt;/ref-type&gt;&lt;contributors&gt;&lt;authors&gt;&lt;author&gt;Shen, J.Wenger, N.Glaspy, J.Hays, R. D.Albert, P. S.Choi, C.Shekelle, P. G.&lt;/author&gt;&lt;/authors&gt;&lt;/contributors&gt;&lt;auth-address&gt;J. Shen, National Institutes of Health, Laboratory of Clinical Studies/NIAAA, Mail Stop 1610, 10 Center Dr, Bethesda, MD 20892-1610, United States&lt;/auth-address&gt;&lt;titles&gt;&lt;title&gt;Electroacupuncture for control of myeloablative chemotherapy-induced emesis: A randomized controlled trial&lt;/title&gt;&lt;secondary-title&gt;JAMA&lt;/secondary-title&gt;&lt;/titles&gt;&lt;periodical&gt;&lt;full-title&gt;JAMA&lt;/full-title&gt;&lt;/periodical&gt;&lt;pages&gt;2755-2761&lt;/pages&gt;&lt;volume&gt;284&lt;/volume&gt;&lt;number&gt;21&lt;/number&gt;&lt;keywords&gt;&lt;keyword&gt;carmustinecisplatincyclophosphamidediphenhydraminedroperidollorazepammetoclopramideprochlorperazineadultarticlebreast cancerclinical trialcontrolled clinical trialcontrolled studyelectroacupunctureelectrotherapyfemalefollow uphumanmajor clinical studypr&lt;/keyword&gt;&lt;/keywords&gt;&lt;dates&gt;&lt;year&gt;2000&lt;/year&gt;&lt;/dates&gt;&lt;isbn&gt;0098-7484&lt;/isbn&gt;&lt;work-type&gt;Article&lt;/work-type&gt;&lt;urls&gt;&lt;related-urls&gt;&lt;url&gt;https://www.embase.com/search/results?subaction=viewrecord&amp;amp;id=L30980743&amp;amp;from=exporthttp://dx.doi.org/10.1001/jama.284.21.2755&lt;/url&gt;&lt;/related-urls&gt;&lt;/urls&gt;&lt;custom5&gt;11105182&lt;/custom5&gt;&lt;electronic-resource-num&gt;10.1001/jama.284.21.2755&lt;/electronic-resource-num&gt;&lt;remote-database-name&gt;EmbaseMedline&lt;/remote-database-name&gt;&lt;language&gt;English&lt;/language&gt;&lt;/record&gt;&lt;/Cite&gt;&lt;/EndNote&gt;</w:instrText>
            </w:r>
            <w:r>
              <w:rPr>
                <w:rFonts w:ascii="Times New Roman" w:eastAsia="Times New Roman"/>
                <w:szCs w:val="20"/>
              </w:rPr>
              <w:fldChar w:fldCharType="separate"/>
            </w:r>
            <w:r>
              <w:rPr>
                <w:rFonts w:ascii="Times New Roman" w:eastAsia="Times New Roman"/>
                <w:noProof/>
                <w:szCs w:val="20"/>
              </w:rPr>
              <w:t>(</w:t>
            </w:r>
            <w:hyperlink w:anchor="_ENREF_19" w:tooltip="Shen, 2000 #21" w:history="1">
              <w:r>
                <w:rPr>
                  <w:rFonts w:ascii="Times New Roman" w:eastAsia="Times New Roman"/>
                  <w:noProof/>
                  <w:szCs w:val="20"/>
                </w:rPr>
                <w:t>19</w:t>
              </w:r>
            </w:hyperlink>
            <w:r>
              <w:rPr>
                <w:rFonts w:ascii="Times New Roman" w:eastAsia="Times New Roman"/>
                <w:noProof/>
                <w:szCs w:val="20"/>
              </w:rPr>
              <w:t>)</w:t>
            </w:r>
            <w:r>
              <w:rPr>
                <w:rFonts w:ascii="Times New Roman" w:eastAsia="Times New Roman"/>
                <w:szCs w:val="20"/>
              </w:rPr>
              <w:fldChar w:fldCharType="end"/>
            </w:r>
          </w:p>
        </w:tc>
        <w:tc>
          <w:tcPr>
            <w:tcW w:w="848" w:type="dxa"/>
            <w:tcBorders>
              <w:top w:val="single" w:sz="4" w:space="0" w:color="auto"/>
              <w:left w:val="nil"/>
              <w:bottom w:val="single" w:sz="4" w:space="0" w:color="auto"/>
              <w:right w:val="nil"/>
            </w:tcBorders>
            <w:hideMark/>
          </w:tcPr>
          <w:p w14:paraId="5FBE778B"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USA</w:t>
            </w:r>
          </w:p>
        </w:tc>
        <w:tc>
          <w:tcPr>
            <w:tcW w:w="1320" w:type="dxa"/>
            <w:tcBorders>
              <w:top w:val="single" w:sz="4" w:space="0" w:color="auto"/>
              <w:left w:val="nil"/>
              <w:bottom w:val="single" w:sz="4" w:space="0" w:color="auto"/>
              <w:right w:val="nil"/>
            </w:tcBorders>
            <w:hideMark/>
          </w:tcPr>
          <w:p w14:paraId="28FCEF1B"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Breast cancer</w:t>
            </w:r>
          </w:p>
        </w:tc>
        <w:tc>
          <w:tcPr>
            <w:tcW w:w="1401" w:type="dxa"/>
            <w:tcBorders>
              <w:top w:val="single" w:sz="4" w:space="0" w:color="auto"/>
              <w:left w:val="nil"/>
              <w:bottom w:val="single" w:sz="4" w:space="0" w:color="auto"/>
              <w:right w:val="nil"/>
            </w:tcBorders>
            <w:hideMark/>
          </w:tcPr>
          <w:p w14:paraId="0A6DAFF6"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Chemotherapy (Cyclophosphamide, cisplatin, carmustine)</w:t>
            </w:r>
          </w:p>
        </w:tc>
        <w:tc>
          <w:tcPr>
            <w:tcW w:w="667" w:type="dxa"/>
            <w:tcBorders>
              <w:top w:val="single" w:sz="4" w:space="0" w:color="auto"/>
              <w:left w:val="nil"/>
              <w:bottom w:val="single" w:sz="4" w:space="0" w:color="auto"/>
              <w:right w:val="nil"/>
            </w:tcBorders>
            <w:hideMark/>
          </w:tcPr>
          <w:p w14:paraId="2D0418FB"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104</w:t>
            </w:r>
          </w:p>
        </w:tc>
        <w:tc>
          <w:tcPr>
            <w:tcW w:w="667" w:type="dxa"/>
            <w:tcBorders>
              <w:top w:val="single" w:sz="4" w:space="0" w:color="auto"/>
              <w:left w:val="nil"/>
              <w:bottom w:val="single" w:sz="4" w:space="0" w:color="auto"/>
              <w:right w:val="nil"/>
            </w:tcBorders>
            <w:hideMark/>
          </w:tcPr>
          <w:p w14:paraId="113F19E5"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46</w:t>
            </w:r>
          </w:p>
        </w:tc>
        <w:tc>
          <w:tcPr>
            <w:tcW w:w="1137" w:type="dxa"/>
            <w:tcBorders>
              <w:top w:val="single" w:sz="4" w:space="0" w:color="auto"/>
              <w:left w:val="nil"/>
              <w:bottom w:val="single" w:sz="4" w:space="0" w:color="auto"/>
              <w:right w:val="nil"/>
            </w:tcBorders>
            <w:hideMark/>
          </w:tcPr>
          <w:p w14:paraId="3CD12F52"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EA+PT</w:t>
            </w:r>
          </w:p>
        </w:tc>
        <w:tc>
          <w:tcPr>
            <w:tcW w:w="1073" w:type="dxa"/>
            <w:tcBorders>
              <w:top w:val="single" w:sz="4" w:space="0" w:color="auto"/>
              <w:left w:val="nil"/>
              <w:bottom w:val="single" w:sz="4" w:space="0" w:color="auto"/>
              <w:right w:val="nil"/>
            </w:tcBorders>
            <w:hideMark/>
          </w:tcPr>
          <w:p w14:paraId="4011416B"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(1) SEA+PT </w:t>
            </w:r>
          </w:p>
          <w:p w14:paraId="71077D89"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(2) PT</w:t>
            </w:r>
          </w:p>
        </w:tc>
        <w:tc>
          <w:tcPr>
            <w:tcW w:w="1580" w:type="dxa"/>
            <w:tcBorders>
              <w:top w:val="single" w:sz="4" w:space="0" w:color="auto"/>
              <w:left w:val="nil"/>
              <w:bottom w:val="single" w:sz="4" w:space="0" w:color="auto"/>
              <w:right w:val="nil"/>
            </w:tcBorders>
            <w:hideMark/>
          </w:tcPr>
          <w:p w14:paraId="4767DE8A"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Episodes of vomiting</w:t>
            </w:r>
          </w:p>
        </w:tc>
        <w:tc>
          <w:tcPr>
            <w:tcW w:w="3669" w:type="dxa"/>
            <w:tcBorders>
              <w:top w:val="single" w:sz="4" w:space="0" w:color="auto"/>
              <w:left w:val="nil"/>
              <w:bottom w:val="single" w:sz="4" w:space="0" w:color="auto"/>
              <w:right w:val="nil"/>
            </w:tcBorders>
            <w:hideMark/>
          </w:tcPr>
          <w:p w14:paraId="76D13204"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Adjunct EA was more effective in controlling emesis than minimal needling or antiemetic pharmacotherapy alone, although the observed effect had a limited duration.</w:t>
            </w:r>
          </w:p>
        </w:tc>
        <w:tc>
          <w:tcPr>
            <w:tcW w:w="1724" w:type="dxa"/>
            <w:tcBorders>
              <w:top w:val="single" w:sz="4" w:space="0" w:color="auto"/>
              <w:left w:val="nil"/>
              <w:bottom w:val="single" w:sz="4" w:space="0" w:color="auto"/>
              <w:right w:val="nil"/>
            </w:tcBorders>
            <w:hideMark/>
          </w:tcPr>
          <w:p w14:paraId="5278B425"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Minor adverse events (electrical shock sensation, tingling sensation aggravation)</w:t>
            </w:r>
          </w:p>
        </w:tc>
      </w:tr>
      <w:tr w:rsidR="00D8482F" w14:paraId="048C1F18" w14:textId="77777777">
        <w:trPr>
          <w:trHeight w:val="930"/>
          <w:jc w:val="center"/>
        </w:trPr>
        <w:tc>
          <w:tcPr>
            <w:tcW w:w="1237" w:type="dxa"/>
            <w:tcBorders>
              <w:top w:val="single" w:sz="4" w:space="0" w:color="auto"/>
              <w:left w:val="nil"/>
              <w:bottom w:val="single" w:sz="4" w:space="0" w:color="auto"/>
              <w:right w:val="nil"/>
            </w:tcBorders>
            <w:hideMark/>
          </w:tcPr>
          <w:p w14:paraId="56819469"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Streitberger </w:t>
            </w:r>
          </w:p>
          <w:p w14:paraId="4427740F"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2003</w:t>
            </w:r>
          </w:p>
          <w:p w14:paraId="389C3D37"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fldChar w:fldCharType="begin"/>
            </w:r>
            <w:r>
              <w:rPr>
                <w:rFonts w:ascii="Times New Roman" w:eastAsia="Times New Roman"/>
                <w:szCs w:val="20"/>
              </w:rPr>
              <w:instrText xml:space="preserve"> ADDIN EN.CITE &lt;EndNote&gt;&lt;Cite&gt;&lt;Author&gt;Streitberger&lt;/Author&gt;&lt;Year&gt;2003&lt;/Year&gt;&lt;RecNum&gt;22&lt;/RecNum&gt;&lt;DisplayText&gt;(20)&lt;/DisplayText&gt;&lt;record&gt;&lt;rec-number&gt;22&lt;/rec-number&gt;&lt;foreign-keys&gt;&lt;key app="EN" db-id="rtpzt5stqfptepe5zwevd9sna9rx2axae2xr" timestamp="1717327802"&gt;22&lt;/key&gt;&lt;/foreign-keys&gt;&lt;ref-type name="Journal Article"&gt;17&lt;/ref-type&gt;&lt;contributors&gt;&lt;authors&gt;&lt;author&gt;Streitberger, K.Friedrich-Rust, M.Bardenheuer, H.Unnebrink, K.Windeler, J.Goldschmidt, H.Egerer, G.&lt;/author&gt;&lt;/authors&gt;&lt;/contributors&gt;&lt;auth-address&gt;K. Streitberger, Department of Anaesthesiology, University of Heidelberg, Im Neuenheimer Feld 110, 69120 Heidelberg, Germany&lt;/auth-address&gt;&lt;titles&gt;&lt;title&gt;Effect of acupuncture compared with placebo-acupuncture at P6 as additional antiemetic prophylaxis in high-dose chemotherapy and autologous peripheral blood stem cell transplantation: A randomized controlled single-blind trial&lt;/title&gt;&lt;secondary-title&gt;Clinical Cancer Research&lt;/secondary-title&gt;&lt;/titles&gt;&lt;periodical&gt;&lt;full-title&gt;Clinical Cancer Research&lt;/full-title&gt;&lt;/periodical&gt;&lt;pages&gt;2538-2544&lt;/pages&gt;&lt;volume&gt;9&lt;/volume&gt;&lt;number&gt;7&lt;/number&gt;&lt;keywords&gt;&lt;keyword&gt;carboplatincytarabineetoposideifosfamideinterleukin 1beta converting enzymemelphalanondansetronacupunctureadultagedamyloidosisarticlebreast cancerchemotherapy induced emesisclinical trialconfidence intervalcontrolled clinical trialcontrolled studydrug m&lt;/keyword&gt;&lt;/keywords&gt;&lt;dates&gt;&lt;year&gt;2003&lt;/year&gt;&lt;/dates&gt;&lt;isbn&gt;1078-0432&lt;/isbn&gt;&lt;work-type&gt;Article&lt;/work-type&gt;&lt;urls&gt;&lt;related-urls&gt;&lt;url&gt;https://www.embase.com/search/results?subaction=viewrecord&amp;amp;id=L36842094&amp;amp;from=export&lt;/url&gt;&lt;/related-urls&gt;&lt;/urls&gt;&lt;custom5&gt;12855628&lt;/custom5&gt;&lt;remote-database-name&gt;EmbaseMedline&lt;/remote-database-name&gt;&lt;language&gt;English&lt;/language&gt;&lt;/record&gt;&lt;/Cite&gt;&lt;/EndNote&gt;</w:instrText>
            </w:r>
            <w:r>
              <w:rPr>
                <w:rFonts w:ascii="Times New Roman" w:eastAsia="Times New Roman"/>
                <w:szCs w:val="20"/>
              </w:rPr>
              <w:fldChar w:fldCharType="separate"/>
            </w:r>
            <w:r>
              <w:rPr>
                <w:rFonts w:ascii="Times New Roman" w:eastAsia="Times New Roman"/>
                <w:noProof/>
                <w:szCs w:val="20"/>
              </w:rPr>
              <w:t>(</w:t>
            </w:r>
            <w:hyperlink w:anchor="_ENREF_20" w:tooltip="Streitberger, 2003 #22" w:history="1">
              <w:r>
                <w:rPr>
                  <w:rFonts w:ascii="Times New Roman" w:eastAsia="Times New Roman"/>
                  <w:noProof/>
                  <w:szCs w:val="20"/>
                </w:rPr>
                <w:t>20</w:t>
              </w:r>
            </w:hyperlink>
            <w:r>
              <w:rPr>
                <w:rFonts w:ascii="Times New Roman" w:eastAsia="Times New Roman"/>
                <w:noProof/>
                <w:szCs w:val="20"/>
              </w:rPr>
              <w:t>)</w:t>
            </w:r>
            <w:r>
              <w:rPr>
                <w:rFonts w:ascii="Times New Roman" w:eastAsia="Times New Roman"/>
                <w:szCs w:val="20"/>
              </w:rPr>
              <w:fldChar w:fldCharType="end"/>
            </w:r>
          </w:p>
        </w:tc>
        <w:tc>
          <w:tcPr>
            <w:tcW w:w="848" w:type="dxa"/>
            <w:tcBorders>
              <w:top w:val="single" w:sz="4" w:space="0" w:color="auto"/>
              <w:left w:val="nil"/>
              <w:bottom w:val="single" w:sz="4" w:space="0" w:color="auto"/>
              <w:right w:val="nil"/>
            </w:tcBorders>
            <w:hideMark/>
          </w:tcPr>
          <w:p w14:paraId="5CE531AF"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Germany</w:t>
            </w:r>
          </w:p>
        </w:tc>
        <w:tc>
          <w:tcPr>
            <w:tcW w:w="1320" w:type="dxa"/>
            <w:tcBorders>
              <w:top w:val="single" w:sz="4" w:space="0" w:color="auto"/>
              <w:left w:val="nil"/>
              <w:bottom w:val="single" w:sz="4" w:space="0" w:color="auto"/>
              <w:right w:val="nil"/>
            </w:tcBorders>
            <w:hideMark/>
          </w:tcPr>
          <w:p w14:paraId="5FAFE415"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Multiple myeloma, breast cancer, hodgkin lymphoma, etc.</w:t>
            </w:r>
          </w:p>
        </w:tc>
        <w:tc>
          <w:tcPr>
            <w:tcW w:w="1401" w:type="dxa"/>
            <w:tcBorders>
              <w:top w:val="single" w:sz="4" w:space="0" w:color="auto"/>
              <w:left w:val="nil"/>
              <w:bottom w:val="single" w:sz="4" w:space="0" w:color="auto"/>
              <w:right w:val="nil"/>
            </w:tcBorders>
            <w:hideMark/>
          </w:tcPr>
          <w:p w14:paraId="79CDEDD7"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Chemotherapy (mainly melphalan), BSCT</w:t>
            </w:r>
          </w:p>
        </w:tc>
        <w:tc>
          <w:tcPr>
            <w:tcW w:w="667" w:type="dxa"/>
            <w:tcBorders>
              <w:top w:val="single" w:sz="4" w:space="0" w:color="auto"/>
              <w:left w:val="nil"/>
              <w:bottom w:val="single" w:sz="4" w:space="0" w:color="auto"/>
              <w:right w:val="nil"/>
            </w:tcBorders>
            <w:hideMark/>
          </w:tcPr>
          <w:p w14:paraId="6C2A46BE"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80</w:t>
            </w:r>
          </w:p>
        </w:tc>
        <w:tc>
          <w:tcPr>
            <w:tcW w:w="667" w:type="dxa"/>
            <w:tcBorders>
              <w:top w:val="single" w:sz="4" w:space="0" w:color="auto"/>
              <w:left w:val="nil"/>
              <w:bottom w:val="single" w:sz="4" w:space="0" w:color="auto"/>
              <w:right w:val="nil"/>
            </w:tcBorders>
            <w:hideMark/>
          </w:tcPr>
          <w:p w14:paraId="2CE8C7C2"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54</w:t>
            </w:r>
          </w:p>
        </w:tc>
        <w:tc>
          <w:tcPr>
            <w:tcW w:w="1137" w:type="dxa"/>
            <w:tcBorders>
              <w:top w:val="single" w:sz="4" w:space="0" w:color="auto"/>
              <w:left w:val="nil"/>
              <w:bottom w:val="single" w:sz="4" w:space="0" w:color="auto"/>
              <w:right w:val="nil"/>
            </w:tcBorders>
            <w:hideMark/>
          </w:tcPr>
          <w:p w14:paraId="79442421"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AT+PT</w:t>
            </w:r>
          </w:p>
        </w:tc>
        <w:tc>
          <w:tcPr>
            <w:tcW w:w="1073" w:type="dxa"/>
            <w:tcBorders>
              <w:top w:val="single" w:sz="4" w:space="0" w:color="auto"/>
              <w:left w:val="nil"/>
              <w:bottom w:val="single" w:sz="4" w:space="0" w:color="auto"/>
              <w:right w:val="nil"/>
            </w:tcBorders>
            <w:hideMark/>
          </w:tcPr>
          <w:p w14:paraId="462B1134"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SA+PT</w:t>
            </w:r>
          </w:p>
        </w:tc>
        <w:tc>
          <w:tcPr>
            <w:tcW w:w="1580" w:type="dxa"/>
            <w:tcBorders>
              <w:top w:val="single" w:sz="4" w:space="0" w:color="auto"/>
              <w:left w:val="nil"/>
              <w:bottom w:val="single" w:sz="4" w:space="0" w:color="auto"/>
              <w:right w:val="nil"/>
            </w:tcBorders>
            <w:hideMark/>
          </w:tcPr>
          <w:p w14:paraId="7D3FE49C"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Number of patients with NV, vomiting, episodes of NV</w:t>
            </w:r>
          </w:p>
        </w:tc>
        <w:tc>
          <w:tcPr>
            <w:tcW w:w="3669" w:type="dxa"/>
            <w:tcBorders>
              <w:top w:val="single" w:sz="4" w:space="0" w:color="auto"/>
              <w:left w:val="nil"/>
              <w:bottom w:val="single" w:sz="4" w:space="0" w:color="auto"/>
              <w:right w:val="nil"/>
            </w:tcBorders>
            <w:hideMark/>
          </w:tcPr>
          <w:p w14:paraId="17322405"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AT has no additional effect for the prevention of acute NV in high-dose chemotherapy.</w:t>
            </w:r>
          </w:p>
        </w:tc>
        <w:tc>
          <w:tcPr>
            <w:tcW w:w="1724" w:type="dxa"/>
            <w:tcBorders>
              <w:top w:val="single" w:sz="4" w:space="0" w:color="auto"/>
              <w:left w:val="nil"/>
              <w:bottom w:val="single" w:sz="4" w:space="0" w:color="auto"/>
              <w:right w:val="nil"/>
            </w:tcBorders>
            <w:hideMark/>
          </w:tcPr>
          <w:p w14:paraId="799C844B"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None observed</w:t>
            </w:r>
          </w:p>
        </w:tc>
      </w:tr>
      <w:tr w:rsidR="00D8482F" w14:paraId="48D7268B" w14:textId="77777777">
        <w:trPr>
          <w:trHeight w:val="930"/>
          <w:jc w:val="center"/>
        </w:trPr>
        <w:tc>
          <w:tcPr>
            <w:tcW w:w="1237" w:type="dxa"/>
            <w:tcBorders>
              <w:top w:val="single" w:sz="4" w:space="0" w:color="auto"/>
              <w:left w:val="nil"/>
              <w:bottom w:val="single" w:sz="4" w:space="0" w:color="auto"/>
              <w:right w:val="nil"/>
            </w:tcBorders>
            <w:hideMark/>
          </w:tcPr>
          <w:p w14:paraId="0E919A4A"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Mehling </w:t>
            </w:r>
          </w:p>
          <w:p w14:paraId="02D8AFB3"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2007</w:t>
            </w:r>
          </w:p>
          <w:p w14:paraId="4DD91CF3"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fldChar w:fldCharType="begin"/>
            </w:r>
            <w:r>
              <w:rPr>
                <w:rFonts w:ascii="Times New Roman" w:eastAsia="Times New Roman"/>
                <w:szCs w:val="20"/>
              </w:rPr>
              <w:instrText xml:space="preserve"> ADDIN EN.CITE &lt;EndNote&gt;&lt;Cite&gt;&lt;Author&gt;Mehling&lt;/Author&gt;&lt;Year&gt;2007&lt;/Year&gt;&lt;RecNum&gt;23&lt;/RecNum&gt;&lt;DisplayText&gt;(21)&lt;/DisplayText&gt;&lt;record&gt;&lt;rec-number&gt;23&lt;/rec-number&gt;&lt;foreign-keys&gt;&lt;key app="EN" db-id="rtpzt5stqfptepe5zwevd9sna9rx2axae2xr" timestamp="1717327802"&gt;23&lt;/key&gt;&lt;/foreign-keys&gt;&lt;ref-type name="Journal Article"&gt;17&lt;/ref-type&gt;&lt;contributors&gt;&lt;authors&gt;&lt;author&gt;Mehling, W. E.Jacobs, B.Acree, M.Wilson, L.Bostrom, A.West, J.Acquah, J.Burns, B.Chapman, J.Hecht, F. M.&lt;/author&gt;&lt;/authors&gt;&lt;/contributors&gt;&lt;auth-address&gt;W.E. Mehling, Osher Center for Integrative Medicine (W.E.M., B.J., M.A., L.W., J.W., J.A., B.B., J.C., F.M.H.), Department of Epidemiology and Biostatistics (A.B.), University of California, San Francisco, CA, United States&lt;/auth-address&gt;&lt;titles&gt;&lt;title&gt;Symptom Management with Massage and Acupuncture in Postoperative Cancer Patients: A Randomized Controlled Trial&lt;/title&gt;&lt;secondary-title&gt;Journal of Pain and Symptom Management&lt;/secondary-title&gt;&lt;/titles&gt;&lt;periodical&gt;&lt;full-title&gt;Journal of Pain and Symptom Management&lt;/full-title&gt;&lt;/periodical&gt;&lt;pages&gt;258-266&lt;/pages&gt;&lt;volume&gt;33&lt;/volume&gt;&lt;number&gt;3&lt;/number&gt;&lt;keywords&gt;&lt;keyword&gt;acupunctureadultarticlecancer paincancer patientclinical trialcontrolled clinical trialdepressionfemalehealth care utilizationhumanmajor clinical studymalemassagemoodnauseapatient carepostoperative carerandomizationrandomized controlled trialregression&lt;/keyword&gt;&lt;/keywords&gt;&lt;dates&gt;&lt;year&gt;2007&lt;/year&gt;&lt;/dates&gt;&lt;isbn&gt;0885-3924&lt;/isbn&gt;&lt;work-type&gt;Article&lt;/work-type&gt;&lt;urls&gt;&lt;related-urls&gt;&lt;url&gt;https://www.embase.com/search/results?subaction=viewrecord&amp;amp;id=L46349539&amp;amp;from=exporthttp://dx.doi.org/10.1016/j.jpainsymman.2006.09.016&lt;/url&gt;&lt;/related-urls&gt;&lt;/urls&gt;&lt;custom5&gt;17349495&lt;/custom5&gt;&lt;electronic-resource-num&gt;10.1016/j.jpainsymman.2006.09.016&lt;/electronic-resource-num&gt;&lt;remote-database-name&gt;EmbaseMedline&lt;/remote-database-name&gt;&lt;language&gt;English&lt;/language&gt;&lt;/record&gt;&lt;/Cite&gt;&lt;/EndNote&gt;</w:instrText>
            </w:r>
            <w:r>
              <w:rPr>
                <w:rFonts w:ascii="Times New Roman" w:eastAsia="Times New Roman"/>
                <w:szCs w:val="20"/>
              </w:rPr>
              <w:fldChar w:fldCharType="separate"/>
            </w:r>
            <w:r>
              <w:rPr>
                <w:rFonts w:ascii="Times New Roman" w:eastAsia="Times New Roman"/>
                <w:noProof/>
                <w:szCs w:val="20"/>
              </w:rPr>
              <w:t>(</w:t>
            </w:r>
            <w:hyperlink w:anchor="_ENREF_21" w:tooltip="Mehling, 2007 #23" w:history="1">
              <w:r>
                <w:rPr>
                  <w:rFonts w:ascii="Times New Roman" w:eastAsia="Times New Roman"/>
                  <w:noProof/>
                  <w:szCs w:val="20"/>
                </w:rPr>
                <w:t>21</w:t>
              </w:r>
            </w:hyperlink>
            <w:r>
              <w:rPr>
                <w:rFonts w:ascii="Times New Roman" w:eastAsia="Times New Roman"/>
                <w:noProof/>
                <w:szCs w:val="20"/>
              </w:rPr>
              <w:t>)</w:t>
            </w:r>
            <w:r>
              <w:rPr>
                <w:rFonts w:ascii="Times New Roman" w:eastAsia="Times New Roman"/>
                <w:szCs w:val="20"/>
              </w:rPr>
              <w:fldChar w:fldCharType="end"/>
            </w:r>
          </w:p>
        </w:tc>
        <w:tc>
          <w:tcPr>
            <w:tcW w:w="848" w:type="dxa"/>
            <w:tcBorders>
              <w:top w:val="single" w:sz="4" w:space="0" w:color="auto"/>
              <w:left w:val="nil"/>
              <w:bottom w:val="single" w:sz="4" w:space="0" w:color="auto"/>
              <w:right w:val="nil"/>
            </w:tcBorders>
            <w:hideMark/>
          </w:tcPr>
          <w:p w14:paraId="1D387597"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USA</w:t>
            </w:r>
          </w:p>
        </w:tc>
        <w:tc>
          <w:tcPr>
            <w:tcW w:w="1320" w:type="dxa"/>
            <w:tcBorders>
              <w:top w:val="single" w:sz="4" w:space="0" w:color="auto"/>
              <w:left w:val="nil"/>
              <w:bottom w:val="single" w:sz="4" w:space="0" w:color="auto"/>
              <w:right w:val="nil"/>
            </w:tcBorders>
            <w:hideMark/>
          </w:tcPr>
          <w:p w14:paraId="1A03EE23"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Abdominal/pelvic,prostate/testicular,bladder/kidney, breast cancer</w:t>
            </w:r>
          </w:p>
        </w:tc>
        <w:tc>
          <w:tcPr>
            <w:tcW w:w="1401" w:type="dxa"/>
            <w:tcBorders>
              <w:top w:val="single" w:sz="4" w:space="0" w:color="auto"/>
              <w:left w:val="nil"/>
              <w:bottom w:val="single" w:sz="4" w:space="0" w:color="auto"/>
              <w:right w:val="nil"/>
            </w:tcBorders>
            <w:hideMark/>
          </w:tcPr>
          <w:p w14:paraId="23D364BF"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Surgery</w:t>
            </w:r>
          </w:p>
        </w:tc>
        <w:tc>
          <w:tcPr>
            <w:tcW w:w="667" w:type="dxa"/>
            <w:tcBorders>
              <w:top w:val="single" w:sz="4" w:space="0" w:color="auto"/>
              <w:left w:val="nil"/>
              <w:bottom w:val="single" w:sz="4" w:space="0" w:color="auto"/>
              <w:right w:val="nil"/>
            </w:tcBorders>
            <w:hideMark/>
          </w:tcPr>
          <w:p w14:paraId="7FCCB76B"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138</w:t>
            </w:r>
          </w:p>
        </w:tc>
        <w:tc>
          <w:tcPr>
            <w:tcW w:w="667" w:type="dxa"/>
            <w:tcBorders>
              <w:top w:val="single" w:sz="4" w:space="0" w:color="auto"/>
              <w:left w:val="nil"/>
              <w:bottom w:val="single" w:sz="4" w:space="0" w:color="auto"/>
              <w:right w:val="nil"/>
            </w:tcBorders>
            <w:hideMark/>
          </w:tcPr>
          <w:p w14:paraId="6BA58160"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56</w:t>
            </w:r>
          </w:p>
        </w:tc>
        <w:tc>
          <w:tcPr>
            <w:tcW w:w="1137" w:type="dxa"/>
            <w:tcBorders>
              <w:top w:val="single" w:sz="4" w:space="0" w:color="auto"/>
              <w:left w:val="nil"/>
              <w:bottom w:val="single" w:sz="4" w:space="0" w:color="auto"/>
              <w:right w:val="nil"/>
            </w:tcBorders>
            <w:hideMark/>
          </w:tcPr>
          <w:p w14:paraId="4761234E"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AT+Massage</w:t>
            </w:r>
          </w:p>
        </w:tc>
        <w:tc>
          <w:tcPr>
            <w:tcW w:w="1073" w:type="dxa"/>
            <w:tcBorders>
              <w:top w:val="single" w:sz="4" w:space="0" w:color="auto"/>
              <w:left w:val="nil"/>
              <w:bottom w:val="single" w:sz="4" w:space="0" w:color="auto"/>
              <w:right w:val="nil"/>
            </w:tcBorders>
            <w:hideMark/>
          </w:tcPr>
          <w:p w14:paraId="749442AC"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Usual care+ Massage</w:t>
            </w:r>
          </w:p>
        </w:tc>
        <w:tc>
          <w:tcPr>
            <w:tcW w:w="1580" w:type="dxa"/>
            <w:tcBorders>
              <w:top w:val="single" w:sz="4" w:space="0" w:color="auto"/>
              <w:left w:val="nil"/>
              <w:bottom w:val="single" w:sz="4" w:space="0" w:color="auto"/>
              <w:right w:val="nil"/>
            </w:tcBorders>
            <w:hideMark/>
          </w:tcPr>
          <w:p w14:paraId="76CEAA6E"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NRS</w:t>
            </w:r>
          </w:p>
        </w:tc>
        <w:tc>
          <w:tcPr>
            <w:tcW w:w="3669" w:type="dxa"/>
            <w:tcBorders>
              <w:top w:val="single" w:sz="4" w:space="0" w:color="auto"/>
              <w:left w:val="nil"/>
              <w:bottom w:val="single" w:sz="4" w:space="0" w:color="auto"/>
              <w:right w:val="nil"/>
            </w:tcBorders>
            <w:hideMark/>
          </w:tcPr>
          <w:p w14:paraId="716D382B"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A bedside service of massage and AT resulted in decreased pain and depressive mood among postoperative cancer patients when compared with usual care alone.</w:t>
            </w:r>
          </w:p>
        </w:tc>
        <w:tc>
          <w:tcPr>
            <w:tcW w:w="1724" w:type="dxa"/>
            <w:tcBorders>
              <w:top w:val="single" w:sz="4" w:space="0" w:color="auto"/>
              <w:left w:val="nil"/>
              <w:bottom w:val="single" w:sz="4" w:space="0" w:color="auto"/>
              <w:right w:val="nil"/>
            </w:tcBorders>
            <w:hideMark/>
          </w:tcPr>
          <w:p w14:paraId="0610AD5B"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Not mentioned</w:t>
            </w:r>
          </w:p>
        </w:tc>
      </w:tr>
      <w:tr w:rsidR="00D8482F" w14:paraId="2EED362F" w14:textId="77777777">
        <w:trPr>
          <w:trHeight w:val="700"/>
          <w:jc w:val="center"/>
        </w:trPr>
        <w:tc>
          <w:tcPr>
            <w:tcW w:w="1237" w:type="dxa"/>
            <w:tcBorders>
              <w:top w:val="single" w:sz="4" w:space="0" w:color="auto"/>
              <w:left w:val="nil"/>
              <w:bottom w:val="single" w:sz="4" w:space="0" w:color="auto"/>
              <w:right w:val="nil"/>
            </w:tcBorders>
            <w:hideMark/>
          </w:tcPr>
          <w:p w14:paraId="00EE7BF7"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Yang </w:t>
            </w:r>
          </w:p>
          <w:p w14:paraId="5816618F"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2009 </w:t>
            </w:r>
          </w:p>
          <w:p w14:paraId="6DA998F1"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fldChar w:fldCharType="begin"/>
            </w:r>
            <w:r>
              <w:rPr>
                <w:rFonts w:ascii="Times New Roman" w:eastAsia="Times New Roman"/>
                <w:szCs w:val="20"/>
              </w:rPr>
              <w:instrText xml:space="preserve"> ADDIN EN.CITE &lt;EndNote&gt;&lt;Cite&gt;&lt;Author&gt;Yang&lt;/Author&gt;&lt;Year&gt;2009&lt;/Year&gt;&lt;RecNum&gt;24&lt;/RecNum&gt;&lt;DisplayText&gt;(22)&lt;/DisplayText&gt;&lt;record&gt;&lt;rec-number&gt;24&lt;/rec-number&gt;&lt;foreign-keys&gt;&lt;key app="EN" db-id="rtpzt5stqfptepe5zwevd9sna9rx2axae2xr" timestamp="1717327802"&gt;24&lt;/key&gt;&lt;/foreign-keys&gt;&lt;ref-type name="Journal Article"&gt;17&lt;/ref-type&gt;&lt;contributors&gt;&lt;authors&gt;&lt;author&gt;Yang, Yan&lt;/author&gt;&lt;author&gt;Zhang, Yue&lt;/author&gt;&lt;author&gt;Jing, NC&lt;/author&gt;&lt;author&gt;Lu, Yi&lt;/author&gt;&lt;author&gt;Xiao, HY&lt;/author&gt;&lt;author&gt;Xu, GL&lt;/author&gt;&lt;author&gt;Wang, XG&lt;/author&gt;&lt;author&gt;Wang, LM&lt;/author&gt;&lt;author&gt;Zhang, YM&lt;/author&gt;&lt;author&gt;Zhang, DJ&lt;/author&gt;&lt;/authors&gt;&lt;/contributors&gt;&lt;titles&gt;&lt;title&gt;Electroacupuncture at Zusanli (ST 36) for treatment of nausea and vomiting caused by the chemotherapy of the malignant tumor: a multicentral randomized controlled trial&lt;/title&gt;&lt;secondary-title&gt;Zhongguo Zhen jiu= Chinese Acupuncture &amp;amp; Moxibustion&lt;/secondary-title&gt;&lt;/titles&gt;&lt;periodical&gt;&lt;full-title&gt;Zhongguo Zhen jiu= Chinese Acupuncture &amp;amp; Moxibustion&lt;/full-title&gt;&lt;/periodical&gt;&lt;pages&gt;955-958&lt;/pages&gt;&lt;volume&gt;29&lt;/volume&gt;&lt;number&gt;12&lt;/number&gt;&lt;dates&gt;&lt;year&gt;2009&lt;/year&gt;&lt;/dates&gt;&lt;isbn&gt;0255-2930&lt;/isbn&gt;&lt;urls&gt;&lt;/urls&gt;&lt;/record&gt;&lt;/Cite&gt;&lt;/EndNote&gt;</w:instrText>
            </w:r>
            <w:r>
              <w:rPr>
                <w:rFonts w:ascii="Times New Roman" w:eastAsia="Times New Roman"/>
                <w:szCs w:val="20"/>
              </w:rPr>
              <w:fldChar w:fldCharType="separate"/>
            </w:r>
            <w:r>
              <w:rPr>
                <w:rFonts w:ascii="Times New Roman" w:eastAsia="Times New Roman"/>
                <w:noProof/>
                <w:szCs w:val="20"/>
              </w:rPr>
              <w:t>(</w:t>
            </w:r>
            <w:hyperlink w:anchor="_ENREF_22" w:tooltip="Yang, 2009 #24" w:history="1">
              <w:r>
                <w:rPr>
                  <w:rFonts w:ascii="Times New Roman" w:eastAsia="Times New Roman"/>
                  <w:noProof/>
                  <w:szCs w:val="20"/>
                </w:rPr>
                <w:t>22</w:t>
              </w:r>
            </w:hyperlink>
            <w:r>
              <w:rPr>
                <w:rFonts w:ascii="Times New Roman" w:eastAsia="Times New Roman"/>
                <w:noProof/>
                <w:szCs w:val="20"/>
              </w:rPr>
              <w:t>)</w:t>
            </w:r>
            <w:r>
              <w:rPr>
                <w:rFonts w:ascii="Times New Roman" w:eastAsia="Times New Roman"/>
                <w:szCs w:val="20"/>
              </w:rPr>
              <w:fldChar w:fldCharType="end"/>
            </w:r>
          </w:p>
        </w:tc>
        <w:tc>
          <w:tcPr>
            <w:tcW w:w="848" w:type="dxa"/>
            <w:tcBorders>
              <w:top w:val="single" w:sz="4" w:space="0" w:color="auto"/>
              <w:left w:val="nil"/>
              <w:bottom w:val="single" w:sz="4" w:space="0" w:color="auto"/>
              <w:right w:val="nil"/>
            </w:tcBorders>
            <w:hideMark/>
          </w:tcPr>
          <w:p w14:paraId="1E5D53BB"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China</w:t>
            </w:r>
          </w:p>
        </w:tc>
        <w:tc>
          <w:tcPr>
            <w:tcW w:w="1320" w:type="dxa"/>
            <w:tcBorders>
              <w:top w:val="single" w:sz="4" w:space="0" w:color="auto"/>
              <w:left w:val="nil"/>
              <w:bottom w:val="single" w:sz="4" w:space="0" w:color="auto"/>
              <w:right w:val="nil"/>
            </w:tcBorders>
            <w:hideMark/>
          </w:tcPr>
          <w:p w14:paraId="7D620246"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Diverse cancer (not reported)</w:t>
            </w:r>
          </w:p>
        </w:tc>
        <w:tc>
          <w:tcPr>
            <w:tcW w:w="1401" w:type="dxa"/>
            <w:tcBorders>
              <w:top w:val="single" w:sz="4" w:space="0" w:color="auto"/>
              <w:left w:val="nil"/>
              <w:bottom w:val="single" w:sz="4" w:space="0" w:color="auto"/>
              <w:right w:val="nil"/>
            </w:tcBorders>
            <w:hideMark/>
          </w:tcPr>
          <w:p w14:paraId="33FE335D"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Chemotherapy </w:t>
            </w:r>
          </w:p>
        </w:tc>
        <w:tc>
          <w:tcPr>
            <w:tcW w:w="667" w:type="dxa"/>
            <w:tcBorders>
              <w:top w:val="single" w:sz="4" w:space="0" w:color="auto"/>
              <w:left w:val="nil"/>
              <w:bottom w:val="single" w:sz="4" w:space="0" w:color="auto"/>
              <w:right w:val="nil"/>
            </w:tcBorders>
            <w:hideMark/>
          </w:tcPr>
          <w:p w14:paraId="3A053B0C"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246</w:t>
            </w:r>
          </w:p>
        </w:tc>
        <w:tc>
          <w:tcPr>
            <w:tcW w:w="667" w:type="dxa"/>
            <w:tcBorders>
              <w:top w:val="single" w:sz="4" w:space="0" w:color="auto"/>
              <w:left w:val="nil"/>
              <w:bottom w:val="single" w:sz="4" w:space="0" w:color="auto"/>
              <w:right w:val="nil"/>
            </w:tcBorders>
            <w:hideMark/>
          </w:tcPr>
          <w:p w14:paraId="75B7010A"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51</w:t>
            </w:r>
          </w:p>
        </w:tc>
        <w:tc>
          <w:tcPr>
            <w:tcW w:w="1137" w:type="dxa"/>
            <w:tcBorders>
              <w:top w:val="single" w:sz="4" w:space="0" w:color="auto"/>
              <w:left w:val="nil"/>
              <w:bottom w:val="single" w:sz="4" w:space="0" w:color="auto"/>
              <w:right w:val="nil"/>
            </w:tcBorders>
            <w:hideMark/>
          </w:tcPr>
          <w:p w14:paraId="08AFD9FE"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EA+PT</w:t>
            </w:r>
          </w:p>
        </w:tc>
        <w:tc>
          <w:tcPr>
            <w:tcW w:w="1073" w:type="dxa"/>
            <w:tcBorders>
              <w:top w:val="single" w:sz="4" w:space="0" w:color="auto"/>
              <w:left w:val="nil"/>
              <w:bottom w:val="single" w:sz="4" w:space="0" w:color="auto"/>
              <w:right w:val="nil"/>
            </w:tcBorders>
            <w:hideMark/>
          </w:tcPr>
          <w:p w14:paraId="5D4A9467"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PT</w:t>
            </w:r>
          </w:p>
        </w:tc>
        <w:tc>
          <w:tcPr>
            <w:tcW w:w="1580" w:type="dxa"/>
            <w:tcBorders>
              <w:top w:val="single" w:sz="4" w:space="0" w:color="auto"/>
              <w:left w:val="nil"/>
              <w:bottom w:val="single" w:sz="4" w:space="0" w:color="auto"/>
              <w:right w:val="nil"/>
            </w:tcBorders>
            <w:hideMark/>
          </w:tcPr>
          <w:p w14:paraId="112C16ED"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Effective rate, </w:t>
            </w:r>
          </w:p>
          <w:p w14:paraId="63783DF7"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NRS</w:t>
            </w:r>
          </w:p>
        </w:tc>
        <w:tc>
          <w:tcPr>
            <w:tcW w:w="3669" w:type="dxa"/>
            <w:tcBorders>
              <w:top w:val="single" w:sz="4" w:space="0" w:color="auto"/>
              <w:left w:val="nil"/>
              <w:bottom w:val="single" w:sz="4" w:space="0" w:color="auto"/>
              <w:right w:val="nil"/>
            </w:tcBorders>
            <w:hideMark/>
          </w:tcPr>
          <w:p w14:paraId="16EE0B98"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EA at ST36 can significantly alleviate the symptoms such as NV caused by chemotherapy of the patients.</w:t>
            </w:r>
          </w:p>
        </w:tc>
        <w:tc>
          <w:tcPr>
            <w:tcW w:w="1724" w:type="dxa"/>
            <w:tcBorders>
              <w:top w:val="single" w:sz="4" w:space="0" w:color="auto"/>
              <w:left w:val="nil"/>
              <w:bottom w:val="single" w:sz="4" w:space="0" w:color="auto"/>
              <w:right w:val="nil"/>
            </w:tcBorders>
            <w:hideMark/>
          </w:tcPr>
          <w:p w14:paraId="453F780C"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Minor adverse events (bleeding around acupoints)</w:t>
            </w:r>
          </w:p>
        </w:tc>
      </w:tr>
      <w:tr w:rsidR="00D8482F" w14:paraId="52ED38F9" w14:textId="77777777">
        <w:trPr>
          <w:trHeight w:val="1160"/>
          <w:jc w:val="center"/>
        </w:trPr>
        <w:tc>
          <w:tcPr>
            <w:tcW w:w="1237" w:type="dxa"/>
            <w:tcBorders>
              <w:top w:val="single" w:sz="4" w:space="0" w:color="auto"/>
              <w:left w:val="nil"/>
              <w:bottom w:val="single" w:sz="4" w:space="0" w:color="auto"/>
              <w:right w:val="nil"/>
            </w:tcBorders>
            <w:hideMark/>
          </w:tcPr>
          <w:p w14:paraId="5D446A09"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Enblom </w:t>
            </w:r>
          </w:p>
          <w:p w14:paraId="24A4C79E"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2012 </w:t>
            </w:r>
          </w:p>
          <w:p w14:paraId="608AC4E6"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fldChar w:fldCharType="begin"/>
            </w:r>
            <w:r>
              <w:rPr>
                <w:rFonts w:ascii="Times New Roman" w:eastAsia="Times New Roman"/>
                <w:szCs w:val="20"/>
              </w:rPr>
              <w:instrText xml:space="preserve"> ADDIN EN.CITE &lt;EndNote&gt;&lt;Cite&gt;&lt;Author&gt;Enblom&lt;/Author&gt;&lt;Year&gt;2012&lt;/Year&gt;&lt;RecNum&gt;25&lt;/RecNum&gt;&lt;DisplayText&gt;(23)&lt;/DisplayText&gt;&lt;record&gt;&lt;rec-number&gt;25&lt;/rec-number&gt;&lt;foreign-keys&gt;&lt;key app="EN" db-id="rtpzt5stqfptepe5zwevd9sna9rx2axae2xr" timestamp="1717327802"&gt;25&lt;/key&gt;&lt;/foreign-keys&gt;&lt;ref-type name="Journal Article"&gt;17&lt;/ref-type&gt;&lt;contributors&gt;&lt;authors&gt;&lt;author&gt;Enblom, A.Johnsson, A.Hammar, M.Onelöv, E.Steineck, G.Börjeson, S.&lt;/author&gt;&lt;/authors&gt;&lt;/contributors&gt;&lt;auth-address&gt;A. Enblom, Department of Clinical Neuroscience, Osher Centre for Integrative Medicine, Karolinska Institute, SE-171 77 Stockholm, Sweden&lt;/auth-address&gt;&lt;titles&gt;&lt;title&gt;Acupuncture compared with placebo acupuncture in radiotherapy-induced nausea-A randomized controlled study&lt;/title&gt;&lt;secondary-title&gt;Annals of Oncology&lt;/secondary-title&gt;&lt;/titles&gt;&lt;periodical&gt;&lt;full-title&gt;Annals of Oncology&lt;/full-title&gt;&lt;/periodical&gt;&lt;pages&gt;1353-1361&lt;/pages&gt;&lt;volume&gt;23&lt;/volume&gt;&lt;number&gt;5&lt;/number&gt;&lt;keywords&gt;&lt;keyword&gt;NCT00621660corticosteroiddopamine receptor blocking agentserotonin antagonistacupunctureadultagedapplication site bleedingapplication site painarticlecancer radiotherapyclinical effectivenessclinical evaluationcomparative effectivenesscontrolled studydi&lt;/keyword&gt;&lt;/keywords&gt;&lt;dates&gt;&lt;year&gt;2012&lt;/year&gt;&lt;/dates&gt;&lt;isbn&gt;0923-75341569-8041&lt;/isbn&gt;&lt;work-type&gt;Article&lt;/work-type&gt;&lt;urls&gt;&lt;related-urls&gt;&lt;url&gt;https://www.embase.com/search/results?subaction=viewrecord&amp;amp;id=L364722298&amp;amp;from=exporthttp://dx.doi.org/10.1093/annonc/mdr402&lt;/url&gt;&lt;/related-urls&gt;&lt;/urls&gt;&lt;custom5&gt;21948812&lt;/custom5&gt;&lt;electronic-resource-num&gt;10.1093/annonc/mdr402&lt;/electronic-resource-num&gt;&lt;remote-database-name&gt;EmbaseMedline&lt;/remote-database-name&gt;&lt;language&gt;English&lt;/language&gt;&lt;/record&gt;&lt;/Cite&gt;&lt;/EndNote&gt;</w:instrText>
            </w:r>
            <w:r>
              <w:rPr>
                <w:rFonts w:ascii="Times New Roman" w:eastAsia="Times New Roman"/>
                <w:szCs w:val="20"/>
              </w:rPr>
              <w:fldChar w:fldCharType="separate"/>
            </w:r>
            <w:r>
              <w:rPr>
                <w:rFonts w:ascii="Times New Roman" w:eastAsia="Times New Roman"/>
                <w:noProof/>
                <w:szCs w:val="20"/>
              </w:rPr>
              <w:t>(</w:t>
            </w:r>
            <w:hyperlink w:anchor="_ENREF_23" w:tooltip="Enblom, 2012 #25" w:history="1">
              <w:r>
                <w:rPr>
                  <w:rFonts w:ascii="Times New Roman" w:eastAsia="Times New Roman"/>
                  <w:noProof/>
                  <w:szCs w:val="20"/>
                </w:rPr>
                <w:t>23</w:t>
              </w:r>
            </w:hyperlink>
            <w:r>
              <w:rPr>
                <w:rFonts w:ascii="Times New Roman" w:eastAsia="Times New Roman"/>
                <w:noProof/>
                <w:szCs w:val="20"/>
              </w:rPr>
              <w:t>)</w:t>
            </w:r>
            <w:r>
              <w:rPr>
                <w:rFonts w:ascii="Times New Roman" w:eastAsia="Times New Roman"/>
                <w:szCs w:val="20"/>
              </w:rPr>
              <w:fldChar w:fldCharType="end"/>
            </w:r>
          </w:p>
        </w:tc>
        <w:tc>
          <w:tcPr>
            <w:tcW w:w="848" w:type="dxa"/>
            <w:tcBorders>
              <w:top w:val="single" w:sz="4" w:space="0" w:color="auto"/>
              <w:left w:val="nil"/>
              <w:bottom w:val="single" w:sz="4" w:space="0" w:color="auto"/>
              <w:right w:val="nil"/>
            </w:tcBorders>
            <w:hideMark/>
          </w:tcPr>
          <w:p w14:paraId="46B096DA"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Sweden</w:t>
            </w:r>
          </w:p>
        </w:tc>
        <w:tc>
          <w:tcPr>
            <w:tcW w:w="1320" w:type="dxa"/>
            <w:tcBorders>
              <w:top w:val="single" w:sz="4" w:space="0" w:color="auto"/>
              <w:left w:val="nil"/>
              <w:bottom w:val="single" w:sz="4" w:space="0" w:color="auto"/>
              <w:right w:val="nil"/>
            </w:tcBorders>
            <w:hideMark/>
          </w:tcPr>
          <w:p w14:paraId="7F98073A"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Gynecologic, colon, rectal, anal, testicular cancer, etc.</w:t>
            </w:r>
          </w:p>
        </w:tc>
        <w:tc>
          <w:tcPr>
            <w:tcW w:w="1401" w:type="dxa"/>
            <w:tcBorders>
              <w:top w:val="single" w:sz="4" w:space="0" w:color="auto"/>
              <w:left w:val="nil"/>
              <w:bottom w:val="single" w:sz="4" w:space="0" w:color="auto"/>
              <w:right w:val="nil"/>
            </w:tcBorders>
            <w:hideMark/>
          </w:tcPr>
          <w:p w14:paraId="065A3AB4"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Radiotherapy</w:t>
            </w:r>
          </w:p>
        </w:tc>
        <w:tc>
          <w:tcPr>
            <w:tcW w:w="667" w:type="dxa"/>
            <w:tcBorders>
              <w:top w:val="single" w:sz="4" w:space="0" w:color="auto"/>
              <w:left w:val="nil"/>
              <w:bottom w:val="single" w:sz="4" w:space="0" w:color="auto"/>
              <w:right w:val="nil"/>
            </w:tcBorders>
            <w:hideMark/>
          </w:tcPr>
          <w:p w14:paraId="4E8ABDF7"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324</w:t>
            </w:r>
          </w:p>
        </w:tc>
        <w:tc>
          <w:tcPr>
            <w:tcW w:w="667" w:type="dxa"/>
            <w:tcBorders>
              <w:top w:val="single" w:sz="4" w:space="0" w:color="auto"/>
              <w:left w:val="nil"/>
              <w:bottom w:val="single" w:sz="4" w:space="0" w:color="auto"/>
              <w:right w:val="nil"/>
            </w:tcBorders>
            <w:hideMark/>
          </w:tcPr>
          <w:p w14:paraId="3BA69DDF"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54</w:t>
            </w:r>
          </w:p>
        </w:tc>
        <w:tc>
          <w:tcPr>
            <w:tcW w:w="1137" w:type="dxa"/>
            <w:tcBorders>
              <w:top w:val="single" w:sz="4" w:space="0" w:color="auto"/>
              <w:left w:val="nil"/>
              <w:bottom w:val="single" w:sz="4" w:space="0" w:color="auto"/>
              <w:right w:val="nil"/>
            </w:tcBorders>
            <w:hideMark/>
          </w:tcPr>
          <w:p w14:paraId="0203587F"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AT+PT</w:t>
            </w:r>
          </w:p>
        </w:tc>
        <w:tc>
          <w:tcPr>
            <w:tcW w:w="1073" w:type="dxa"/>
            <w:tcBorders>
              <w:top w:val="single" w:sz="4" w:space="0" w:color="auto"/>
              <w:left w:val="nil"/>
              <w:bottom w:val="single" w:sz="4" w:space="0" w:color="auto"/>
              <w:right w:val="nil"/>
            </w:tcBorders>
            <w:hideMark/>
          </w:tcPr>
          <w:p w14:paraId="5566A380"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SA+PT</w:t>
            </w:r>
          </w:p>
        </w:tc>
        <w:tc>
          <w:tcPr>
            <w:tcW w:w="1580" w:type="dxa"/>
            <w:tcBorders>
              <w:top w:val="single" w:sz="4" w:space="0" w:color="auto"/>
              <w:left w:val="nil"/>
              <w:bottom w:val="single" w:sz="4" w:space="0" w:color="auto"/>
              <w:right w:val="nil"/>
            </w:tcBorders>
            <w:hideMark/>
          </w:tcPr>
          <w:p w14:paraId="5D9B5B83"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Episodes of NV</w:t>
            </w:r>
          </w:p>
        </w:tc>
        <w:tc>
          <w:tcPr>
            <w:tcW w:w="3669" w:type="dxa"/>
            <w:tcBorders>
              <w:top w:val="single" w:sz="4" w:space="0" w:color="auto"/>
              <w:left w:val="nil"/>
              <w:bottom w:val="single" w:sz="4" w:space="0" w:color="auto"/>
              <w:right w:val="nil"/>
            </w:tcBorders>
            <w:hideMark/>
          </w:tcPr>
          <w:p w14:paraId="2C12A4A8"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AT is not more effective than sham in radiotherapy-induced nausea, but in this study, nearly all patients in both groups experienced that the treatment was effective for nausea.</w:t>
            </w:r>
          </w:p>
        </w:tc>
        <w:tc>
          <w:tcPr>
            <w:tcW w:w="1724" w:type="dxa"/>
            <w:tcBorders>
              <w:top w:val="single" w:sz="4" w:space="0" w:color="auto"/>
              <w:left w:val="nil"/>
              <w:bottom w:val="single" w:sz="4" w:space="0" w:color="auto"/>
              <w:right w:val="nil"/>
            </w:tcBorders>
            <w:hideMark/>
          </w:tcPr>
          <w:p w14:paraId="6243825E"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Minor adverse events (bleeding around acupoints, tiredness, dizziness, needle scratch on skin)</w:t>
            </w:r>
          </w:p>
        </w:tc>
      </w:tr>
      <w:tr w:rsidR="00D8482F" w14:paraId="6288B1FB" w14:textId="77777777">
        <w:trPr>
          <w:trHeight w:val="930"/>
          <w:jc w:val="center"/>
        </w:trPr>
        <w:tc>
          <w:tcPr>
            <w:tcW w:w="1237" w:type="dxa"/>
            <w:tcBorders>
              <w:top w:val="single" w:sz="4" w:space="0" w:color="auto"/>
              <w:left w:val="nil"/>
              <w:bottom w:val="single" w:sz="4" w:space="0" w:color="auto"/>
              <w:right w:val="nil"/>
            </w:tcBorders>
            <w:hideMark/>
          </w:tcPr>
          <w:p w14:paraId="71AF86B7"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Beith </w:t>
            </w:r>
          </w:p>
          <w:p w14:paraId="75D007A6"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2012</w:t>
            </w:r>
          </w:p>
          <w:p w14:paraId="48C25E2B"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fldChar w:fldCharType="begin"/>
            </w:r>
            <w:r>
              <w:rPr>
                <w:rFonts w:ascii="Times New Roman" w:eastAsia="Times New Roman"/>
                <w:szCs w:val="20"/>
              </w:rPr>
              <w:instrText xml:space="preserve"> ADDIN EN.CITE &lt;EndNote&gt;&lt;Cite&gt;&lt;Author&gt;Beith&lt;/Author&gt;&lt;Year&gt;2012&lt;/Year&gt;&lt;RecNum&gt;26&lt;/RecNum&gt;&lt;DisplayText&gt;(24)&lt;/DisplayText&gt;&lt;record&gt;&lt;rec-number&gt;26&lt;/rec-number&gt;&lt;foreign-keys&gt;&lt;key app="EN" db-id="rtpzt5stqfptepe5zwevd9sna9rx2axae2xr" timestamp="1717327802"&gt;26&lt;/key&gt;&lt;/foreign-keys&gt;&lt;ref-type name="Journal Article"&gt;17&lt;/ref-type&gt;&lt;contributors&gt;&lt;authors&gt;&lt;author&gt;Beith, J. M.Oh, B.Chatfield, M. D.Davis, E.Venkateswaran, R.&lt;/author&gt;&lt;/authors&gt;&lt;/contributors&gt;&lt;auth-address&gt;E. Davis, Sydney Medical School, University of Sydney, Fisher Road, Sydney, NSW 2006, Australia&lt;/auth-address&gt;&lt;titles&gt;&lt;title&gt;Electroacupuncture for nausea, vomiting, and myelosuppression in women receiving adjuvant Chemotherapy for Early Breast Cancer: A Randomized Controlled Pilot Trial&lt;/title&gt;&lt;secondary-title&gt;Medical Acupuncture&lt;/secondary-title&gt;&lt;/titles&gt;&lt;periodical&gt;&lt;full-title&gt;Medical Acupuncture&lt;/full-title&gt;&lt;/periodical&gt;&lt;pages&gt;241-248&lt;/pages&gt;&lt;volume&gt;24&lt;/volume&gt;&lt;number&gt;4&lt;/number&gt;&lt;keywords&gt;&lt;keyword&gt;cyclophosphamidedoxorubicinepirubicinfluorouracilgrowth factoradultarticlebone marrow suppressionbreast cancercancer adjuvant therapycancer combination chemotherapycontrolled studydisease controlelectroacupuncturefeasibility studyfebrile neutropeniafema&lt;/keyword&gt;&lt;/keywords&gt;&lt;dates&gt;&lt;year&gt;2012&lt;/year&gt;&lt;/dates&gt;&lt;isbn&gt;1933-65861933-6594&lt;/isbn&gt;&lt;work-type&gt;Article&lt;/work-type&gt;&lt;urls&gt;&lt;related-urls&gt;&lt;url&gt;https://www.embase.com/search/results?subaction=viewrecord&amp;amp;id=L366255262&amp;amp;from=exporthttp://dx.doi.org/10.1089/acu.2012.0876&lt;/url&gt;&lt;/related-urls&gt;&lt;/urls&gt;&lt;electronic-resource-num&gt;10.1089/acu.2012.0876&lt;/electronic-resource-num&gt;&lt;remote-database-name&gt;Embase&lt;/remote-database-name&gt;&lt;language&gt;English&lt;/language&gt;&lt;/record&gt;&lt;/Cite&gt;&lt;/EndNote&gt;</w:instrText>
            </w:r>
            <w:r>
              <w:rPr>
                <w:rFonts w:ascii="Times New Roman" w:eastAsia="Times New Roman"/>
                <w:szCs w:val="20"/>
              </w:rPr>
              <w:fldChar w:fldCharType="separate"/>
            </w:r>
            <w:r>
              <w:rPr>
                <w:rFonts w:ascii="Times New Roman" w:eastAsia="Times New Roman"/>
                <w:noProof/>
                <w:szCs w:val="20"/>
              </w:rPr>
              <w:t>(</w:t>
            </w:r>
            <w:hyperlink w:anchor="_ENREF_24" w:tooltip="Beith, 2012 #26" w:history="1">
              <w:r>
                <w:rPr>
                  <w:rFonts w:ascii="Times New Roman" w:eastAsia="Times New Roman"/>
                  <w:noProof/>
                  <w:szCs w:val="20"/>
                </w:rPr>
                <w:t>24</w:t>
              </w:r>
            </w:hyperlink>
            <w:r>
              <w:rPr>
                <w:rFonts w:ascii="Times New Roman" w:eastAsia="Times New Roman"/>
                <w:noProof/>
                <w:szCs w:val="20"/>
              </w:rPr>
              <w:t>)</w:t>
            </w:r>
            <w:r>
              <w:rPr>
                <w:rFonts w:ascii="Times New Roman" w:eastAsia="Times New Roman"/>
                <w:szCs w:val="20"/>
              </w:rPr>
              <w:fldChar w:fldCharType="end"/>
            </w:r>
          </w:p>
        </w:tc>
        <w:tc>
          <w:tcPr>
            <w:tcW w:w="848" w:type="dxa"/>
            <w:tcBorders>
              <w:top w:val="single" w:sz="4" w:space="0" w:color="auto"/>
              <w:left w:val="nil"/>
              <w:bottom w:val="single" w:sz="4" w:space="0" w:color="auto"/>
              <w:right w:val="nil"/>
            </w:tcBorders>
            <w:hideMark/>
          </w:tcPr>
          <w:p w14:paraId="63A382FE"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Australia</w:t>
            </w:r>
          </w:p>
        </w:tc>
        <w:tc>
          <w:tcPr>
            <w:tcW w:w="1320" w:type="dxa"/>
            <w:tcBorders>
              <w:top w:val="single" w:sz="4" w:space="0" w:color="auto"/>
              <w:left w:val="nil"/>
              <w:bottom w:val="single" w:sz="4" w:space="0" w:color="auto"/>
              <w:right w:val="nil"/>
            </w:tcBorders>
            <w:hideMark/>
          </w:tcPr>
          <w:p w14:paraId="12E52F48"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Breast cancer</w:t>
            </w:r>
          </w:p>
        </w:tc>
        <w:tc>
          <w:tcPr>
            <w:tcW w:w="1401" w:type="dxa"/>
            <w:tcBorders>
              <w:top w:val="single" w:sz="4" w:space="0" w:color="auto"/>
              <w:left w:val="nil"/>
              <w:bottom w:val="single" w:sz="4" w:space="0" w:color="auto"/>
              <w:right w:val="nil"/>
            </w:tcBorders>
            <w:hideMark/>
          </w:tcPr>
          <w:p w14:paraId="7D538AEF"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Chemotherapy (Doxorubicin, cyclophosphamide, others)</w:t>
            </w:r>
          </w:p>
        </w:tc>
        <w:tc>
          <w:tcPr>
            <w:tcW w:w="667" w:type="dxa"/>
            <w:tcBorders>
              <w:top w:val="single" w:sz="4" w:space="0" w:color="auto"/>
              <w:left w:val="nil"/>
              <w:bottom w:val="single" w:sz="4" w:space="0" w:color="auto"/>
              <w:right w:val="nil"/>
            </w:tcBorders>
            <w:hideMark/>
          </w:tcPr>
          <w:p w14:paraId="0905F25B"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32</w:t>
            </w:r>
          </w:p>
        </w:tc>
        <w:tc>
          <w:tcPr>
            <w:tcW w:w="667" w:type="dxa"/>
            <w:tcBorders>
              <w:top w:val="single" w:sz="4" w:space="0" w:color="auto"/>
              <w:left w:val="nil"/>
              <w:bottom w:val="single" w:sz="4" w:space="0" w:color="auto"/>
              <w:right w:val="nil"/>
            </w:tcBorders>
            <w:hideMark/>
          </w:tcPr>
          <w:p w14:paraId="442F4687"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52</w:t>
            </w:r>
          </w:p>
        </w:tc>
        <w:tc>
          <w:tcPr>
            <w:tcW w:w="1137" w:type="dxa"/>
            <w:tcBorders>
              <w:top w:val="single" w:sz="4" w:space="0" w:color="auto"/>
              <w:left w:val="nil"/>
              <w:bottom w:val="single" w:sz="4" w:space="0" w:color="auto"/>
              <w:right w:val="nil"/>
            </w:tcBorders>
            <w:hideMark/>
          </w:tcPr>
          <w:p w14:paraId="64B18F18"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EA+PT</w:t>
            </w:r>
          </w:p>
        </w:tc>
        <w:tc>
          <w:tcPr>
            <w:tcW w:w="1073" w:type="dxa"/>
            <w:tcBorders>
              <w:top w:val="single" w:sz="4" w:space="0" w:color="auto"/>
              <w:left w:val="nil"/>
              <w:bottom w:val="single" w:sz="4" w:space="0" w:color="auto"/>
              <w:right w:val="nil"/>
            </w:tcBorders>
            <w:hideMark/>
          </w:tcPr>
          <w:p w14:paraId="0ACB74B2"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SEA+PT</w:t>
            </w:r>
          </w:p>
        </w:tc>
        <w:tc>
          <w:tcPr>
            <w:tcW w:w="1580" w:type="dxa"/>
            <w:tcBorders>
              <w:top w:val="single" w:sz="4" w:space="0" w:color="auto"/>
              <w:left w:val="nil"/>
              <w:bottom w:val="single" w:sz="4" w:space="0" w:color="auto"/>
              <w:right w:val="nil"/>
            </w:tcBorders>
            <w:hideMark/>
          </w:tcPr>
          <w:p w14:paraId="3A48967F"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MAT, episodes of NV, number of patients with NV</w:t>
            </w:r>
          </w:p>
        </w:tc>
        <w:tc>
          <w:tcPr>
            <w:tcW w:w="3669" w:type="dxa"/>
            <w:tcBorders>
              <w:top w:val="single" w:sz="4" w:space="0" w:color="auto"/>
              <w:left w:val="nil"/>
              <w:bottom w:val="single" w:sz="4" w:space="0" w:color="auto"/>
              <w:right w:val="nil"/>
            </w:tcBorders>
            <w:hideMark/>
          </w:tcPr>
          <w:p w14:paraId="0DC26B12"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EA during chemotherapy is a promising option for controlling the side effects of chemotherapy.</w:t>
            </w:r>
          </w:p>
        </w:tc>
        <w:tc>
          <w:tcPr>
            <w:tcW w:w="1724" w:type="dxa"/>
            <w:tcBorders>
              <w:top w:val="single" w:sz="4" w:space="0" w:color="auto"/>
              <w:left w:val="nil"/>
              <w:bottom w:val="single" w:sz="4" w:space="0" w:color="auto"/>
              <w:right w:val="nil"/>
            </w:tcBorders>
            <w:hideMark/>
          </w:tcPr>
          <w:p w14:paraId="76923859"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None observed</w:t>
            </w:r>
          </w:p>
        </w:tc>
      </w:tr>
      <w:tr w:rsidR="00D8482F" w14:paraId="048B608E" w14:textId="77777777">
        <w:trPr>
          <w:trHeight w:val="700"/>
          <w:jc w:val="center"/>
        </w:trPr>
        <w:tc>
          <w:tcPr>
            <w:tcW w:w="1237" w:type="dxa"/>
            <w:tcBorders>
              <w:top w:val="single" w:sz="4" w:space="0" w:color="auto"/>
              <w:left w:val="nil"/>
              <w:bottom w:val="single" w:sz="4" w:space="0" w:color="auto"/>
              <w:right w:val="nil"/>
            </w:tcBorders>
            <w:hideMark/>
          </w:tcPr>
          <w:p w14:paraId="3120C992"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Zhang </w:t>
            </w:r>
          </w:p>
          <w:p w14:paraId="51E1A248"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2014 </w:t>
            </w:r>
          </w:p>
          <w:p w14:paraId="581B7F7E"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fldChar w:fldCharType="begin"/>
            </w:r>
            <w:r>
              <w:rPr>
                <w:rFonts w:ascii="Times New Roman" w:eastAsia="Times New Roman"/>
                <w:szCs w:val="20"/>
              </w:rPr>
              <w:instrText xml:space="preserve"> ADDIN EN.CITE &lt;EndNote&gt;&lt;Cite&gt;&lt;Author&gt;Zhang&lt;/Author&gt;&lt;Year&gt;2014&lt;/Year&gt;&lt;RecNum&gt;27&lt;/RecNum&gt;&lt;DisplayText&gt;(25)&lt;/DisplayText&gt;&lt;record&gt;&lt;rec-number&gt;27&lt;/rec-number&gt;&lt;foreign-keys&gt;&lt;key app="EN" db-id="rtpzt5stqfptepe5zwevd9sna9rx2axae2xr" timestamp="1717327802"&gt;27&lt;/key&gt;&lt;/foreign-keys&gt;&lt;ref-type name="Journal Article"&gt;17&lt;/ref-type&gt;&lt;contributors&gt;&lt;authors&gt;&lt;author&gt;Zhang, Xing&lt;/author&gt;&lt;author&gt;Fan, YH&lt;/author&gt;&lt;/authors&gt;&lt;/contributors&gt;&lt;titles&gt;&lt;title&gt;Effects of electroacupuncture on chemotherapy-induced nausea and vomiting and its mechanism&lt;/title&gt;&lt;secondary-title&gt;Zhongguo Zhen jiu= Chinese Acupuncture &amp;amp; Moxibustion&lt;/secondary-title&gt;&lt;/titles&gt;&lt;periodical&gt;&lt;full-title&gt;Zhongguo Zhen jiu= Chinese Acupuncture &amp;amp; Moxibustion&lt;/full-title&gt;&lt;/periodical&gt;&lt;pages&gt;1061-1064&lt;/pages&gt;&lt;volume&gt;34&lt;/volume&gt;&lt;number&gt;11&lt;/number&gt;&lt;dates&gt;&lt;year&gt;2014&lt;/year&gt;&lt;/dates&gt;&lt;isbn&gt;0255-2930&lt;/isbn&gt;&lt;urls&gt;&lt;/urls&gt;&lt;/record&gt;&lt;/Cite&gt;&lt;/EndNote&gt;</w:instrText>
            </w:r>
            <w:r>
              <w:rPr>
                <w:rFonts w:ascii="Times New Roman" w:eastAsia="Times New Roman"/>
                <w:szCs w:val="20"/>
              </w:rPr>
              <w:fldChar w:fldCharType="separate"/>
            </w:r>
            <w:r>
              <w:rPr>
                <w:rFonts w:ascii="Times New Roman" w:eastAsia="Times New Roman"/>
                <w:noProof/>
                <w:szCs w:val="20"/>
              </w:rPr>
              <w:t>(</w:t>
            </w:r>
            <w:hyperlink w:anchor="_ENREF_25" w:tooltip="Zhang, 2014 #27" w:history="1">
              <w:r>
                <w:rPr>
                  <w:rFonts w:ascii="Times New Roman" w:eastAsia="Times New Roman"/>
                  <w:noProof/>
                  <w:szCs w:val="20"/>
                </w:rPr>
                <w:t>25</w:t>
              </w:r>
            </w:hyperlink>
            <w:r>
              <w:rPr>
                <w:rFonts w:ascii="Times New Roman" w:eastAsia="Times New Roman"/>
                <w:noProof/>
                <w:szCs w:val="20"/>
              </w:rPr>
              <w:t>)</w:t>
            </w:r>
            <w:r>
              <w:rPr>
                <w:rFonts w:ascii="Times New Roman" w:eastAsia="Times New Roman"/>
                <w:szCs w:val="20"/>
              </w:rPr>
              <w:fldChar w:fldCharType="end"/>
            </w:r>
          </w:p>
        </w:tc>
        <w:tc>
          <w:tcPr>
            <w:tcW w:w="848" w:type="dxa"/>
            <w:tcBorders>
              <w:top w:val="single" w:sz="4" w:space="0" w:color="auto"/>
              <w:left w:val="nil"/>
              <w:bottom w:val="single" w:sz="4" w:space="0" w:color="auto"/>
              <w:right w:val="nil"/>
            </w:tcBorders>
            <w:hideMark/>
          </w:tcPr>
          <w:p w14:paraId="31F6EEB9"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China</w:t>
            </w:r>
          </w:p>
        </w:tc>
        <w:tc>
          <w:tcPr>
            <w:tcW w:w="1320" w:type="dxa"/>
            <w:tcBorders>
              <w:top w:val="single" w:sz="4" w:space="0" w:color="auto"/>
              <w:left w:val="nil"/>
              <w:bottom w:val="single" w:sz="4" w:space="0" w:color="auto"/>
              <w:right w:val="nil"/>
            </w:tcBorders>
            <w:hideMark/>
          </w:tcPr>
          <w:p w14:paraId="693102E6"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Lung, colon, breast cancer, etc.</w:t>
            </w:r>
          </w:p>
        </w:tc>
        <w:tc>
          <w:tcPr>
            <w:tcW w:w="1401" w:type="dxa"/>
            <w:tcBorders>
              <w:top w:val="single" w:sz="4" w:space="0" w:color="auto"/>
              <w:left w:val="nil"/>
              <w:bottom w:val="single" w:sz="4" w:space="0" w:color="auto"/>
              <w:right w:val="nil"/>
            </w:tcBorders>
            <w:hideMark/>
          </w:tcPr>
          <w:p w14:paraId="18492DA4"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Chemotherapy </w:t>
            </w:r>
          </w:p>
        </w:tc>
        <w:tc>
          <w:tcPr>
            <w:tcW w:w="667" w:type="dxa"/>
            <w:tcBorders>
              <w:top w:val="single" w:sz="4" w:space="0" w:color="auto"/>
              <w:left w:val="nil"/>
              <w:bottom w:val="single" w:sz="4" w:space="0" w:color="auto"/>
              <w:right w:val="nil"/>
            </w:tcBorders>
            <w:hideMark/>
          </w:tcPr>
          <w:p w14:paraId="4A689843"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72</w:t>
            </w:r>
          </w:p>
        </w:tc>
        <w:tc>
          <w:tcPr>
            <w:tcW w:w="667" w:type="dxa"/>
            <w:tcBorders>
              <w:top w:val="single" w:sz="4" w:space="0" w:color="auto"/>
              <w:left w:val="nil"/>
              <w:bottom w:val="single" w:sz="4" w:space="0" w:color="auto"/>
              <w:right w:val="nil"/>
            </w:tcBorders>
            <w:hideMark/>
          </w:tcPr>
          <w:p w14:paraId="29A61836"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59</w:t>
            </w:r>
          </w:p>
        </w:tc>
        <w:tc>
          <w:tcPr>
            <w:tcW w:w="1137" w:type="dxa"/>
            <w:tcBorders>
              <w:top w:val="single" w:sz="4" w:space="0" w:color="auto"/>
              <w:left w:val="nil"/>
              <w:bottom w:val="single" w:sz="4" w:space="0" w:color="auto"/>
              <w:right w:val="nil"/>
            </w:tcBorders>
            <w:hideMark/>
          </w:tcPr>
          <w:p w14:paraId="63FB893C"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EA+PT</w:t>
            </w:r>
          </w:p>
        </w:tc>
        <w:tc>
          <w:tcPr>
            <w:tcW w:w="1073" w:type="dxa"/>
            <w:tcBorders>
              <w:top w:val="single" w:sz="4" w:space="0" w:color="auto"/>
              <w:left w:val="nil"/>
              <w:bottom w:val="single" w:sz="4" w:space="0" w:color="auto"/>
              <w:right w:val="nil"/>
            </w:tcBorders>
            <w:hideMark/>
          </w:tcPr>
          <w:p w14:paraId="43CCB6C9"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SEA+PT</w:t>
            </w:r>
          </w:p>
        </w:tc>
        <w:tc>
          <w:tcPr>
            <w:tcW w:w="1580" w:type="dxa"/>
            <w:tcBorders>
              <w:top w:val="single" w:sz="4" w:space="0" w:color="auto"/>
              <w:left w:val="nil"/>
              <w:bottom w:val="single" w:sz="4" w:space="0" w:color="auto"/>
              <w:right w:val="nil"/>
            </w:tcBorders>
            <w:hideMark/>
          </w:tcPr>
          <w:p w14:paraId="1F8D1DC1"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Episodes of NV, complete control rate</w:t>
            </w:r>
          </w:p>
        </w:tc>
        <w:tc>
          <w:tcPr>
            <w:tcW w:w="3669" w:type="dxa"/>
            <w:tcBorders>
              <w:top w:val="single" w:sz="4" w:space="0" w:color="auto"/>
              <w:left w:val="nil"/>
              <w:bottom w:val="single" w:sz="4" w:space="0" w:color="auto"/>
              <w:right w:val="nil"/>
            </w:tcBorders>
            <w:hideMark/>
          </w:tcPr>
          <w:p w14:paraId="03BB3BB3"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EA at PC6 and PC5 combined with granisetron could obviously relieve nausea in chemotherapy patients at the delay stage.</w:t>
            </w:r>
          </w:p>
        </w:tc>
        <w:tc>
          <w:tcPr>
            <w:tcW w:w="1724" w:type="dxa"/>
            <w:tcBorders>
              <w:top w:val="single" w:sz="4" w:space="0" w:color="auto"/>
              <w:left w:val="nil"/>
              <w:bottom w:val="single" w:sz="4" w:space="0" w:color="auto"/>
              <w:right w:val="nil"/>
            </w:tcBorders>
            <w:hideMark/>
          </w:tcPr>
          <w:p w14:paraId="40EDF98D"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None observed</w:t>
            </w:r>
          </w:p>
        </w:tc>
      </w:tr>
      <w:tr w:rsidR="00D8482F" w14:paraId="53E22363" w14:textId="77777777">
        <w:trPr>
          <w:trHeight w:val="930"/>
          <w:jc w:val="center"/>
        </w:trPr>
        <w:tc>
          <w:tcPr>
            <w:tcW w:w="1237" w:type="dxa"/>
            <w:tcBorders>
              <w:top w:val="single" w:sz="4" w:space="0" w:color="auto"/>
              <w:left w:val="nil"/>
              <w:bottom w:val="single" w:sz="4" w:space="0" w:color="auto"/>
              <w:right w:val="nil"/>
            </w:tcBorders>
            <w:hideMark/>
          </w:tcPr>
          <w:p w14:paraId="7203E241"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McKeon </w:t>
            </w:r>
          </w:p>
          <w:p w14:paraId="1A0BBA12"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2015 </w:t>
            </w:r>
          </w:p>
          <w:p w14:paraId="4EEE1217"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fldChar w:fldCharType="begin"/>
            </w:r>
            <w:r>
              <w:rPr>
                <w:rFonts w:ascii="Times New Roman" w:eastAsia="Times New Roman"/>
                <w:szCs w:val="20"/>
              </w:rPr>
              <w:instrText xml:space="preserve"> ADDIN EN.CITE &lt;EndNote&gt;&lt;Cite&gt;&lt;Author&gt;McKeon&lt;/Author&gt;&lt;Year&gt;2015&lt;/Year&gt;&lt;RecNum&gt;28&lt;/RecNum&gt;&lt;DisplayText&gt;(26)&lt;/DisplayText&gt;&lt;record&gt;&lt;rec-number&gt;28&lt;/rec-number&gt;&lt;foreign-keys&gt;&lt;key app="EN" db-id="rtpzt5stqfptepe5zwevd9sna9rx2axae2xr" timestamp="1717327802"&gt;28&lt;/key&gt;&lt;/foreign-keys&gt;&lt;ref-type name="Journal Article"&gt;17&lt;/ref-type&gt;&lt;contributors&gt;&lt;authors&gt;&lt;author&gt;McKeon, C.Smith, C. A.Gibbons, K.Hardy, J.&lt;/author&gt;&lt;/authors&gt;&lt;/contributors&gt;&lt;titles&gt;&lt;title&gt;EA versus sham acupuncture and no acupuncture for the control of acute and delayed chemotherapy-induced nausea and vomiting: a pilot study&lt;/title&gt;&lt;secondary-title&gt;Acupuncture in medicine : journal of the British Medical Acupuncture Society&lt;/secondary-title&gt;&lt;/titles&gt;&lt;periodical&gt;&lt;full-title&gt;Acupuncture in medicine : journal of the British Medical Acupuncture Society&lt;/full-title&gt;&lt;/periodical&gt;&lt;pages&gt;277-283&lt;/pages&gt;&lt;volume&gt;33&lt;/volume&gt;&lt;number&gt;4&lt;/number&gt;&lt;keywords&gt;&lt;keyword&gt;ANZCTRantineoplastic agentacupunctureacute diseaseadultagedcontrolled studyelectroacupuncturefemalehumanmalemiddle agednauseaneoplasmpilot studyrandomized controlled trialvomiting&lt;/keyword&gt;&lt;/keywords&gt;&lt;dates&gt;&lt;year&gt;2015&lt;/year&gt;&lt;/dates&gt;&lt;isbn&gt;1759-9873&lt;/isbn&gt;&lt;work-type&gt;Article&lt;/work-type&gt;&lt;urls&gt;&lt;related-urls&gt;&lt;url&gt;https://www.embase.com/search/results?subaction=viewrecord&amp;amp;id=L607974950&amp;amp;from=exporthttp://dx.doi.org/10.1136/acupmed-2015-010781&lt;/url&gt;&lt;/related-urls&gt;&lt;/urls&gt;&lt;custom5&gt;26018947&lt;/custom5&gt;&lt;electronic-resource-num&gt;10.1136/acupmed-2015-010781&lt;/electronic-resource-num&gt;&lt;remote-database-name&gt;Medline&lt;/remote-database-name&gt;&lt;language&gt;English&lt;/language&gt;&lt;/record&gt;&lt;/Cite&gt;&lt;/EndNote&gt;</w:instrText>
            </w:r>
            <w:r>
              <w:rPr>
                <w:rFonts w:ascii="Times New Roman" w:eastAsia="Times New Roman"/>
                <w:szCs w:val="20"/>
              </w:rPr>
              <w:fldChar w:fldCharType="separate"/>
            </w:r>
            <w:r>
              <w:rPr>
                <w:rFonts w:ascii="Times New Roman" w:eastAsia="Times New Roman"/>
                <w:noProof/>
                <w:szCs w:val="20"/>
              </w:rPr>
              <w:t>(</w:t>
            </w:r>
            <w:hyperlink w:anchor="_ENREF_26" w:tooltip="McKeon, 2015 #28" w:history="1">
              <w:r>
                <w:rPr>
                  <w:rFonts w:ascii="Times New Roman" w:eastAsia="Times New Roman"/>
                  <w:noProof/>
                  <w:szCs w:val="20"/>
                </w:rPr>
                <w:t>26</w:t>
              </w:r>
            </w:hyperlink>
            <w:r>
              <w:rPr>
                <w:rFonts w:ascii="Times New Roman" w:eastAsia="Times New Roman"/>
                <w:noProof/>
                <w:szCs w:val="20"/>
              </w:rPr>
              <w:t>)</w:t>
            </w:r>
            <w:r>
              <w:rPr>
                <w:rFonts w:ascii="Times New Roman" w:eastAsia="Times New Roman"/>
                <w:szCs w:val="20"/>
              </w:rPr>
              <w:fldChar w:fldCharType="end"/>
            </w:r>
          </w:p>
        </w:tc>
        <w:tc>
          <w:tcPr>
            <w:tcW w:w="848" w:type="dxa"/>
            <w:tcBorders>
              <w:top w:val="single" w:sz="4" w:space="0" w:color="auto"/>
              <w:left w:val="nil"/>
              <w:bottom w:val="single" w:sz="4" w:space="0" w:color="auto"/>
              <w:right w:val="nil"/>
            </w:tcBorders>
            <w:hideMark/>
          </w:tcPr>
          <w:p w14:paraId="1E38D61F"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Australia</w:t>
            </w:r>
          </w:p>
        </w:tc>
        <w:tc>
          <w:tcPr>
            <w:tcW w:w="1320" w:type="dxa"/>
            <w:tcBorders>
              <w:top w:val="single" w:sz="4" w:space="0" w:color="auto"/>
              <w:left w:val="nil"/>
              <w:bottom w:val="single" w:sz="4" w:space="0" w:color="auto"/>
              <w:right w:val="nil"/>
            </w:tcBorders>
            <w:hideMark/>
          </w:tcPr>
          <w:p w14:paraId="057B2DF8"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Breast, colorectal, gynaecological cancer, etc.</w:t>
            </w:r>
          </w:p>
        </w:tc>
        <w:tc>
          <w:tcPr>
            <w:tcW w:w="1401" w:type="dxa"/>
            <w:tcBorders>
              <w:top w:val="single" w:sz="4" w:space="0" w:color="auto"/>
              <w:left w:val="nil"/>
              <w:bottom w:val="single" w:sz="4" w:space="0" w:color="auto"/>
              <w:right w:val="nil"/>
            </w:tcBorders>
            <w:hideMark/>
          </w:tcPr>
          <w:p w14:paraId="619F3A3D"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Chemotherapy </w:t>
            </w:r>
          </w:p>
        </w:tc>
        <w:tc>
          <w:tcPr>
            <w:tcW w:w="667" w:type="dxa"/>
            <w:tcBorders>
              <w:top w:val="single" w:sz="4" w:space="0" w:color="auto"/>
              <w:left w:val="nil"/>
              <w:bottom w:val="single" w:sz="4" w:space="0" w:color="auto"/>
              <w:right w:val="nil"/>
            </w:tcBorders>
            <w:hideMark/>
          </w:tcPr>
          <w:p w14:paraId="348A2A60"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60</w:t>
            </w:r>
          </w:p>
        </w:tc>
        <w:tc>
          <w:tcPr>
            <w:tcW w:w="667" w:type="dxa"/>
            <w:tcBorders>
              <w:top w:val="single" w:sz="4" w:space="0" w:color="auto"/>
              <w:left w:val="nil"/>
              <w:bottom w:val="single" w:sz="4" w:space="0" w:color="auto"/>
              <w:right w:val="nil"/>
            </w:tcBorders>
            <w:hideMark/>
          </w:tcPr>
          <w:p w14:paraId="33887426"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58</w:t>
            </w:r>
          </w:p>
        </w:tc>
        <w:tc>
          <w:tcPr>
            <w:tcW w:w="1137" w:type="dxa"/>
            <w:tcBorders>
              <w:top w:val="single" w:sz="4" w:space="0" w:color="auto"/>
              <w:left w:val="nil"/>
              <w:bottom w:val="single" w:sz="4" w:space="0" w:color="auto"/>
              <w:right w:val="nil"/>
            </w:tcBorders>
            <w:hideMark/>
          </w:tcPr>
          <w:p w14:paraId="14DCB664"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EA+PT</w:t>
            </w:r>
          </w:p>
        </w:tc>
        <w:tc>
          <w:tcPr>
            <w:tcW w:w="1073" w:type="dxa"/>
            <w:tcBorders>
              <w:top w:val="single" w:sz="4" w:space="0" w:color="auto"/>
              <w:left w:val="nil"/>
              <w:bottom w:val="single" w:sz="4" w:space="0" w:color="auto"/>
              <w:right w:val="nil"/>
            </w:tcBorders>
            <w:hideMark/>
          </w:tcPr>
          <w:p w14:paraId="724DD2F9"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(1) SEA+PT</w:t>
            </w:r>
          </w:p>
          <w:p w14:paraId="2EA38096"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(2) PT</w:t>
            </w:r>
          </w:p>
        </w:tc>
        <w:tc>
          <w:tcPr>
            <w:tcW w:w="1580" w:type="dxa"/>
            <w:tcBorders>
              <w:top w:val="single" w:sz="4" w:space="0" w:color="auto"/>
              <w:left w:val="nil"/>
              <w:bottom w:val="single" w:sz="4" w:space="0" w:color="auto"/>
              <w:right w:val="nil"/>
            </w:tcBorders>
            <w:hideMark/>
          </w:tcPr>
          <w:p w14:paraId="5188C425"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FLIE, NRS, episodes of </w:t>
            </w:r>
          </w:p>
          <w:p w14:paraId="06D9AE7D"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nausea and vomiting</w:t>
            </w:r>
          </w:p>
        </w:tc>
        <w:tc>
          <w:tcPr>
            <w:tcW w:w="3669" w:type="dxa"/>
            <w:tcBorders>
              <w:top w:val="single" w:sz="4" w:space="0" w:color="auto"/>
              <w:left w:val="nil"/>
              <w:bottom w:val="single" w:sz="4" w:space="0" w:color="auto"/>
              <w:right w:val="nil"/>
            </w:tcBorders>
            <w:hideMark/>
          </w:tcPr>
          <w:p w14:paraId="6807AC3A"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It was not possible to determine whether EA improves CINV compared to standard care.</w:t>
            </w:r>
          </w:p>
        </w:tc>
        <w:tc>
          <w:tcPr>
            <w:tcW w:w="1724" w:type="dxa"/>
            <w:tcBorders>
              <w:top w:val="single" w:sz="4" w:space="0" w:color="auto"/>
              <w:left w:val="nil"/>
              <w:bottom w:val="single" w:sz="4" w:space="0" w:color="auto"/>
              <w:right w:val="nil"/>
            </w:tcBorders>
            <w:hideMark/>
          </w:tcPr>
          <w:p w14:paraId="09671D77"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Minor adverse events (needling pain, bruising, localised skin irritation)</w:t>
            </w:r>
          </w:p>
        </w:tc>
      </w:tr>
      <w:tr w:rsidR="00D8482F" w14:paraId="07D44AA9" w14:textId="77777777">
        <w:trPr>
          <w:trHeight w:val="1160"/>
          <w:jc w:val="center"/>
        </w:trPr>
        <w:tc>
          <w:tcPr>
            <w:tcW w:w="1237" w:type="dxa"/>
            <w:tcBorders>
              <w:top w:val="single" w:sz="4" w:space="0" w:color="auto"/>
              <w:left w:val="nil"/>
              <w:bottom w:val="single" w:sz="4" w:space="0" w:color="auto"/>
              <w:right w:val="nil"/>
            </w:tcBorders>
            <w:hideMark/>
          </w:tcPr>
          <w:p w14:paraId="25747FE8"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Rithirangsriroj </w:t>
            </w:r>
          </w:p>
          <w:p w14:paraId="015BB330"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2015 </w:t>
            </w:r>
          </w:p>
          <w:p w14:paraId="35F5EBFD"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fldChar w:fldCharType="begin"/>
            </w:r>
            <w:r>
              <w:rPr>
                <w:rFonts w:ascii="Times New Roman" w:eastAsia="Times New Roman"/>
                <w:szCs w:val="20"/>
              </w:rPr>
              <w:instrText xml:space="preserve"> ADDIN EN.CITE &lt;EndNote&gt;&lt;Cite&gt;&lt;Author&gt;Rithirangsriroj&lt;/Author&gt;&lt;Year&gt;2015&lt;/Year&gt;&lt;RecNum&gt;29&lt;/RecNum&gt;&lt;DisplayText&gt;(27)&lt;/DisplayText&gt;&lt;record&gt;&lt;rec-number&gt;29&lt;/rec-number&gt;&lt;foreign-keys&gt;&lt;key app="EN" db-id="rtpzt5stqfptepe5zwevd9sna9rx2axae2xr" timestamp="1717327802"&gt;29&lt;/key&gt;&lt;/foreign-keys&gt;&lt;ref-type name="Journal Article"&gt;17&lt;/ref-type&gt;&lt;contributors&gt;&lt;authors&gt;&lt;author&gt;Rithirangsriroj, K.Manchana, T.Akkayagorn, L.&lt;/author&gt;&lt;/authors&gt;&lt;/contributors&gt;&lt;auth-address&gt;T. Manchana, Gynecologic Oncology Division, Department of Obstetrics and Gynecology, Chulalongkorn University and King Chulalongkorn Memorial Hospital, Bangkok, Thailand&lt;/auth-address&gt;&lt;titles&gt;&lt;title&gt;Efficacy of acupuncture in prevention of delayed chemotherapy induced nausea and vomiting in gynecologic cancer patients&lt;/title&gt;&lt;secondary-title&gt;Gynecologic Oncology&lt;/secondary-title&gt;&lt;/titles&gt;&lt;periodical&gt;&lt;full-title&gt;Gynecologic Oncology&lt;/full-title&gt;&lt;/periodical&gt;&lt;pages&gt;82-86&lt;/pages&gt;&lt;volume&gt;136&lt;/volume&gt;&lt;number&gt;1&lt;/number&gt;&lt;keywords&gt;&lt;keyword&gt;20131105001carboplatinchlorpheniraminedexamethasoneondansetronpaclitaxelranitidineacupunctureadd on therapyadultarticlecancer combination chemotherapycancer patientchemotherapy induced nausea and vomitingcomparative effectivenessconstipationcontrolled s&lt;/keyword&gt;&lt;/keywords&gt;&lt;dates&gt;&lt;year&gt;2015&lt;/year&gt;&lt;/dates&gt;&lt;isbn&gt;1095-68590090-8258&lt;/isbn&gt;&lt;work-type&gt;Article&lt;/work-type&gt;&lt;urls&gt;&lt;related-urls&gt;&lt;url&gt;https://www.embase.com/search/results?subaction=viewrecord&amp;amp;id=L603850490&amp;amp;from=exporthttp://dx.doi.org/10.1016/j.ygyno.2014.10.025&lt;/url&gt;&lt;/related-urls&gt;&lt;/urls&gt;&lt;custom5&gt;25449310&lt;/custom5&gt;&lt;electronic-resource-num&gt;10.1016/j.ygyno.2014.10.025&lt;/electronic-resource-num&gt;&lt;remote-database-name&gt;EmbaseMedline&lt;/remote-database-name&gt;&lt;language&gt;English&lt;/language&gt;&lt;/record&gt;&lt;/Cite&gt;&lt;/EndNote&gt;</w:instrText>
            </w:r>
            <w:r>
              <w:rPr>
                <w:rFonts w:ascii="Times New Roman" w:eastAsia="Times New Roman"/>
                <w:szCs w:val="20"/>
              </w:rPr>
              <w:fldChar w:fldCharType="separate"/>
            </w:r>
            <w:r>
              <w:rPr>
                <w:rFonts w:ascii="Times New Roman" w:eastAsia="Times New Roman"/>
                <w:noProof/>
                <w:szCs w:val="20"/>
              </w:rPr>
              <w:t>(</w:t>
            </w:r>
            <w:hyperlink w:anchor="_ENREF_27" w:tooltip="Rithirangsriroj, 2015 #29" w:history="1">
              <w:r>
                <w:rPr>
                  <w:rFonts w:ascii="Times New Roman" w:eastAsia="Times New Roman"/>
                  <w:noProof/>
                  <w:szCs w:val="20"/>
                </w:rPr>
                <w:t>27</w:t>
              </w:r>
            </w:hyperlink>
            <w:r>
              <w:rPr>
                <w:rFonts w:ascii="Times New Roman" w:eastAsia="Times New Roman"/>
                <w:noProof/>
                <w:szCs w:val="20"/>
              </w:rPr>
              <w:t>)</w:t>
            </w:r>
            <w:r>
              <w:rPr>
                <w:rFonts w:ascii="Times New Roman" w:eastAsia="Times New Roman"/>
                <w:szCs w:val="20"/>
              </w:rPr>
              <w:fldChar w:fldCharType="end"/>
            </w:r>
          </w:p>
        </w:tc>
        <w:tc>
          <w:tcPr>
            <w:tcW w:w="848" w:type="dxa"/>
            <w:tcBorders>
              <w:top w:val="single" w:sz="4" w:space="0" w:color="auto"/>
              <w:left w:val="nil"/>
              <w:bottom w:val="single" w:sz="4" w:space="0" w:color="auto"/>
              <w:right w:val="nil"/>
            </w:tcBorders>
            <w:hideMark/>
          </w:tcPr>
          <w:p w14:paraId="366B218D"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Thailand</w:t>
            </w:r>
          </w:p>
        </w:tc>
        <w:tc>
          <w:tcPr>
            <w:tcW w:w="1320" w:type="dxa"/>
            <w:tcBorders>
              <w:top w:val="single" w:sz="4" w:space="0" w:color="auto"/>
              <w:left w:val="nil"/>
              <w:bottom w:val="single" w:sz="4" w:space="0" w:color="auto"/>
              <w:right w:val="nil"/>
            </w:tcBorders>
            <w:hideMark/>
          </w:tcPr>
          <w:p w14:paraId="46F2FEF4"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Gynecologic cancer</w:t>
            </w:r>
          </w:p>
        </w:tc>
        <w:tc>
          <w:tcPr>
            <w:tcW w:w="1401" w:type="dxa"/>
            <w:tcBorders>
              <w:top w:val="single" w:sz="4" w:space="0" w:color="auto"/>
              <w:left w:val="nil"/>
              <w:bottom w:val="single" w:sz="4" w:space="0" w:color="auto"/>
              <w:right w:val="nil"/>
            </w:tcBorders>
            <w:hideMark/>
          </w:tcPr>
          <w:p w14:paraId="732BC395"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Chemotherapy (Paclitaxel, carboplatin)</w:t>
            </w:r>
          </w:p>
        </w:tc>
        <w:tc>
          <w:tcPr>
            <w:tcW w:w="667" w:type="dxa"/>
            <w:tcBorders>
              <w:top w:val="single" w:sz="4" w:space="0" w:color="auto"/>
              <w:left w:val="nil"/>
              <w:bottom w:val="single" w:sz="4" w:space="0" w:color="auto"/>
              <w:right w:val="nil"/>
            </w:tcBorders>
            <w:hideMark/>
          </w:tcPr>
          <w:p w14:paraId="70FB2F60"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70</w:t>
            </w:r>
          </w:p>
        </w:tc>
        <w:tc>
          <w:tcPr>
            <w:tcW w:w="667" w:type="dxa"/>
            <w:tcBorders>
              <w:top w:val="single" w:sz="4" w:space="0" w:color="auto"/>
              <w:left w:val="nil"/>
              <w:bottom w:val="single" w:sz="4" w:space="0" w:color="auto"/>
              <w:right w:val="nil"/>
            </w:tcBorders>
            <w:hideMark/>
          </w:tcPr>
          <w:p w14:paraId="6F5566A4"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52</w:t>
            </w:r>
          </w:p>
        </w:tc>
        <w:tc>
          <w:tcPr>
            <w:tcW w:w="1137" w:type="dxa"/>
            <w:tcBorders>
              <w:top w:val="single" w:sz="4" w:space="0" w:color="auto"/>
              <w:left w:val="nil"/>
              <w:bottom w:val="single" w:sz="4" w:space="0" w:color="auto"/>
              <w:right w:val="nil"/>
            </w:tcBorders>
            <w:hideMark/>
          </w:tcPr>
          <w:p w14:paraId="3A4F89A7"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AT+PT</w:t>
            </w:r>
          </w:p>
        </w:tc>
        <w:tc>
          <w:tcPr>
            <w:tcW w:w="1073" w:type="dxa"/>
            <w:tcBorders>
              <w:top w:val="single" w:sz="4" w:space="0" w:color="auto"/>
              <w:left w:val="nil"/>
              <w:bottom w:val="single" w:sz="4" w:space="0" w:color="auto"/>
              <w:right w:val="nil"/>
            </w:tcBorders>
            <w:hideMark/>
          </w:tcPr>
          <w:p w14:paraId="1860B10C"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PT</w:t>
            </w:r>
          </w:p>
        </w:tc>
        <w:tc>
          <w:tcPr>
            <w:tcW w:w="1580" w:type="dxa"/>
            <w:tcBorders>
              <w:top w:val="single" w:sz="4" w:space="0" w:color="auto"/>
              <w:left w:val="nil"/>
              <w:bottom w:val="single" w:sz="4" w:space="0" w:color="auto"/>
              <w:right w:val="nil"/>
            </w:tcBorders>
            <w:hideMark/>
          </w:tcPr>
          <w:p w14:paraId="5074E9FB"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Complete response rate, functional assessment of cancer therapy-general</w:t>
            </w:r>
          </w:p>
        </w:tc>
        <w:tc>
          <w:tcPr>
            <w:tcW w:w="3669" w:type="dxa"/>
            <w:tcBorders>
              <w:top w:val="single" w:sz="4" w:space="0" w:color="auto"/>
              <w:left w:val="nil"/>
              <w:bottom w:val="single" w:sz="4" w:space="0" w:color="auto"/>
              <w:right w:val="nil"/>
            </w:tcBorders>
            <w:hideMark/>
          </w:tcPr>
          <w:p w14:paraId="30412D1C"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AT is effective in preventing delayed CINV and promoting a better quality of life with fewer adverse effects.</w:t>
            </w:r>
          </w:p>
        </w:tc>
        <w:tc>
          <w:tcPr>
            <w:tcW w:w="1724" w:type="dxa"/>
            <w:tcBorders>
              <w:top w:val="single" w:sz="4" w:space="0" w:color="auto"/>
              <w:left w:val="nil"/>
              <w:bottom w:val="single" w:sz="4" w:space="0" w:color="auto"/>
              <w:right w:val="nil"/>
            </w:tcBorders>
            <w:hideMark/>
          </w:tcPr>
          <w:p w14:paraId="4F6C465D"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Minor adverse events (needling pain, soreness)</w:t>
            </w:r>
          </w:p>
        </w:tc>
      </w:tr>
      <w:tr w:rsidR="00D8482F" w14:paraId="591FAA35" w14:textId="77777777">
        <w:trPr>
          <w:trHeight w:val="1440"/>
          <w:jc w:val="center"/>
        </w:trPr>
        <w:tc>
          <w:tcPr>
            <w:tcW w:w="1237" w:type="dxa"/>
            <w:tcBorders>
              <w:top w:val="single" w:sz="4" w:space="0" w:color="auto"/>
              <w:left w:val="nil"/>
              <w:bottom w:val="single" w:sz="4" w:space="0" w:color="auto"/>
              <w:right w:val="nil"/>
            </w:tcBorders>
            <w:hideMark/>
          </w:tcPr>
          <w:p w14:paraId="7640E5F2"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lastRenderedPageBreak/>
              <w:t xml:space="preserve">Wang </w:t>
            </w:r>
          </w:p>
          <w:p w14:paraId="32C269BA"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2018 </w:t>
            </w:r>
            <w:r>
              <w:rPr>
                <w:rFonts w:ascii="Times New Roman" w:eastAsia="Times New Roman"/>
                <w:szCs w:val="20"/>
              </w:rPr>
              <w:fldChar w:fldCharType="begin"/>
            </w:r>
            <w:r>
              <w:rPr>
                <w:rFonts w:ascii="Times New Roman" w:eastAsia="Times New Roman"/>
                <w:szCs w:val="20"/>
              </w:rPr>
              <w:instrText xml:space="preserve"> ADDIN EN.CITE &lt;EndNote&gt;&lt;Cite&gt;&lt;Author&gt;Wang&lt;/Author&gt;&lt;Year&gt;2018&lt;/Year&gt;&lt;RecNum&gt;30&lt;/RecNum&gt;&lt;DisplayText&gt;(28)&lt;/DisplayText&gt;&lt;record&gt;&lt;rec-number&gt;30&lt;/rec-number&gt;&lt;foreign-keys&gt;&lt;key app="EN" db-id="rtpzt5stqfptepe5zwevd9sna9rx2axae2xr" timestamp="1717327802"&gt;30&lt;/key&gt;&lt;/foreign-keys&gt;&lt;ref-type name="Journal Article"&gt;17&lt;/ref-type&gt;&lt;contributors&gt;&lt;authors&gt;&lt;author&gt;Wang, T. Y.Meng, J. H.Mai, S. C.&lt;/author&gt;&lt;/authors&gt;&lt;/contributors&gt;&lt;titles&gt;&lt;title&gt;Electroacupuncture Treatment Conduced Before and After Surgery Is Better in Promoting Reco-very of Gastrointestinal Function in Colorectal Cancer Patients Undergoing Radical Resection&lt;/title&gt;&lt;secondary-title&gt;Zhen ci yan jiu = Acupuncture research&lt;/secondary-title&gt;&lt;/titles&gt;&lt;periodical&gt;&lt;full-title&gt;Zhen ci yan jiu = Acupuncture research&lt;/full-title&gt;&lt;/periodical&gt;&lt;pages&gt;797-800&lt;/pages&gt;&lt;volume&gt;43&lt;/volume&gt;&lt;number&gt;12&lt;/number&gt;&lt;keywords&gt;&lt;keyword&gt;acupuncture analgesiaacupuncture pointanalgesiacolorectal tumorcontrolled studyelectroacupuncturehumanrandomized controlled trial&lt;/keyword&gt;&lt;/keywords&gt;&lt;dates&gt;&lt;year&gt;2018&lt;/year&gt;&lt;/dates&gt;&lt;isbn&gt;1000-0607&lt;/isbn&gt;&lt;work-type&gt;Article&lt;/work-type&gt;&lt;urls&gt;&lt;related-urls&gt;&lt;url&gt;https://www.embase.com/search/results?subaction=viewrecord&amp;amp;id=L625680776&amp;amp;from=exporthttp://dx.doi.org/10.13702/j.1000-0607.170381&lt;/url&gt;&lt;/related-urls&gt;&lt;/urls&gt;&lt;custom5&gt;30585459&lt;/custom5&gt;&lt;electronic-resource-num&gt;10.13702/j.1000-0607.170381&lt;/electronic-resource-num&gt;&lt;remote-database-name&gt;Medline&lt;/remote-database-name&gt;&lt;language&gt;Chinese&lt;/language&gt;&lt;/record&gt;&lt;/Cite&gt;&lt;/EndNote&gt;</w:instrText>
            </w:r>
            <w:r>
              <w:rPr>
                <w:rFonts w:ascii="Times New Roman" w:eastAsia="Times New Roman"/>
                <w:szCs w:val="20"/>
              </w:rPr>
              <w:fldChar w:fldCharType="separate"/>
            </w:r>
            <w:r>
              <w:rPr>
                <w:rFonts w:ascii="Times New Roman" w:eastAsia="Times New Roman"/>
                <w:noProof/>
                <w:szCs w:val="20"/>
              </w:rPr>
              <w:t>(</w:t>
            </w:r>
            <w:hyperlink w:anchor="_ENREF_28" w:tooltip="Wang, 2018 #30" w:history="1">
              <w:r>
                <w:rPr>
                  <w:rFonts w:ascii="Times New Roman" w:eastAsia="Times New Roman"/>
                  <w:noProof/>
                  <w:szCs w:val="20"/>
                </w:rPr>
                <w:t>28</w:t>
              </w:r>
            </w:hyperlink>
            <w:r>
              <w:rPr>
                <w:rFonts w:ascii="Times New Roman" w:eastAsia="Times New Roman"/>
                <w:noProof/>
                <w:szCs w:val="20"/>
              </w:rPr>
              <w:t>)</w:t>
            </w:r>
            <w:r>
              <w:rPr>
                <w:rFonts w:ascii="Times New Roman" w:eastAsia="Times New Roman"/>
                <w:szCs w:val="20"/>
              </w:rPr>
              <w:fldChar w:fldCharType="end"/>
            </w:r>
          </w:p>
        </w:tc>
        <w:tc>
          <w:tcPr>
            <w:tcW w:w="848" w:type="dxa"/>
            <w:tcBorders>
              <w:top w:val="single" w:sz="4" w:space="0" w:color="auto"/>
              <w:left w:val="nil"/>
              <w:bottom w:val="single" w:sz="4" w:space="0" w:color="auto"/>
              <w:right w:val="nil"/>
            </w:tcBorders>
            <w:hideMark/>
          </w:tcPr>
          <w:p w14:paraId="675EE54D"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China</w:t>
            </w:r>
          </w:p>
        </w:tc>
        <w:tc>
          <w:tcPr>
            <w:tcW w:w="1320" w:type="dxa"/>
            <w:tcBorders>
              <w:top w:val="single" w:sz="4" w:space="0" w:color="auto"/>
              <w:left w:val="nil"/>
              <w:bottom w:val="single" w:sz="4" w:space="0" w:color="auto"/>
              <w:right w:val="nil"/>
            </w:tcBorders>
            <w:hideMark/>
          </w:tcPr>
          <w:p w14:paraId="3E8FA7EB"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Colorectal cancer</w:t>
            </w:r>
          </w:p>
        </w:tc>
        <w:tc>
          <w:tcPr>
            <w:tcW w:w="1401" w:type="dxa"/>
            <w:tcBorders>
              <w:top w:val="single" w:sz="4" w:space="0" w:color="auto"/>
              <w:left w:val="nil"/>
              <w:bottom w:val="single" w:sz="4" w:space="0" w:color="auto"/>
              <w:right w:val="nil"/>
            </w:tcBorders>
            <w:hideMark/>
          </w:tcPr>
          <w:p w14:paraId="2829C042"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Surgery</w:t>
            </w:r>
          </w:p>
        </w:tc>
        <w:tc>
          <w:tcPr>
            <w:tcW w:w="667" w:type="dxa"/>
            <w:tcBorders>
              <w:top w:val="single" w:sz="4" w:space="0" w:color="auto"/>
              <w:left w:val="nil"/>
              <w:bottom w:val="single" w:sz="4" w:space="0" w:color="auto"/>
              <w:right w:val="nil"/>
            </w:tcBorders>
            <w:hideMark/>
          </w:tcPr>
          <w:p w14:paraId="64C16E4E"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80</w:t>
            </w:r>
          </w:p>
        </w:tc>
        <w:tc>
          <w:tcPr>
            <w:tcW w:w="667" w:type="dxa"/>
            <w:tcBorders>
              <w:top w:val="single" w:sz="4" w:space="0" w:color="auto"/>
              <w:left w:val="nil"/>
              <w:bottom w:val="single" w:sz="4" w:space="0" w:color="auto"/>
              <w:right w:val="nil"/>
            </w:tcBorders>
            <w:hideMark/>
          </w:tcPr>
          <w:p w14:paraId="6BB1875E"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51</w:t>
            </w:r>
          </w:p>
        </w:tc>
        <w:tc>
          <w:tcPr>
            <w:tcW w:w="1137" w:type="dxa"/>
            <w:tcBorders>
              <w:top w:val="single" w:sz="4" w:space="0" w:color="auto"/>
              <w:left w:val="nil"/>
              <w:bottom w:val="single" w:sz="4" w:space="0" w:color="auto"/>
              <w:right w:val="nil"/>
            </w:tcBorders>
            <w:hideMark/>
          </w:tcPr>
          <w:p w14:paraId="14A3039B"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EA </w:t>
            </w:r>
          </w:p>
          <w:p w14:paraId="4CCE1EDC"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(1) 1 sessions of treatment </w:t>
            </w:r>
          </w:p>
          <w:p w14:paraId="1A82B7B0"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(2) 2 sessions of treatment </w:t>
            </w:r>
          </w:p>
          <w:p w14:paraId="23CDA5A5"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(3) 3 sessions of treatment</w:t>
            </w:r>
          </w:p>
        </w:tc>
        <w:tc>
          <w:tcPr>
            <w:tcW w:w="1073" w:type="dxa"/>
            <w:tcBorders>
              <w:top w:val="single" w:sz="4" w:space="0" w:color="auto"/>
              <w:left w:val="nil"/>
              <w:bottom w:val="single" w:sz="4" w:space="0" w:color="auto"/>
              <w:right w:val="nil"/>
            </w:tcBorders>
            <w:hideMark/>
          </w:tcPr>
          <w:p w14:paraId="23586217"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No treatment</w:t>
            </w:r>
          </w:p>
        </w:tc>
        <w:tc>
          <w:tcPr>
            <w:tcW w:w="1580" w:type="dxa"/>
            <w:tcBorders>
              <w:top w:val="single" w:sz="4" w:space="0" w:color="auto"/>
              <w:left w:val="nil"/>
              <w:bottom w:val="single" w:sz="4" w:space="0" w:color="auto"/>
              <w:right w:val="nil"/>
            </w:tcBorders>
            <w:hideMark/>
          </w:tcPr>
          <w:p w14:paraId="10B7DA36"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The number of patients with nausea, vomiting</w:t>
            </w:r>
          </w:p>
        </w:tc>
        <w:tc>
          <w:tcPr>
            <w:tcW w:w="3669" w:type="dxa"/>
            <w:tcBorders>
              <w:top w:val="single" w:sz="4" w:space="0" w:color="auto"/>
              <w:left w:val="nil"/>
              <w:bottom w:val="single" w:sz="4" w:space="0" w:color="auto"/>
              <w:right w:val="nil"/>
            </w:tcBorders>
            <w:hideMark/>
          </w:tcPr>
          <w:p w14:paraId="783AF286"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EA treatment combined with intravenous anesthesia conducted before and after surgery is effective in promoting the recovery of gastrointestinal function in patients undergoing colorectal cancer laparotomy and is obviously better than simple pre-operative EA.</w:t>
            </w:r>
          </w:p>
        </w:tc>
        <w:tc>
          <w:tcPr>
            <w:tcW w:w="1724" w:type="dxa"/>
            <w:tcBorders>
              <w:top w:val="single" w:sz="4" w:space="0" w:color="auto"/>
              <w:left w:val="nil"/>
              <w:bottom w:val="single" w:sz="4" w:space="0" w:color="auto"/>
              <w:right w:val="nil"/>
            </w:tcBorders>
            <w:hideMark/>
          </w:tcPr>
          <w:p w14:paraId="087705A1"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None observed</w:t>
            </w:r>
          </w:p>
        </w:tc>
      </w:tr>
      <w:tr w:rsidR="00D8482F" w14:paraId="465FBBF4" w14:textId="77777777">
        <w:trPr>
          <w:trHeight w:val="1390"/>
          <w:jc w:val="center"/>
        </w:trPr>
        <w:tc>
          <w:tcPr>
            <w:tcW w:w="1237" w:type="dxa"/>
            <w:tcBorders>
              <w:top w:val="single" w:sz="4" w:space="0" w:color="auto"/>
              <w:left w:val="nil"/>
              <w:bottom w:val="single" w:sz="4" w:space="0" w:color="auto"/>
              <w:right w:val="nil"/>
            </w:tcBorders>
            <w:hideMark/>
          </w:tcPr>
          <w:p w14:paraId="2ED1A05A"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Wang </w:t>
            </w:r>
          </w:p>
          <w:p w14:paraId="3B016228"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2019 </w:t>
            </w:r>
            <w:r>
              <w:rPr>
                <w:rFonts w:ascii="Times New Roman" w:eastAsia="Times New Roman"/>
                <w:szCs w:val="20"/>
              </w:rPr>
              <w:fldChar w:fldCharType="begin"/>
            </w:r>
            <w:r>
              <w:rPr>
                <w:rFonts w:ascii="Times New Roman" w:eastAsia="Times New Roman"/>
                <w:szCs w:val="20"/>
              </w:rPr>
              <w:instrText xml:space="preserve"> ADDIN EN.CITE &lt;EndNote&gt;&lt;Cite&gt;&lt;Author&gt;Wang&lt;/Author&gt;&lt;Year&gt;2019&lt;/Year&gt;&lt;RecNum&gt;31&lt;/RecNum&gt;&lt;DisplayText&gt;(29)&lt;/DisplayText&gt;&lt;record&gt;&lt;rec-number&gt;31&lt;/rec-number&gt;&lt;foreign-keys&gt;&lt;key app="EN" db-id="rtpzt5stqfptepe5zwevd9sna9rx2axae2xr" timestamp="1717327802"&gt;31&lt;/key&gt;&lt;/foreign-keys&gt;&lt;ref-type name="Journal Article"&gt;17&lt;/ref-type&gt;&lt;contributors&gt;&lt;authors&gt;&lt;author&gt;Wang, Y. L.Li, J. X.Guo, X. Q.Fu, R. Y.Guan, X. J.&lt;/author&gt;&lt;/authors&gt;&lt;/contributors&gt;&lt;titles&gt;&lt;title&gt;Effect of acupuncture in different time on nausea and vomiting induced by chemotherapy of lung cancer&lt;/title&gt;&lt;secondary-title&gt;Zhongguo zhen jiu = Chinese acupuncture &amp;amp; moxibustion&lt;/secondary-title&gt;&lt;/titles&gt;&lt;periodical&gt;&lt;full-title&gt;Zhongguo zhen jiu = Chinese acupuncture &amp;amp; moxibustion&lt;/full-title&gt;&lt;/periodical&gt;&lt;pages&gt;1269-1273&lt;/pages&gt;&lt;volume&gt;39&lt;/volume&gt;&lt;number&gt;12&lt;/number&gt;&lt;keywords&gt;&lt;keyword&gt;acupunctureacupuncture pointcontrolled studyhumanlung tumornausearandomized controlled trialtreatment outcomevomiting&lt;/keyword&gt;&lt;/keywords&gt;&lt;dates&gt;&lt;year&gt;2019&lt;/year&gt;&lt;/dates&gt;&lt;isbn&gt;0255-2930&lt;/isbn&gt;&lt;work-type&gt;Article&lt;/work-type&gt;&lt;urls&gt;&lt;related-urls&gt;&lt;url&gt;https://www.embase.com/search/results?subaction=viewrecord&amp;amp;id=L637587829&amp;amp;from=exporthttp://dx.doi.org/10.13703/j.0255-2930.2019.12.004&lt;/url&gt;&lt;/related-urls&gt;&lt;/urls&gt;&lt;custom5&gt;31820600&lt;/custom5&gt;&lt;electronic-resource-num&gt;10.13703/j.0255-2930.2019.12.004&lt;/electronic-resource-num&gt;&lt;remote-database-name&gt;Medline&lt;/remote-database-name&gt;&lt;language&gt;Chinese&lt;/language&gt;&lt;/record&gt;&lt;/Cite&gt;&lt;/EndNote&gt;</w:instrText>
            </w:r>
            <w:r>
              <w:rPr>
                <w:rFonts w:ascii="Times New Roman" w:eastAsia="Times New Roman"/>
                <w:szCs w:val="20"/>
              </w:rPr>
              <w:fldChar w:fldCharType="separate"/>
            </w:r>
            <w:r>
              <w:rPr>
                <w:rFonts w:ascii="Times New Roman" w:eastAsia="Times New Roman"/>
                <w:noProof/>
                <w:szCs w:val="20"/>
              </w:rPr>
              <w:t>(</w:t>
            </w:r>
            <w:hyperlink w:anchor="_ENREF_29" w:tooltip="Wang, 2019 #31" w:history="1">
              <w:r>
                <w:rPr>
                  <w:rFonts w:ascii="Times New Roman" w:eastAsia="Times New Roman"/>
                  <w:noProof/>
                  <w:szCs w:val="20"/>
                </w:rPr>
                <w:t>29</w:t>
              </w:r>
            </w:hyperlink>
            <w:r>
              <w:rPr>
                <w:rFonts w:ascii="Times New Roman" w:eastAsia="Times New Roman"/>
                <w:noProof/>
                <w:szCs w:val="20"/>
              </w:rPr>
              <w:t>)</w:t>
            </w:r>
            <w:r>
              <w:rPr>
                <w:rFonts w:ascii="Times New Roman" w:eastAsia="Times New Roman"/>
                <w:szCs w:val="20"/>
              </w:rPr>
              <w:fldChar w:fldCharType="end"/>
            </w:r>
          </w:p>
        </w:tc>
        <w:tc>
          <w:tcPr>
            <w:tcW w:w="848" w:type="dxa"/>
            <w:tcBorders>
              <w:top w:val="single" w:sz="4" w:space="0" w:color="auto"/>
              <w:left w:val="nil"/>
              <w:bottom w:val="single" w:sz="4" w:space="0" w:color="auto"/>
              <w:right w:val="nil"/>
            </w:tcBorders>
            <w:hideMark/>
          </w:tcPr>
          <w:p w14:paraId="3F1F5A9E"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China</w:t>
            </w:r>
          </w:p>
        </w:tc>
        <w:tc>
          <w:tcPr>
            <w:tcW w:w="1320" w:type="dxa"/>
            <w:tcBorders>
              <w:top w:val="single" w:sz="4" w:space="0" w:color="auto"/>
              <w:left w:val="nil"/>
              <w:bottom w:val="single" w:sz="4" w:space="0" w:color="auto"/>
              <w:right w:val="nil"/>
            </w:tcBorders>
            <w:hideMark/>
          </w:tcPr>
          <w:p w14:paraId="30E4412E"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Lung cancer</w:t>
            </w:r>
          </w:p>
        </w:tc>
        <w:tc>
          <w:tcPr>
            <w:tcW w:w="1401" w:type="dxa"/>
            <w:tcBorders>
              <w:top w:val="single" w:sz="4" w:space="0" w:color="auto"/>
              <w:left w:val="nil"/>
              <w:bottom w:val="single" w:sz="4" w:space="0" w:color="auto"/>
              <w:right w:val="nil"/>
            </w:tcBorders>
            <w:hideMark/>
          </w:tcPr>
          <w:p w14:paraId="3FA55D20"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Chemotherapy </w:t>
            </w:r>
          </w:p>
        </w:tc>
        <w:tc>
          <w:tcPr>
            <w:tcW w:w="667" w:type="dxa"/>
            <w:tcBorders>
              <w:top w:val="single" w:sz="4" w:space="0" w:color="auto"/>
              <w:left w:val="nil"/>
              <w:bottom w:val="single" w:sz="4" w:space="0" w:color="auto"/>
              <w:right w:val="nil"/>
            </w:tcBorders>
            <w:hideMark/>
          </w:tcPr>
          <w:p w14:paraId="45F25F2E"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140</w:t>
            </w:r>
          </w:p>
        </w:tc>
        <w:tc>
          <w:tcPr>
            <w:tcW w:w="667" w:type="dxa"/>
            <w:tcBorders>
              <w:top w:val="single" w:sz="4" w:space="0" w:color="auto"/>
              <w:left w:val="nil"/>
              <w:bottom w:val="single" w:sz="4" w:space="0" w:color="auto"/>
              <w:right w:val="nil"/>
            </w:tcBorders>
            <w:hideMark/>
          </w:tcPr>
          <w:p w14:paraId="7E3A3748"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54</w:t>
            </w:r>
          </w:p>
        </w:tc>
        <w:tc>
          <w:tcPr>
            <w:tcW w:w="1137" w:type="dxa"/>
            <w:tcBorders>
              <w:top w:val="single" w:sz="4" w:space="0" w:color="auto"/>
              <w:left w:val="nil"/>
              <w:bottom w:val="single" w:sz="4" w:space="0" w:color="auto"/>
              <w:right w:val="nil"/>
            </w:tcBorders>
            <w:hideMark/>
          </w:tcPr>
          <w:p w14:paraId="1A67C19D"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AT+PT </w:t>
            </w:r>
          </w:p>
          <w:p w14:paraId="197B72A3"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(1) before chemotherapy </w:t>
            </w:r>
          </w:p>
          <w:p w14:paraId="2FE99F72"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(2) after chemotherapy</w:t>
            </w:r>
          </w:p>
        </w:tc>
        <w:tc>
          <w:tcPr>
            <w:tcW w:w="1073" w:type="dxa"/>
            <w:tcBorders>
              <w:top w:val="single" w:sz="4" w:space="0" w:color="auto"/>
              <w:left w:val="nil"/>
              <w:bottom w:val="single" w:sz="4" w:space="0" w:color="auto"/>
              <w:right w:val="nil"/>
            </w:tcBorders>
            <w:hideMark/>
          </w:tcPr>
          <w:p w14:paraId="3096B627"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PT</w:t>
            </w:r>
          </w:p>
        </w:tc>
        <w:tc>
          <w:tcPr>
            <w:tcW w:w="1580" w:type="dxa"/>
            <w:tcBorders>
              <w:top w:val="single" w:sz="4" w:space="0" w:color="auto"/>
              <w:left w:val="nil"/>
              <w:bottom w:val="single" w:sz="4" w:space="0" w:color="auto"/>
              <w:right w:val="nil"/>
            </w:tcBorders>
            <w:hideMark/>
          </w:tcPr>
          <w:p w14:paraId="20D6B290"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Effective rate, Karnofsky performance scale</w:t>
            </w:r>
          </w:p>
        </w:tc>
        <w:tc>
          <w:tcPr>
            <w:tcW w:w="3669" w:type="dxa"/>
            <w:tcBorders>
              <w:top w:val="single" w:sz="4" w:space="0" w:color="auto"/>
              <w:left w:val="nil"/>
              <w:bottom w:val="single" w:sz="4" w:space="0" w:color="auto"/>
              <w:right w:val="nil"/>
            </w:tcBorders>
            <w:hideMark/>
          </w:tcPr>
          <w:p w14:paraId="678D0139"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AT combined with the slow intravenous injection of tropisetron hydrochloride achieves a satisfactory effect in prevention and treatment. AT before chemotherapy greatly improves the effect on the NV induced by chemotherapy of lung cancer.</w:t>
            </w:r>
          </w:p>
        </w:tc>
        <w:tc>
          <w:tcPr>
            <w:tcW w:w="1724" w:type="dxa"/>
            <w:tcBorders>
              <w:top w:val="single" w:sz="4" w:space="0" w:color="auto"/>
              <w:left w:val="nil"/>
              <w:bottom w:val="single" w:sz="4" w:space="0" w:color="auto"/>
              <w:right w:val="nil"/>
            </w:tcBorders>
            <w:hideMark/>
          </w:tcPr>
          <w:p w14:paraId="2774C96A"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Minor adverse events (dizziness)</w:t>
            </w:r>
          </w:p>
        </w:tc>
      </w:tr>
      <w:tr w:rsidR="00D8482F" w14:paraId="318044CD" w14:textId="77777777">
        <w:trPr>
          <w:trHeight w:val="1160"/>
          <w:jc w:val="center"/>
        </w:trPr>
        <w:tc>
          <w:tcPr>
            <w:tcW w:w="1237" w:type="dxa"/>
            <w:tcBorders>
              <w:top w:val="single" w:sz="4" w:space="0" w:color="auto"/>
              <w:left w:val="nil"/>
              <w:bottom w:val="single" w:sz="4" w:space="0" w:color="auto"/>
              <w:right w:val="nil"/>
            </w:tcBorders>
            <w:hideMark/>
          </w:tcPr>
          <w:p w14:paraId="61BA4E50"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Li </w:t>
            </w:r>
          </w:p>
          <w:p w14:paraId="435B48A0"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2020 </w:t>
            </w:r>
            <w:r>
              <w:rPr>
                <w:rFonts w:ascii="Times New Roman" w:eastAsia="Times New Roman"/>
                <w:szCs w:val="20"/>
              </w:rPr>
              <w:fldChar w:fldCharType="begin"/>
            </w:r>
            <w:r>
              <w:rPr>
                <w:rFonts w:ascii="Times New Roman" w:eastAsia="Times New Roman"/>
                <w:szCs w:val="20"/>
              </w:rPr>
              <w:instrText xml:space="preserve"> ADDIN EN.CITE &lt;EndNote&gt;&lt;Cite&gt;&lt;Author&gt;Li&lt;/Author&gt;&lt;Year&gt;2020&lt;/Year&gt;&lt;RecNum&gt;2&lt;/RecNum&gt;&lt;DisplayText&gt;(30)&lt;/DisplayText&gt;&lt;record&gt;&lt;rec-number&gt;2&lt;/rec-number&gt;&lt;foreign-keys&gt;&lt;key app="EN" db-id="v9zxpprsz9xd95evfa5psvzp92fet9swfzax" timestamp="1721739869"&gt;2&lt;/key&gt;&lt;/foreign-keys&gt;&lt;ref-type name="Journal Article"&gt;17&lt;/ref-type&gt;&lt;contributors&gt;&lt;authors&gt;&lt;author&gt;Li, Qi-Wei&lt;/author&gt;&lt;author&gt;Yu, Ming-Wei&lt;/author&gt;&lt;author&gt;Wang, Xiao-Min&lt;/author&gt;&lt;author&gt;Yang, Guo-Wang&lt;/author&gt;&lt;author&gt;Wang, Huan&lt;/author&gt;&lt;author&gt;Zhang, Chen-Xi&lt;/author&gt;&lt;author&gt;Xue, Na&lt;/author&gt;&lt;author&gt;Xu, Wei-Ru&lt;/author&gt;&lt;author&gt;Zhang, Yi&lt;/author&gt;&lt;author&gt;Cheng, Pei-Yu&lt;/author&gt;&lt;/authors&gt;&lt;/contributors&gt;&lt;titles&gt;&lt;title&gt;Efficacy of acupuncture in the prevention and treatment of chemotherapy-induced nausea and vomiting in patients with advanced cancer: a multi-center, single-blind, randomized, sham-controlled clinical research&lt;/title&gt;&lt;secondary-title&gt;Chinese medicine&lt;/secondary-title&gt;&lt;/titles&gt;&lt;periodical&gt;&lt;full-title&gt;Chinese medicine&lt;/full-title&gt;&lt;/periodical&gt;&lt;pages&gt;1-11&lt;/pages&gt;&lt;volume&gt;15&lt;/volume&gt;&lt;dates&gt;&lt;year&gt;2020&lt;/year&gt;&lt;/dates&gt;&lt;urls&gt;&lt;/urls&gt;&lt;/record&gt;&lt;/Cite&gt;&lt;/EndNote&gt;</w:instrText>
            </w:r>
            <w:r>
              <w:rPr>
                <w:rFonts w:ascii="Times New Roman" w:eastAsia="Times New Roman"/>
                <w:szCs w:val="20"/>
              </w:rPr>
              <w:fldChar w:fldCharType="separate"/>
            </w:r>
            <w:r>
              <w:rPr>
                <w:rFonts w:ascii="Times New Roman" w:eastAsia="Times New Roman"/>
                <w:noProof/>
                <w:szCs w:val="20"/>
              </w:rPr>
              <w:t>(</w:t>
            </w:r>
            <w:hyperlink w:anchor="_ENREF_30" w:tooltip="Li, 2020 #2" w:history="1">
              <w:r>
                <w:rPr>
                  <w:rFonts w:ascii="Times New Roman" w:eastAsia="Times New Roman"/>
                  <w:noProof/>
                  <w:szCs w:val="20"/>
                </w:rPr>
                <w:t>30</w:t>
              </w:r>
            </w:hyperlink>
            <w:r>
              <w:rPr>
                <w:rFonts w:ascii="Times New Roman" w:eastAsia="Times New Roman"/>
                <w:noProof/>
                <w:szCs w:val="20"/>
              </w:rPr>
              <w:t>)</w:t>
            </w:r>
            <w:r>
              <w:rPr>
                <w:rFonts w:ascii="Times New Roman" w:eastAsia="Times New Roman"/>
                <w:szCs w:val="20"/>
              </w:rPr>
              <w:fldChar w:fldCharType="end"/>
            </w:r>
          </w:p>
        </w:tc>
        <w:tc>
          <w:tcPr>
            <w:tcW w:w="848" w:type="dxa"/>
            <w:tcBorders>
              <w:top w:val="single" w:sz="4" w:space="0" w:color="auto"/>
              <w:left w:val="nil"/>
              <w:bottom w:val="single" w:sz="4" w:space="0" w:color="auto"/>
              <w:right w:val="nil"/>
            </w:tcBorders>
            <w:hideMark/>
          </w:tcPr>
          <w:p w14:paraId="1FFDFBBE"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China</w:t>
            </w:r>
          </w:p>
        </w:tc>
        <w:tc>
          <w:tcPr>
            <w:tcW w:w="1320" w:type="dxa"/>
            <w:tcBorders>
              <w:top w:val="single" w:sz="4" w:space="0" w:color="auto"/>
              <w:left w:val="nil"/>
              <w:bottom w:val="single" w:sz="4" w:space="0" w:color="auto"/>
              <w:right w:val="nil"/>
            </w:tcBorders>
            <w:hideMark/>
          </w:tcPr>
          <w:p w14:paraId="6DAF64CA"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Breast, ovarian, cervical, endometrial, lung cancer, etc.</w:t>
            </w:r>
          </w:p>
        </w:tc>
        <w:tc>
          <w:tcPr>
            <w:tcW w:w="1401" w:type="dxa"/>
            <w:tcBorders>
              <w:top w:val="single" w:sz="4" w:space="0" w:color="auto"/>
              <w:left w:val="nil"/>
              <w:bottom w:val="single" w:sz="4" w:space="0" w:color="auto"/>
              <w:right w:val="nil"/>
            </w:tcBorders>
            <w:hideMark/>
          </w:tcPr>
          <w:p w14:paraId="7CBA7F22"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Chemotherapy (Cisplatinum, anthracycline, taxane)</w:t>
            </w:r>
          </w:p>
        </w:tc>
        <w:tc>
          <w:tcPr>
            <w:tcW w:w="667" w:type="dxa"/>
            <w:tcBorders>
              <w:top w:val="single" w:sz="4" w:space="0" w:color="auto"/>
              <w:left w:val="nil"/>
              <w:bottom w:val="single" w:sz="4" w:space="0" w:color="auto"/>
              <w:right w:val="nil"/>
            </w:tcBorders>
            <w:hideMark/>
          </w:tcPr>
          <w:p w14:paraId="19AC2EF8"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134</w:t>
            </w:r>
          </w:p>
        </w:tc>
        <w:tc>
          <w:tcPr>
            <w:tcW w:w="667" w:type="dxa"/>
            <w:tcBorders>
              <w:top w:val="single" w:sz="4" w:space="0" w:color="auto"/>
              <w:left w:val="nil"/>
              <w:bottom w:val="single" w:sz="4" w:space="0" w:color="auto"/>
              <w:right w:val="nil"/>
            </w:tcBorders>
            <w:hideMark/>
          </w:tcPr>
          <w:p w14:paraId="7D929E0E"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59</w:t>
            </w:r>
          </w:p>
        </w:tc>
        <w:tc>
          <w:tcPr>
            <w:tcW w:w="1137" w:type="dxa"/>
            <w:tcBorders>
              <w:top w:val="single" w:sz="4" w:space="0" w:color="auto"/>
              <w:left w:val="nil"/>
              <w:bottom w:val="single" w:sz="4" w:space="0" w:color="auto"/>
              <w:right w:val="nil"/>
            </w:tcBorders>
            <w:hideMark/>
          </w:tcPr>
          <w:p w14:paraId="7CC6879A"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EA+PT</w:t>
            </w:r>
          </w:p>
        </w:tc>
        <w:tc>
          <w:tcPr>
            <w:tcW w:w="1073" w:type="dxa"/>
            <w:tcBorders>
              <w:top w:val="single" w:sz="4" w:space="0" w:color="auto"/>
              <w:left w:val="nil"/>
              <w:bottom w:val="single" w:sz="4" w:space="0" w:color="auto"/>
              <w:right w:val="nil"/>
            </w:tcBorders>
            <w:hideMark/>
          </w:tcPr>
          <w:p w14:paraId="674D1D59"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SEA+PT</w:t>
            </w:r>
          </w:p>
        </w:tc>
        <w:tc>
          <w:tcPr>
            <w:tcW w:w="1580" w:type="dxa"/>
            <w:tcBorders>
              <w:top w:val="single" w:sz="4" w:space="0" w:color="auto"/>
              <w:left w:val="nil"/>
              <w:bottom w:val="single" w:sz="4" w:space="0" w:color="auto"/>
              <w:right w:val="nil"/>
            </w:tcBorders>
            <w:hideMark/>
          </w:tcPr>
          <w:p w14:paraId="146BC9A9"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Complete control rate, common terminology criteria for </w:t>
            </w:r>
          </w:p>
          <w:p w14:paraId="06240235"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adverse events</w:t>
            </w:r>
          </w:p>
        </w:tc>
        <w:tc>
          <w:tcPr>
            <w:tcW w:w="3669" w:type="dxa"/>
            <w:tcBorders>
              <w:top w:val="single" w:sz="4" w:space="0" w:color="auto"/>
              <w:left w:val="nil"/>
              <w:bottom w:val="single" w:sz="4" w:space="0" w:color="auto"/>
              <w:right w:val="nil"/>
            </w:tcBorders>
            <w:hideMark/>
          </w:tcPr>
          <w:p w14:paraId="2E756C5E"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AT as an adjunctive approach could alleviate the severity of CINV compared to the sham control, even though the effect of AT in preventing CINV occurrence is relatively modest.</w:t>
            </w:r>
          </w:p>
        </w:tc>
        <w:tc>
          <w:tcPr>
            <w:tcW w:w="1724" w:type="dxa"/>
            <w:tcBorders>
              <w:top w:val="single" w:sz="4" w:space="0" w:color="auto"/>
              <w:left w:val="nil"/>
              <w:bottom w:val="single" w:sz="4" w:space="0" w:color="auto"/>
              <w:right w:val="nil"/>
            </w:tcBorders>
            <w:hideMark/>
          </w:tcPr>
          <w:p w14:paraId="69CB2611"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None observed</w:t>
            </w:r>
          </w:p>
        </w:tc>
      </w:tr>
      <w:tr w:rsidR="00D8482F" w14:paraId="59B84C41" w14:textId="77777777">
        <w:trPr>
          <w:trHeight w:val="1390"/>
          <w:jc w:val="center"/>
        </w:trPr>
        <w:tc>
          <w:tcPr>
            <w:tcW w:w="1237" w:type="dxa"/>
            <w:tcBorders>
              <w:top w:val="single" w:sz="4" w:space="0" w:color="auto"/>
              <w:left w:val="nil"/>
              <w:bottom w:val="single" w:sz="4" w:space="0" w:color="auto"/>
              <w:right w:val="nil"/>
            </w:tcBorders>
            <w:hideMark/>
          </w:tcPr>
          <w:p w14:paraId="20DC3228"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Cheng </w:t>
            </w:r>
          </w:p>
          <w:p w14:paraId="3A7CFF86"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2020 </w:t>
            </w:r>
            <w:r>
              <w:rPr>
                <w:rFonts w:ascii="Times New Roman" w:eastAsia="Times New Roman"/>
                <w:szCs w:val="20"/>
              </w:rPr>
              <w:fldChar w:fldCharType="begin"/>
            </w:r>
            <w:r>
              <w:rPr>
                <w:rFonts w:ascii="Times New Roman" w:eastAsia="Times New Roman"/>
                <w:szCs w:val="20"/>
              </w:rPr>
              <w:instrText xml:space="preserve"> ADDIN EN.CITE </w:instrText>
            </w:r>
            <w:r>
              <w:rPr>
                <w:rFonts w:ascii="Times New Roman" w:eastAsia="Times New Roman"/>
                <w:szCs w:val="20"/>
              </w:rPr>
              <w:fldChar w:fldCharType="begin"/>
            </w:r>
            <w:r>
              <w:rPr>
                <w:rFonts w:ascii="Times New Roman" w:eastAsia="Times New Roman"/>
                <w:szCs w:val="20"/>
              </w:rPr>
              <w:instrText xml:space="preserve"> ADDIN EN.CITE.DATA </w:instrText>
            </w:r>
            <w:r>
              <w:rPr>
                <w:rFonts w:ascii="Times New Roman" w:eastAsia="Times New Roman"/>
                <w:szCs w:val="20"/>
              </w:rPr>
              <w:fldChar w:fldCharType="end"/>
            </w:r>
            <w:r>
              <w:rPr>
                <w:rFonts w:ascii="Times New Roman" w:eastAsia="Times New Roman"/>
                <w:szCs w:val="20"/>
              </w:rPr>
              <w:fldChar w:fldCharType="separate"/>
            </w:r>
            <w:r>
              <w:rPr>
                <w:rFonts w:ascii="Times New Roman" w:eastAsia="Times New Roman"/>
                <w:noProof/>
                <w:szCs w:val="20"/>
              </w:rPr>
              <w:t>(</w:t>
            </w:r>
            <w:hyperlink w:anchor="_ENREF_31" w:tooltip="Li, 2020 #32" w:history="1">
              <w:r>
                <w:rPr>
                  <w:rFonts w:ascii="Times New Roman" w:eastAsia="Times New Roman"/>
                  <w:noProof/>
                  <w:szCs w:val="20"/>
                </w:rPr>
                <w:t>31</w:t>
              </w:r>
            </w:hyperlink>
            <w:r>
              <w:rPr>
                <w:rFonts w:ascii="Times New Roman" w:eastAsia="Times New Roman"/>
                <w:noProof/>
                <w:szCs w:val="20"/>
              </w:rPr>
              <w:t>)</w:t>
            </w:r>
            <w:r>
              <w:rPr>
                <w:rFonts w:ascii="Times New Roman" w:eastAsia="Times New Roman"/>
                <w:szCs w:val="20"/>
              </w:rPr>
              <w:fldChar w:fldCharType="end"/>
            </w:r>
          </w:p>
        </w:tc>
        <w:tc>
          <w:tcPr>
            <w:tcW w:w="848" w:type="dxa"/>
            <w:tcBorders>
              <w:top w:val="single" w:sz="4" w:space="0" w:color="auto"/>
              <w:left w:val="nil"/>
              <w:bottom w:val="single" w:sz="4" w:space="0" w:color="auto"/>
              <w:right w:val="nil"/>
            </w:tcBorders>
            <w:hideMark/>
          </w:tcPr>
          <w:p w14:paraId="68638D19"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China</w:t>
            </w:r>
          </w:p>
        </w:tc>
        <w:tc>
          <w:tcPr>
            <w:tcW w:w="1320" w:type="dxa"/>
            <w:tcBorders>
              <w:top w:val="single" w:sz="4" w:space="0" w:color="auto"/>
              <w:left w:val="nil"/>
              <w:bottom w:val="single" w:sz="4" w:space="0" w:color="auto"/>
              <w:right w:val="nil"/>
            </w:tcBorders>
            <w:hideMark/>
          </w:tcPr>
          <w:p w14:paraId="4E28D49E"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Lung cancer</w:t>
            </w:r>
          </w:p>
        </w:tc>
        <w:tc>
          <w:tcPr>
            <w:tcW w:w="1401" w:type="dxa"/>
            <w:tcBorders>
              <w:top w:val="single" w:sz="4" w:space="0" w:color="auto"/>
              <w:left w:val="nil"/>
              <w:bottom w:val="single" w:sz="4" w:space="0" w:color="auto"/>
              <w:right w:val="nil"/>
            </w:tcBorders>
            <w:hideMark/>
          </w:tcPr>
          <w:p w14:paraId="0F7197C1"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Chemotherapy(cisplatin)</w:t>
            </w:r>
          </w:p>
        </w:tc>
        <w:tc>
          <w:tcPr>
            <w:tcW w:w="667" w:type="dxa"/>
            <w:tcBorders>
              <w:top w:val="single" w:sz="4" w:space="0" w:color="auto"/>
              <w:left w:val="nil"/>
              <w:bottom w:val="single" w:sz="4" w:space="0" w:color="auto"/>
              <w:right w:val="nil"/>
            </w:tcBorders>
            <w:hideMark/>
          </w:tcPr>
          <w:p w14:paraId="13D77F3D"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100</w:t>
            </w:r>
          </w:p>
        </w:tc>
        <w:tc>
          <w:tcPr>
            <w:tcW w:w="667" w:type="dxa"/>
            <w:tcBorders>
              <w:top w:val="single" w:sz="4" w:space="0" w:color="auto"/>
              <w:left w:val="nil"/>
              <w:bottom w:val="single" w:sz="4" w:space="0" w:color="auto"/>
              <w:right w:val="nil"/>
            </w:tcBorders>
            <w:hideMark/>
          </w:tcPr>
          <w:p w14:paraId="4D38FC82"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59</w:t>
            </w:r>
          </w:p>
        </w:tc>
        <w:tc>
          <w:tcPr>
            <w:tcW w:w="1137" w:type="dxa"/>
            <w:tcBorders>
              <w:top w:val="single" w:sz="4" w:space="0" w:color="auto"/>
              <w:left w:val="nil"/>
              <w:bottom w:val="single" w:sz="4" w:space="0" w:color="auto"/>
              <w:right w:val="nil"/>
            </w:tcBorders>
            <w:hideMark/>
          </w:tcPr>
          <w:p w14:paraId="1E3BEDA8"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AT+PT </w:t>
            </w:r>
          </w:p>
          <w:p w14:paraId="7C19051E"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(1) before chemotherapy </w:t>
            </w:r>
          </w:p>
          <w:p w14:paraId="66E64DDA"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(2) after chemotherapy</w:t>
            </w:r>
          </w:p>
        </w:tc>
        <w:tc>
          <w:tcPr>
            <w:tcW w:w="1073" w:type="dxa"/>
            <w:tcBorders>
              <w:top w:val="single" w:sz="4" w:space="0" w:color="auto"/>
              <w:left w:val="nil"/>
              <w:bottom w:val="single" w:sz="4" w:space="0" w:color="auto"/>
              <w:right w:val="nil"/>
            </w:tcBorders>
            <w:hideMark/>
          </w:tcPr>
          <w:p w14:paraId="2C458B13"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PT</w:t>
            </w:r>
          </w:p>
        </w:tc>
        <w:tc>
          <w:tcPr>
            <w:tcW w:w="1580" w:type="dxa"/>
            <w:tcBorders>
              <w:top w:val="single" w:sz="4" w:space="0" w:color="auto"/>
              <w:left w:val="nil"/>
              <w:bottom w:val="single" w:sz="4" w:space="0" w:color="auto"/>
              <w:right w:val="nil"/>
            </w:tcBorders>
            <w:hideMark/>
          </w:tcPr>
          <w:p w14:paraId="02F51A71"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INVR, national cancer institute common toxicity criteria 4.0</w:t>
            </w:r>
          </w:p>
        </w:tc>
        <w:tc>
          <w:tcPr>
            <w:tcW w:w="3669" w:type="dxa"/>
            <w:tcBorders>
              <w:top w:val="single" w:sz="4" w:space="0" w:color="auto"/>
              <w:left w:val="nil"/>
              <w:bottom w:val="single" w:sz="4" w:space="0" w:color="auto"/>
              <w:right w:val="nil"/>
            </w:tcBorders>
            <w:hideMark/>
          </w:tcPr>
          <w:p w14:paraId="10041FEB"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AT before chemotherapy can effectively reduce the frequency of NV associated with cisplatin chemotherapy in lung cancer patients, improve the effectiveness of CINV treatment, and can be widely promoted in clinics.</w:t>
            </w:r>
          </w:p>
        </w:tc>
        <w:tc>
          <w:tcPr>
            <w:tcW w:w="1724" w:type="dxa"/>
            <w:tcBorders>
              <w:top w:val="single" w:sz="4" w:space="0" w:color="auto"/>
              <w:left w:val="nil"/>
              <w:bottom w:val="single" w:sz="4" w:space="0" w:color="auto"/>
              <w:right w:val="nil"/>
            </w:tcBorders>
            <w:hideMark/>
          </w:tcPr>
          <w:p w14:paraId="09493D10"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Not mentioned</w:t>
            </w:r>
          </w:p>
        </w:tc>
      </w:tr>
      <w:tr w:rsidR="00D8482F" w14:paraId="3D97A0C1" w14:textId="77777777">
        <w:trPr>
          <w:trHeight w:val="1390"/>
          <w:jc w:val="center"/>
        </w:trPr>
        <w:tc>
          <w:tcPr>
            <w:tcW w:w="1237" w:type="dxa"/>
            <w:tcBorders>
              <w:top w:val="single" w:sz="4" w:space="0" w:color="auto"/>
              <w:left w:val="nil"/>
              <w:bottom w:val="single" w:sz="4" w:space="0" w:color="auto"/>
              <w:right w:val="nil"/>
            </w:tcBorders>
            <w:hideMark/>
          </w:tcPr>
          <w:p w14:paraId="0E52315C"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Maeng </w:t>
            </w:r>
          </w:p>
          <w:p w14:paraId="023C3E70"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2022 </w:t>
            </w:r>
            <w:r>
              <w:rPr>
                <w:rFonts w:ascii="Times New Roman" w:eastAsia="Times New Roman"/>
                <w:szCs w:val="20"/>
              </w:rPr>
              <w:fldChar w:fldCharType="begin"/>
            </w:r>
            <w:r>
              <w:rPr>
                <w:rFonts w:ascii="Times New Roman" w:eastAsia="Times New Roman"/>
                <w:szCs w:val="20"/>
              </w:rPr>
              <w:instrText xml:space="preserve"> ADDIN EN.CITE &lt;EndNote&gt;&lt;Cite&gt;&lt;Author&gt;Maeng&lt;/Author&gt;&lt;Year&gt;2022&lt;/Year&gt;&lt;RecNum&gt;34&lt;/RecNum&gt;&lt;DisplayText&gt;(32)&lt;/DisplayText&gt;&lt;record&gt;&lt;rec-number&gt;34&lt;/rec-number&gt;&lt;foreign-keys&gt;&lt;key app="EN" db-id="rtpzt5stqfptepe5zwevd9sna9rx2axae2xr" timestamp="1717327802"&gt;34&lt;/key&gt;&lt;/foreign-keys&gt;&lt;ref-type name="Journal Article"&gt;17&lt;/ref-type&gt;&lt;contributors&gt;&lt;authors&gt;&lt;author&gt;Maeng, C. H.Lee, S.Han, J. J.Kim, H. J.Nam, D.Lee, J.Baek, S. K.&lt;/author&gt;&lt;/authors&gt;&lt;/contributors&gt;&lt;auth-address&gt;S.K. Baek, Division of Medical Oncology-Hematology, Department of Internal Medicine, Kyung Hee University Hospital, Kyung Hee University College of Medicine, Seoul, South Korea&lt;/auth-address&gt;&lt;titles&gt;&lt;title&gt;Effect of Acupuncture on Delayed Emesis for the Patients Who Received High-Emetogenic Chemotherapy with Standard Antiemetic Prophylaxis (KHMC-HO-01): An Open-Label, Randomized Study&lt;/title&gt;&lt;secondary-title&gt;Evidence-based Complementary and Alternative Medicine&lt;/secondary-title&gt;&lt;/titles&gt;&lt;periodical&gt;&lt;full-title&gt;Evidence-based Complementary and Alternative Medicine&lt;/full-title&gt;&lt;/periodical&gt;&lt;volume&gt;2022&lt;/volume&gt;&lt;keywords&gt;&lt;keyword&gt;KCT0006477acupuncture needledisposable equipmentanthracyclineaprepitantcisplatincyclophosphamidedexamethasonedoxorubicinlorazepammetoclopramideramosetronacupunctureadjuvant chemotherapyadultagedarticlebreast cancercancer chemotherapychemotherapy induced&lt;/keyword&gt;&lt;/keywords&gt;&lt;dates&gt;&lt;year&gt;2022&lt;/year&gt;&lt;/dates&gt;&lt;isbn&gt;1741-42881741-427X&lt;/isbn&gt;&lt;work-type&gt;Article&lt;/work-type&gt;&lt;urls&gt;&lt;related-urls&gt;&lt;url&gt;https://www.embase.com/search/results?subaction=viewrecord&amp;amp;id=L2017777533&amp;amp;from=exporthttp://dx.doi.org/10.1155/2022/9688727&lt;/url&gt;&lt;/related-urls&gt;&lt;/urls&gt;&lt;custom4&gt;DongBang Acupuncture(South Korea)&lt;/custom4&gt;&lt;electronic-resource-num&gt;10.1155/2022/9688727&lt;/electronic-resource-num&gt;&lt;remote-database-name&gt;Embase&lt;/remote-database-name&gt;&lt;language&gt;English&lt;/language&gt;&lt;/record&gt;&lt;/Cite&gt;&lt;/EndNote&gt;</w:instrText>
            </w:r>
            <w:r>
              <w:rPr>
                <w:rFonts w:ascii="Times New Roman" w:eastAsia="Times New Roman"/>
                <w:szCs w:val="20"/>
              </w:rPr>
              <w:fldChar w:fldCharType="separate"/>
            </w:r>
            <w:r>
              <w:rPr>
                <w:rFonts w:ascii="Times New Roman" w:eastAsia="Times New Roman"/>
                <w:noProof/>
                <w:szCs w:val="20"/>
              </w:rPr>
              <w:t>(</w:t>
            </w:r>
            <w:hyperlink w:anchor="_ENREF_32" w:tooltip="Maeng, 2022 #34" w:history="1">
              <w:r>
                <w:rPr>
                  <w:rFonts w:ascii="Times New Roman" w:eastAsia="Times New Roman"/>
                  <w:noProof/>
                  <w:szCs w:val="20"/>
                </w:rPr>
                <w:t>32</w:t>
              </w:r>
            </w:hyperlink>
            <w:r>
              <w:rPr>
                <w:rFonts w:ascii="Times New Roman" w:eastAsia="Times New Roman"/>
                <w:noProof/>
                <w:szCs w:val="20"/>
              </w:rPr>
              <w:t>)</w:t>
            </w:r>
            <w:r>
              <w:rPr>
                <w:rFonts w:ascii="Times New Roman" w:eastAsia="Times New Roman"/>
                <w:szCs w:val="20"/>
              </w:rPr>
              <w:fldChar w:fldCharType="end"/>
            </w:r>
          </w:p>
        </w:tc>
        <w:tc>
          <w:tcPr>
            <w:tcW w:w="848" w:type="dxa"/>
            <w:tcBorders>
              <w:top w:val="single" w:sz="4" w:space="0" w:color="auto"/>
              <w:left w:val="nil"/>
              <w:bottom w:val="single" w:sz="4" w:space="0" w:color="auto"/>
              <w:right w:val="nil"/>
            </w:tcBorders>
            <w:hideMark/>
          </w:tcPr>
          <w:p w14:paraId="5C340203"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Korea</w:t>
            </w:r>
          </w:p>
        </w:tc>
        <w:tc>
          <w:tcPr>
            <w:tcW w:w="1320" w:type="dxa"/>
            <w:tcBorders>
              <w:top w:val="single" w:sz="4" w:space="0" w:color="auto"/>
              <w:left w:val="nil"/>
              <w:bottom w:val="single" w:sz="4" w:space="0" w:color="auto"/>
              <w:right w:val="nil"/>
            </w:tcBorders>
            <w:hideMark/>
          </w:tcPr>
          <w:p w14:paraId="523E1731"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Solid tumor</w:t>
            </w:r>
          </w:p>
        </w:tc>
        <w:tc>
          <w:tcPr>
            <w:tcW w:w="1401" w:type="dxa"/>
            <w:tcBorders>
              <w:top w:val="single" w:sz="4" w:space="0" w:color="auto"/>
              <w:left w:val="nil"/>
              <w:bottom w:val="single" w:sz="4" w:space="0" w:color="auto"/>
              <w:right w:val="nil"/>
            </w:tcBorders>
            <w:hideMark/>
          </w:tcPr>
          <w:p w14:paraId="330C8513"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Chemotherapy (Cisplatin, doxorubicin, cyclophosphamide)</w:t>
            </w:r>
          </w:p>
        </w:tc>
        <w:tc>
          <w:tcPr>
            <w:tcW w:w="667" w:type="dxa"/>
            <w:tcBorders>
              <w:top w:val="single" w:sz="4" w:space="0" w:color="auto"/>
              <w:left w:val="nil"/>
              <w:bottom w:val="single" w:sz="4" w:space="0" w:color="auto"/>
              <w:right w:val="nil"/>
            </w:tcBorders>
            <w:hideMark/>
          </w:tcPr>
          <w:p w14:paraId="0259EE51"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42</w:t>
            </w:r>
          </w:p>
        </w:tc>
        <w:tc>
          <w:tcPr>
            <w:tcW w:w="667" w:type="dxa"/>
            <w:tcBorders>
              <w:top w:val="single" w:sz="4" w:space="0" w:color="auto"/>
              <w:left w:val="nil"/>
              <w:bottom w:val="single" w:sz="4" w:space="0" w:color="auto"/>
              <w:right w:val="nil"/>
            </w:tcBorders>
            <w:hideMark/>
          </w:tcPr>
          <w:p w14:paraId="4F1846AF"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64</w:t>
            </w:r>
          </w:p>
        </w:tc>
        <w:tc>
          <w:tcPr>
            <w:tcW w:w="1137" w:type="dxa"/>
            <w:tcBorders>
              <w:top w:val="single" w:sz="4" w:space="0" w:color="auto"/>
              <w:left w:val="nil"/>
              <w:bottom w:val="single" w:sz="4" w:space="0" w:color="auto"/>
              <w:right w:val="nil"/>
            </w:tcBorders>
            <w:hideMark/>
          </w:tcPr>
          <w:p w14:paraId="715C7653"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AT+PT</w:t>
            </w:r>
          </w:p>
        </w:tc>
        <w:tc>
          <w:tcPr>
            <w:tcW w:w="1073" w:type="dxa"/>
            <w:tcBorders>
              <w:top w:val="single" w:sz="4" w:space="0" w:color="auto"/>
              <w:left w:val="nil"/>
              <w:bottom w:val="single" w:sz="4" w:space="0" w:color="auto"/>
              <w:right w:val="nil"/>
            </w:tcBorders>
            <w:hideMark/>
          </w:tcPr>
          <w:p w14:paraId="03343B54"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PT</w:t>
            </w:r>
          </w:p>
        </w:tc>
        <w:tc>
          <w:tcPr>
            <w:tcW w:w="1580" w:type="dxa"/>
            <w:tcBorders>
              <w:top w:val="single" w:sz="4" w:space="0" w:color="auto"/>
              <w:left w:val="nil"/>
              <w:bottom w:val="single" w:sz="4" w:space="0" w:color="auto"/>
              <w:right w:val="nil"/>
            </w:tcBorders>
            <w:hideMark/>
          </w:tcPr>
          <w:p w14:paraId="05D4ABA8"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RINVR, MAT</w:t>
            </w:r>
          </w:p>
        </w:tc>
        <w:tc>
          <w:tcPr>
            <w:tcW w:w="3669" w:type="dxa"/>
            <w:tcBorders>
              <w:top w:val="single" w:sz="4" w:space="0" w:color="auto"/>
              <w:left w:val="nil"/>
              <w:bottom w:val="single" w:sz="4" w:space="0" w:color="auto"/>
              <w:right w:val="nil"/>
            </w:tcBorders>
            <w:hideMark/>
          </w:tcPr>
          <w:p w14:paraId="4ACA10F8"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Delayed nausea after highly emetogenic chemotherapy tended to decrease with AT using the RINVR score, though it was also not significant. With the MAT assessment, delayed NV was significantly improved with AT, suggesting a promising effect of AT.</w:t>
            </w:r>
          </w:p>
        </w:tc>
        <w:tc>
          <w:tcPr>
            <w:tcW w:w="1724" w:type="dxa"/>
            <w:tcBorders>
              <w:top w:val="single" w:sz="4" w:space="0" w:color="auto"/>
              <w:left w:val="nil"/>
              <w:bottom w:val="single" w:sz="4" w:space="0" w:color="auto"/>
              <w:right w:val="nil"/>
            </w:tcBorders>
            <w:hideMark/>
          </w:tcPr>
          <w:p w14:paraId="44F9C8C2"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None observed</w:t>
            </w:r>
          </w:p>
        </w:tc>
      </w:tr>
      <w:tr w:rsidR="00D8482F" w14:paraId="4A2B7CDC" w14:textId="77777777">
        <w:trPr>
          <w:trHeight w:val="700"/>
          <w:jc w:val="center"/>
        </w:trPr>
        <w:tc>
          <w:tcPr>
            <w:tcW w:w="1237" w:type="dxa"/>
            <w:tcBorders>
              <w:top w:val="single" w:sz="4" w:space="0" w:color="auto"/>
              <w:left w:val="nil"/>
              <w:bottom w:val="single" w:sz="8" w:space="0" w:color="auto"/>
              <w:right w:val="nil"/>
            </w:tcBorders>
            <w:hideMark/>
          </w:tcPr>
          <w:p w14:paraId="7CFEE3A0"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Bintoro </w:t>
            </w:r>
          </w:p>
          <w:p w14:paraId="596F7752"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2022 </w:t>
            </w:r>
            <w:r>
              <w:rPr>
                <w:rFonts w:ascii="Times New Roman" w:eastAsia="Times New Roman"/>
                <w:szCs w:val="20"/>
              </w:rPr>
              <w:fldChar w:fldCharType="begin"/>
            </w:r>
            <w:r>
              <w:rPr>
                <w:rFonts w:ascii="Times New Roman" w:eastAsia="Times New Roman"/>
                <w:szCs w:val="20"/>
              </w:rPr>
              <w:instrText xml:space="preserve"> ADDIN EN.CITE &lt;EndNote&gt;&lt;Cite&gt;&lt;Author&gt;Bintoro&lt;/Author&gt;&lt;Year&gt;2022&lt;/Year&gt;&lt;RecNum&gt;35&lt;/RecNum&gt;&lt;DisplayText&gt;(33)&lt;/DisplayText&gt;&lt;record&gt;&lt;rec-number&gt;35&lt;/rec-number&gt;&lt;foreign-keys&gt;&lt;key app="EN" db-id="rtpzt5stqfptepe5zwevd9sna9rx2axae2xr" timestamp="1717327803"&gt;35&lt;/key&gt;&lt;/foreign-keys&gt;&lt;ref-type name="Journal Article"&gt;17&lt;/ref-type&gt;&lt;contributors&gt;&lt;authors&gt;&lt;author&gt;Bintoro, D. A.Nareswari, I.Andriastuti, M.&lt;/author&gt;&lt;/authors&gt;&lt;/contributors&gt;&lt;auth-address&gt;D.A. Bintoro, Department of Medical Acupuncture, Faculty of Medicine, Universitas Indonesia, Dr. Cipto Mangunkusumo Hospital, Jakarta, Indonesia&lt;/auth-address&gt;&lt;titles&gt;&lt;title&gt;Efficacy of Press Needle at PC6 Neiguan and ST36 Zusanli as Adjuvant Therapy in Reducing Symptoms of Chemotherapy-Induced Nausea and Vomiting in Pediatric Cancer Patients Undergoing Chemotherapy&lt;/title&gt;&lt;secondary-title&gt;Medical Acupuncture&lt;/secondary-title&gt;&lt;/titles&gt;&lt;periodical&gt;&lt;full-title&gt;Medical Acupuncture&lt;/full-title&gt;&lt;/periodical&gt;&lt;pages&gt;123-130&lt;/pages&gt;&lt;volume&gt;34&lt;/volume&gt;&lt;number&gt;2&lt;/number&gt;&lt;keywords&gt;&lt;keyword&gt;acupuncture needleadhesive bandagePlesterinantiemetic agentantineoplastic agentacupressureacupunctureadolescentarticlecancer chemotherapycancer patientcentral nervous system tumorchemotherapy induced nausea and vomitingchildchildhood cancerchildhood leu&lt;/keyword&gt;&lt;/keywords&gt;&lt;dates&gt;&lt;year&gt;2022&lt;/year&gt;&lt;/dates&gt;&lt;isbn&gt;1933-65941933-6586&lt;/isbn&gt;&lt;work-type&gt;Article&lt;/work-type&gt;&lt;urls&gt;&lt;related-urls&gt;&lt;url&gt;https://www.embase.com/search/results?subaction=viewrecord&amp;amp;id=L637884670&amp;amp;from=exporthttp://dx.doi.org/10.1089/acu.2021.0060&lt;/url&gt;&lt;/related-urls&gt;&lt;/urls&gt;&lt;custom3&gt;Plesterin&lt;/custom3&gt;&lt;electronic-resource-num&gt;10.1089/acu.2021.0060&lt;/electronic-resource-num&gt;&lt;remote-database-name&gt;Embase&lt;/remote-database-name&gt;&lt;language&gt;English&lt;/language&gt;&lt;/record&gt;&lt;/Cite&gt;&lt;/EndNote&gt;</w:instrText>
            </w:r>
            <w:r>
              <w:rPr>
                <w:rFonts w:ascii="Times New Roman" w:eastAsia="Times New Roman"/>
                <w:szCs w:val="20"/>
              </w:rPr>
              <w:fldChar w:fldCharType="separate"/>
            </w:r>
            <w:r>
              <w:rPr>
                <w:rFonts w:ascii="Times New Roman" w:eastAsia="Times New Roman"/>
                <w:noProof/>
                <w:szCs w:val="20"/>
              </w:rPr>
              <w:t>(</w:t>
            </w:r>
            <w:hyperlink w:anchor="_ENREF_33" w:tooltip="Bintoro, 2022 #35" w:history="1">
              <w:r>
                <w:rPr>
                  <w:rFonts w:ascii="Times New Roman" w:eastAsia="Times New Roman"/>
                  <w:noProof/>
                  <w:szCs w:val="20"/>
                </w:rPr>
                <w:t>33</w:t>
              </w:r>
            </w:hyperlink>
            <w:r>
              <w:rPr>
                <w:rFonts w:ascii="Times New Roman" w:eastAsia="Times New Roman"/>
                <w:noProof/>
                <w:szCs w:val="20"/>
              </w:rPr>
              <w:t>)</w:t>
            </w:r>
            <w:r>
              <w:rPr>
                <w:rFonts w:ascii="Times New Roman" w:eastAsia="Times New Roman"/>
                <w:szCs w:val="20"/>
              </w:rPr>
              <w:fldChar w:fldCharType="end"/>
            </w:r>
          </w:p>
        </w:tc>
        <w:tc>
          <w:tcPr>
            <w:tcW w:w="848" w:type="dxa"/>
            <w:tcBorders>
              <w:top w:val="single" w:sz="4" w:space="0" w:color="auto"/>
              <w:left w:val="nil"/>
              <w:bottom w:val="single" w:sz="8" w:space="0" w:color="auto"/>
              <w:right w:val="nil"/>
            </w:tcBorders>
            <w:hideMark/>
          </w:tcPr>
          <w:p w14:paraId="24416AEB"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Indonesia</w:t>
            </w:r>
          </w:p>
        </w:tc>
        <w:tc>
          <w:tcPr>
            <w:tcW w:w="1320" w:type="dxa"/>
            <w:tcBorders>
              <w:top w:val="single" w:sz="4" w:space="0" w:color="auto"/>
              <w:left w:val="nil"/>
              <w:bottom w:val="single" w:sz="8" w:space="0" w:color="auto"/>
              <w:right w:val="nil"/>
            </w:tcBorders>
            <w:hideMark/>
          </w:tcPr>
          <w:p w14:paraId="7CAF82F3"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Leukemia, renal, liver cancer, etc.</w:t>
            </w:r>
          </w:p>
        </w:tc>
        <w:tc>
          <w:tcPr>
            <w:tcW w:w="1401" w:type="dxa"/>
            <w:tcBorders>
              <w:top w:val="single" w:sz="4" w:space="0" w:color="auto"/>
              <w:left w:val="nil"/>
              <w:bottom w:val="single" w:sz="8" w:space="0" w:color="auto"/>
              <w:right w:val="nil"/>
            </w:tcBorders>
            <w:hideMark/>
          </w:tcPr>
          <w:p w14:paraId="743F8C5A"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 xml:space="preserve">Chemotherapy </w:t>
            </w:r>
          </w:p>
        </w:tc>
        <w:tc>
          <w:tcPr>
            <w:tcW w:w="667" w:type="dxa"/>
            <w:tcBorders>
              <w:top w:val="single" w:sz="4" w:space="0" w:color="auto"/>
              <w:left w:val="nil"/>
              <w:bottom w:val="single" w:sz="8" w:space="0" w:color="auto"/>
              <w:right w:val="nil"/>
            </w:tcBorders>
            <w:hideMark/>
          </w:tcPr>
          <w:p w14:paraId="44F83E13"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60</w:t>
            </w:r>
          </w:p>
        </w:tc>
        <w:tc>
          <w:tcPr>
            <w:tcW w:w="667" w:type="dxa"/>
            <w:tcBorders>
              <w:top w:val="single" w:sz="4" w:space="0" w:color="auto"/>
              <w:left w:val="nil"/>
              <w:bottom w:val="single" w:sz="8" w:space="0" w:color="auto"/>
              <w:right w:val="nil"/>
            </w:tcBorders>
            <w:hideMark/>
          </w:tcPr>
          <w:p w14:paraId="02722F9B"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11</w:t>
            </w:r>
          </w:p>
        </w:tc>
        <w:tc>
          <w:tcPr>
            <w:tcW w:w="1137" w:type="dxa"/>
            <w:tcBorders>
              <w:top w:val="single" w:sz="4" w:space="0" w:color="auto"/>
              <w:left w:val="nil"/>
              <w:bottom w:val="single" w:sz="8" w:space="0" w:color="auto"/>
              <w:right w:val="nil"/>
            </w:tcBorders>
            <w:hideMark/>
          </w:tcPr>
          <w:p w14:paraId="7198F278"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IA+PT</w:t>
            </w:r>
          </w:p>
        </w:tc>
        <w:tc>
          <w:tcPr>
            <w:tcW w:w="1073" w:type="dxa"/>
            <w:tcBorders>
              <w:top w:val="single" w:sz="4" w:space="0" w:color="auto"/>
              <w:left w:val="nil"/>
              <w:bottom w:val="single" w:sz="8" w:space="0" w:color="auto"/>
              <w:right w:val="nil"/>
            </w:tcBorders>
            <w:hideMark/>
          </w:tcPr>
          <w:p w14:paraId="139AE966"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SIA+PT</w:t>
            </w:r>
          </w:p>
          <w:p w14:paraId="38F8A594" w14:textId="77777777" w:rsidR="00D8482F" w:rsidRDefault="00D8482F">
            <w:pPr>
              <w:rPr>
                <w:rFonts w:ascii="Times New Roman" w:eastAsia="Times New Roman"/>
                <w:szCs w:val="20"/>
              </w:rPr>
            </w:pPr>
          </w:p>
          <w:p w14:paraId="35F4E918" w14:textId="77777777" w:rsidR="00D8482F" w:rsidRDefault="00D8482F">
            <w:pPr>
              <w:jc w:val="center"/>
              <w:rPr>
                <w:rFonts w:ascii="Times New Roman" w:eastAsia="Times New Roman"/>
                <w:szCs w:val="20"/>
              </w:rPr>
            </w:pPr>
          </w:p>
        </w:tc>
        <w:tc>
          <w:tcPr>
            <w:tcW w:w="1580" w:type="dxa"/>
            <w:tcBorders>
              <w:top w:val="single" w:sz="4" w:space="0" w:color="auto"/>
              <w:left w:val="nil"/>
              <w:bottom w:val="single" w:sz="8" w:space="0" w:color="auto"/>
              <w:right w:val="nil"/>
            </w:tcBorders>
            <w:hideMark/>
          </w:tcPr>
          <w:p w14:paraId="0F9F1EC1"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RINVR</w:t>
            </w:r>
          </w:p>
        </w:tc>
        <w:tc>
          <w:tcPr>
            <w:tcW w:w="3669" w:type="dxa"/>
            <w:tcBorders>
              <w:top w:val="single" w:sz="4" w:space="0" w:color="auto"/>
              <w:left w:val="nil"/>
              <w:bottom w:val="single" w:sz="8" w:space="0" w:color="auto"/>
              <w:right w:val="nil"/>
            </w:tcBorders>
            <w:hideMark/>
          </w:tcPr>
          <w:p w14:paraId="666B8E34"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IA treatment is able to reduce the RINVR score and can be applied to pediatric patients because of its minimal side effects.</w:t>
            </w:r>
          </w:p>
        </w:tc>
        <w:tc>
          <w:tcPr>
            <w:tcW w:w="1724" w:type="dxa"/>
            <w:tcBorders>
              <w:top w:val="single" w:sz="4" w:space="0" w:color="auto"/>
              <w:left w:val="nil"/>
              <w:bottom w:val="single" w:sz="8" w:space="0" w:color="auto"/>
              <w:right w:val="nil"/>
            </w:tcBorders>
            <w:hideMark/>
          </w:tcPr>
          <w:p w14:paraId="473B54A8" w14:textId="77777777" w:rsidR="00D8482F" w:rsidRDefault="00000000">
            <w:pPr>
              <w:autoSpaceDE w:val="0"/>
              <w:autoSpaceDN w:val="0"/>
              <w:snapToGrid w:val="0"/>
              <w:rPr>
                <w:rFonts w:ascii="Times New Roman" w:eastAsia="Times New Roman"/>
                <w:szCs w:val="20"/>
              </w:rPr>
            </w:pPr>
            <w:r>
              <w:rPr>
                <w:rFonts w:ascii="Times New Roman" w:eastAsia="Times New Roman"/>
                <w:szCs w:val="20"/>
              </w:rPr>
              <w:t>None observed</w:t>
            </w:r>
          </w:p>
        </w:tc>
      </w:tr>
    </w:tbl>
    <w:p w14:paraId="0161D6DF" w14:textId="77777777" w:rsidR="00D8482F" w:rsidRDefault="00000000">
      <w:pPr>
        <w:spacing w:line="480" w:lineRule="auto"/>
        <w:rPr>
          <w:rFonts w:ascii="Times New Roman" w:eastAsia="Times New Roman"/>
          <w:b/>
          <w:kern w:val="0"/>
          <w:szCs w:val="20"/>
        </w:rPr>
      </w:pPr>
      <w:r>
        <w:rPr>
          <w:rFonts w:ascii="Times New Roman" w:eastAsia="Times New Roman"/>
          <w:kern w:val="0"/>
          <w:szCs w:val="20"/>
        </w:rPr>
        <w:t>*AT, acupuncture treatment; BSCT, Blood stem cell transplantation; CINV, chemotherapy-induced nausea and vomiting; EA, electroacupuncture treatment; FLIE, Functional Living Index Emesis tool; IA, intradermal acupuncture; MAT, Multinational Association of Supportive Care in Cancer Antiemesis Tool; NRS, numeric rating scale; NV, nausea and vomiting; PT, pharmacotherapy; RINVR, the Rhodes Index of Nausea, Vomiting, and Retching; SA, sham acupuncture; SEA, sham electroacupuncture, SIA, sham intradermal acupuncture.</w:t>
      </w:r>
      <w:r>
        <w:rPr>
          <w:rFonts w:ascii="Times New Roman" w:eastAsia="Times New Roman"/>
          <w:b/>
          <w:kern w:val="0"/>
          <w:szCs w:val="20"/>
        </w:rPr>
        <w:t xml:space="preserve"> </w:t>
      </w:r>
    </w:p>
    <w:p w14:paraId="16B89D8C" w14:textId="6824F01C" w:rsidR="00D8482F" w:rsidRDefault="00000000">
      <w:pPr>
        <w:spacing w:line="480" w:lineRule="auto"/>
        <w:rPr>
          <w:rFonts w:ascii="Times New Roman" w:eastAsia="Malgun Gothic"/>
          <w:kern w:val="0"/>
          <w:sz w:val="24"/>
        </w:rPr>
      </w:pPr>
      <w:r>
        <w:rPr>
          <w:rFonts w:ascii="Times New Roman" w:eastAsia="Malgun Gothic"/>
          <w:kern w:val="0"/>
          <w:sz w:val="24"/>
        </w:rPr>
        <w:br w:type="page"/>
      </w:r>
    </w:p>
    <w:sectPr w:rsidR="00D8482F">
      <w:footerReference w:type="default" r:id="rId6"/>
      <w:pgSz w:w="16838" w:h="11906" w:orient="landscape" w:code="9"/>
      <w:pgMar w:top="720" w:right="720" w:bottom="720" w:left="720" w:header="170" w:footer="562"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F1E187" w14:textId="77777777" w:rsidR="00AE1078" w:rsidRDefault="00AE1078">
      <w:r>
        <w:separator/>
      </w:r>
    </w:p>
  </w:endnote>
  <w:endnote w:type="continuationSeparator" w:id="0">
    <w:p w14:paraId="52C7418F" w14:textId="77777777" w:rsidR="00AE1078" w:rsidRDefault="00AE10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Malgun Gothic">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바탕체">
    <w:charset w:val="00"/>
    <w:family w:val="auto"/>
    <w:pitch w:val="default"/>
    <w:sig w:usb0="B00002AF" w:usb1="69D77CFB" w:usb2="00000030" w:usb3="00000001" w:csb0="4008009F" w:csb1="DFD70000"/>
  </w:font>
  <w:font w:name="Gulim">
    <w:altName w:val="굴림"/>
    <w:panose1 w:val="020B0600000101010101"/>
    <w:charset w:val="00"/>
    <w:family w:val="auto"/>
    <w:pitch w:val="default"/>
    <w:sig w:usb0="B00002AF" w:usb1="69D77CFB" w:usb2="00000030" w:usb3="00000001" w:csb0="4008009F" w:csb1="DFD7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66116137"/>
      <w:docPartObj>
        <w:docPartGallery w:val="Page Numbers (Bottom of Page)"/>
        <w:docPartUnique/>
      </w:docPartObj>
    </w:sdtPr>
    <w:sdtEndPr>
      <w:rPr>
        <w:rFonts w:ascii="Times New Roman"/>
        <w:sz w:val="24"/>
      </w:rPr>
    </w:sdtEndPr>
    <w:sdtContent>
      <w:p w14:paraId="19E8D366" w14:textId="77777777" w:rsidR="00D8482F" w:rsidRDefault="00000000">
        <w:pPr>
          <w:pStyle w:val="Footer"/>
          <w:jc w:val="center"/>
          <w:rPr>
            <w:rFonts w:ascii="Times New Roman"/>
            <w:sz w:val="24"/>
          </w:rPr>
        </w:pPr>
        <w:r>
          <w:rPr>
            <w:rFonts w:ascii="Times New Roman"/>
            <w:sz w:val="24"/>
          </w:rPr>
          <w:fldChar w:fldCharType="begin"/>
        </w:r>
        <w:r>
          <w:rPr>
            <w:rFonts w:ascii="Times New Roman"/>
            <w:sz w:val="24"/>
          </w:rPr>
          <w:instrText>PAGE   \* MERGEFORMAT</w:instrText>
        </w:r>
        <w:r>
          <w:rPr>
            <w:rFonts w:ascii="Times New Roman"/>
            <w:sz w:val="24"/>
          </w:rPr>
          <w:fldChar w:fldCharType="separate"/>
        </w:r>
        <w:r>
          <w:rPr>
            <w:rFonts w:ascii="Times New Roman"/>
            <w:sz w:val="24"/>
            <w:lang w:val="ko-KR"/>
          </w:rPr>
          <w:t>2</w:t>
        </w:r>
        <w:r>
          <w:rPr>
            <w:rFonts w:ascii="Times New Roman"/>
            <w:sz w:val="24"/>
          </w:rPr>
          <w:fldChar w:fldCharType="end"/>
        </w:r>
      </w:p>
    </w:sdtContent>
  </w:sdt>
  <w:p w14:paraId="1402C267" w14:textId="77777777" w:rsidR="00D8482F" w:rsidRDefault="00D848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1375B3" w14:textId="77777777" w:rsidR="00AE1078" w:rsidRDefault="00AE1078">
      <w:r>
        <w:separator/>
      </w:r>
    </w:p>
  </w:footnote>
  <w:footnote w:type="continuationSeparator" w:id="0">
    <w:p w14:paraId="73963A7F" w14:textId="77777777" w:rsidR="00AE1078" w:rsidRDefault="00AE107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removePersonalInformation/>
  <w:hideGrammaticalErrors/>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800"/>
  <w:drawingGridHorizontalSpacing w:val="10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482F"/>
    <w:rsid w:val="003043D8"/>
    <w:rsid w:val="006E16A1"/>
    <w:rsid w:val="00AE1078"/>
    <w:rsid w:val="00D8482F"/>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22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Malgun Gothic" w:eastAsia="Malgun Gothic" w:hAnsi="Malgun Gothic" w:cs="Times New Roman"/>
        <w:lang w:val="en-US" w:eastAsia="ko-KR"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iPriority="99"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iPriority="99" w:unhideWhenUsed="1"/>
    <w:lsdException w:name="caption" w:semiHidden="1" w:unhideWhenUsed="1" w:qFormat="1"/>
    <w:lsdException w:name="table of figures" w:semiHidden="1" w:uiPriority="99"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nhideWhenUsed="1"/>
    <w:lsdException w:name="line number" w:semiHidden="1" w:uiPriority="99"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iPriority="99" w:unhideWhenUsed="1"/>
    <w:lsdException w:name="List Bullet" w:semiHidden="1" w:uiPriority="99" w:unhideWhenUsed="1"/>
    <w:lsdException w:name="List Number" w:semiHidden="1" w:uiPriority="99" w:unhideWhenUsed="1"/>
    <w:lsdException w:name="List 2" w:semiHidden="1" w:uiPriority="99" w:unhideWhenUsed="1"/>
    <w:lsdException w:name="List 3" w:semiHidden="1" w:uiPriority="99" w:unhideWhenUsed="1"/>
    <w:lsdException w:name="List 4" w:semiHidden="1" w:uiPriority="99" w:unhideWhenUsed="1"/>
    <w:lsdException w:name="List 5" w:semiHidden="1" w:uiPriority="99" w:unhideWhenUsed="1"/>
    <w:lsdException w:name="List Bullet 2" w:semiHidden="1" w:uiPriority="99" w:unhideWhenUsed="1"/>
    <w:lsdException w:name="List Bullet 3" w:semiHidden="1" w:uiPriority="99"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iPriority="99" w:unhideWhenUsed="1"/>
    <w:lsdException w:name="List Number 5" w:semiHidden="1" w:uiPriority="99" w:unhideWhenUsed="1"/>
    <w:lsdException w:name="Title" w:qFormat="1"/>
    <w:lsdException w:name="Closing" w:semiHidden="1" w:uiPriority="99" w:unhideWhenUsed="1"/>
    <w:lsdException w:name="Signature" w:semiHidden="1" w:uiPriority="99" w:unhideWhenUsed="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iPriority="99" w:unhideWhenUsed="1"/>
    <w:lsdException w:name="List Continue 2" w:semiHidden="1" w:uiPriority="99"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iPriority="99" w:unhideWhenUsed="1"/>
    <w:lsdException w:name="Subtitle" w:qFormat="1"/>
    <w:lsdException w:name="Salutation" w:semiHidden="1" w:uiPriority="99" w:unhideWhenUsed="1"/>
    <w:lsdException w:name="Date" w:semiHidden="1" w:uiPriority="99" w:unhideWhenUsed="1"/>
    <w:lsdException w:name="Body Text First Indent" w:semiHidden="1" w:uiPriority="99" w:unhideWhenUsed="1"/>
    <w:lsdException w:name="Body Text First Indent 2" w:semiHidden="1" w:uiPriority="99" w:unhideWhenUsed="1"/>
    <w:lsdException w:name="Note Heading" w:semiHidden="1" w:uiPriority="99"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iPriority="99" w:unhideWhenUsed="1"/>
    <w:lsdException w:name="Block Text" w:semiHidden="1" w:uiPriority="99"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iPriority="99" w:unhideWhenUsed="1"/>
    <w:lsdException w:name="Plain Text" w:semiHidden="1" w:uiPriority="99"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iPriority="99"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iPriority="99"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Theme" w:semiHidden="1" w:uiPriority="99" w:unhideWhenUsed="1"/>
    <w:lsdException w:name="Placeholder Text" w:semiHidden="1" w:uiPriority="99"/>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Batang" w:eastAsia="Batang" w:hAnsi="Times New Roman"/>
      <w:kern w:val="2"/>
      <w:szCs w:val="24"/>
    </w:rPr>
  </w:style>
  <w:style w:type="paragraph" w:styleId="Heading1">
    <w:name w:val="heading 1"/>
    <w:basedOn w:val="Normal"/>
    <w:next w:val="Normal"/>
    <w:link w:val="Heading1Char"/>
    <w:uiPriority w:val="9"/>
    <w:qFormat/>
    <w:pPr>
      <w:spacing w:line="480" w:lineRule="auto"/>
      <w:outlineLvl w:val="0"/>
    </w:pPr>
    <w:rPr>
      <w:rFonts w:ascii="Times New Roman" w:eastAsia="Malgun Gothic"/>
      <w:b/>
      <w:kern w:val="0"/>
      <w:sz w:val="24"/>
      <w:szCs w:val="28"/>
    </w:rPr>
  </w:style>
  <w:style w:type="paragraph" w:styleId="Heading2">
    <w:name w:val="heading 2"/>
    <w:basedOn w:val="Normal"/>
    <w:next w:val="Normal"/>
    <w:link w:val="Heading2Char"/>
    <w:uiPriority w:val="9"/>
    <w:semiHidden/>
    <w:unhideWhenUsed/>
    <w:qFormat/>
    <w:pPr>
      <w:keepNext/>
      <w:outlineLvl w:val="1"/>
    </w:pPr>
    <w:rPr>
      <w:rFonts w:asciiTheme="majorHAnsi" w:eastAsiaTheme="majorEastAsia" w:hAnsiTheme="majorHAnsi" w:cstheme="majorBidi"/>
    </w:rPr>
  </w:style>
  <w:style w:type="paragraph" w:styleId="Heading4">
    <w:name w:val="heading 4"/>
    <w:basedOn w:val="Normal"/>
    <w:next w:val="Normal"/>
    <w:link w:val="Heading4Char"/>
    <w:uiPriority w:val="9"/>
    <w:semiHidden/>
    <w:unhideWhenUsed/>
    <w:qFormat/>
    <w:pPr>
      <w:keepNext/>
      <w:ind w:leftChars="400" w:left="400" w:hangingChars="200" w:hanging="200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nhideWhenUsed/>
    <w:rPr>
      <w:rFonts w:ascii="Malgun Gothic" w:eastAsia="Malgun Gothic" w:hAnsi="Malgun Gothic"/>
      <w:kern w:val="0"/>
      <w:sz w:val="18"/>
      <w:szCs w:val="18"/>
    </w:rPr>
  </w:style>
  <w:style w:type="character" w:customStyle="1" w:styleId="CommentTextChar">
    <w:name w:val="Comment Text Char"/>
    <w:link w:val="CommentText"/>
    <w:rPr>
      <w:rFonts w:ascii="Malgun Gothic" w:eastAsia="Malgun Gothic" w:hAnsi="Malgun Gothic" w:cs="Times New Roman"/>
      <w:sz w:val="18"/>
      <w:szCs w:val="18"/>
    </w:rPr>
  </w:style>
  <w:style w:type="paragraph" w:customStyle="1" w:styleId="a">
    <w:name w:val="바탕글"/>
    <w:link w:val="Char"/>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val="0"/>
      <w:autoSpaceDE w:val="0"/>
      <w:autoSpaceDN w:val="0"/>
      <w:spacing w:line="277" w:lineRule="auto"/>
      <w:jc w:val="both"/>
    </w:pPr>
    <w:rPr>
      <w:rFonts w:ascii="바탕체" w:eastAsia="바탕체" w:hAnsi="Times New Roman"/>
      <w:color w:val="000000"/>
    </w:rPr>
  </w:style>
  <w:style w:type="paragraph" w:customStyle="1" w:styleId="9">
    <w:name w:val="머리말(중고딕9)"/>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val="0"/>
      <w:autoSpaceDE w:val="0"/>
      <w:autoSpaceDN w:val="0"/>
      <w:spacing w:line="277" w:lineRule="auto"/>
      <w:jc w:val="both"/>
    </w:pPr>
    <w:rPr>
      <w:rFonts w:ascii="바탕체" w:eastAsia="바탕체" w:hAnsi="Times New Roman"/>
      <w:color w:val="000000"/>
      <w:sz w:val="18"/>
      <w:szCs w:val="18"/>
    </w:rPr>
  </w:style>
  <w:style w:type="paragraph" w:customStyle="1" w:styleId="90">
    <w:name w:val="각주내용(신명조9)"/>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val="0"/>
      <w:autoSpaceDE w:val="0"/>
      <w:autoSpaceDN w:val="0"/>
      <w:spacing w:line="259" w:lineRule="auto"/>
      <w:ind w:left="600" w:right="200" w:hanging="400"/>
      <w:jc w:val="both"/>
    </w:pPr>
    <w:rPr>
      <w:rFonts w:ascii="바탕체" w:eastAsia="바탕체" w:hAnsi="Times New Roman"/>
      <w:color w:val="000000"/>
      <w:sz w:val="18"/>
      <w:szCs w:val="18"/>
    </w:rPr>
  </w:style>
  <w:style w:type="character" w:styleId="CommentReference">
    <w:name w:val="annotation reference"/>
    <w:semiHidden/>
    <w:unhideWhenUsed/>
    <w:rPr>
      <w:sz w:val="18"/>
      <w:szCs w:val="18"/>
    </w:rPr>
  </w:style>
  <w:style w:type="character" w:styleId="Hyperlink">
    <w:name w:val="Hyperlink"/>
    <w:uiPriority w:val="99"/>
    <w:unhideWhenUsed/>
    <w:rPr>
      <w:color w:val="0000FF"/>
      <w:u w:val="single"/>
    </w:rPr>
  </w:style>
  <w:style w:type="paragraph" w:styleId="BalloonText">
    <w:name w:val="Balloon Text"/>
    <w:basedOn w:val="Normal"/>
    <w:link w:val="BalloonTextChar"/>
    <w:uiPriority w:val="99"/>
    <w:semiHidden/>
    <w:unhideWhenUsed/>
    <w:rPr>
      <w:rFonts w:ascii="Malgun Gothic" w:eastAsia="Malgun Gothic" w:hAnsi="Malgun Gothic"/>
      <w:kern w:val="0"/>
      <w:sz w:val="18"/>
      <w:szCs w:val="18"/>
    </w:rPr>
  </w:style>
  <w:style w:type="character" w:customStyle="1" w:styleId="BalloonTextChar">
    <w:name w:val="Balloon Text Char"/>
    <w:link w:val="BalloonText"/>
    <w:uiPriority w:val="99"/>
    <w:semiHidden/>
    <w:rPr>
      <w:rFonts w:ascii="Malgun Gothic" w:eastAsia="Malgun Gothic" w:hAnsi="Malgun Gothic" w:cs="Times New Roman"/>
      <w:sz w:val="18"/>
      <w:szCs w:val="18"/>
    </w:rPr>
  </w:style>
  <w:style w:type="paragraph" w:styleId="Header">
    <w:name w:val="header"/>
    <w:basedOn w:val="Normal"/>
    <w:link w:val="HeaderChar"/>
    <w:uiPriority w:val="99"/>
    <w:unhideWhenUsed/>
    <w:pPr>
      <w:tabs>
        <w:tab w:val="center" w:pos="4513"/>
        <w:tab w:val="right" w:pos="9026"/>
      </w:tabs>
      <w:snapToGrid w:val="0"/>
    </w:pPr>
  </w:style>
  <w:style w:type="character" w:customStyle="1" w:styleId="HeaderChar">
    <w:name w:val="Header Char"/>
    <w:link w:val="Header"/>
    <w:uiPriority w:val="99"/>
    <w:rPr>
      <w:rFonts w:ascii="Batang" w:eastAsia="Batang" w:hAnsi="Times New Roman"/>
      <w:kern w:val="2"/>
      <w:szCs w:val="24"/>
    </w:rPr>
  </w:style>
  <w:style w:type="paragraph" w:styleId="Footer">
    <w:name w:val="footer"/>
    <w:basedOn w:val="Normal"/>
    <w:link w:val="FooterChar"/>
    <w:uiPriority w:val="99"/>
    <w:unhideWhenUsed/>
    <w:pPr>
      <w:tabs>
        <w:tab w:val="center" w:pos="4513"/>
        <w:tab w:val="right" w:pos="9026"/>
      </w:tabs>
      <w:snapToGrid w:val="0"/>
    </w:pPr>
  </w:style>
  <w:style w:type="character" w:customStyle="1" w:styleId="FooterChar">
    <w:name w:val="Footer Char"/>
    <w:link w:val="Footer"/>
    <w:uiPriority w:val="99"/>
    <w:rPr>
      <w:rFonts w:ascii="Batang" w:eastAsia="Batang" w:hAnsi="Times New Roman"/>
      <w:kern w:val="2"/>
      <w:szCs w:val="24"/>
    </w:rPr>
  </w:style>
  <w:style w:type="paragraph" w:styleId="CommentSubject">
    <w:name w:val="annotation subject"/>
    <w:basedOn w:val="CommentText"/>
    <w:next w:val="CommentText"/>
    <w:link w:val="CommentSubjectChar"/>
    <w:uiPriority w:val="99"/>
    <w:semiHidden/>
    <w:unhideWhenUsed/>
    <w:rPr>
      <w:rFonts w:ascii="Batang" w:eastAsia="Batang" w:hAnsi="Times New Roman"/>
      <w:b/>
      <w:bCs/>
      <w:szCs w:val="24"/>
    </w:rPr>
  </w:style>
  <w:style w:type="character" w:customStyle="1" w:styleId="CommentSubjectChar">
    <w:name w:val="Comment Subject Char"/>
    <w:link w:val="CommentSubject"/>
    <w:uiPriority w:val="99"/>
    <w:semiHidden/>
    <w:rPr>
      <w:rFonts w:ascii="Batang" w:eastAsia="Batang" w:hAnsi="Times New Roman" w:cs="Times New Roman"/>
      <w:b/>
      <w:bCs/>
      <w:kern w:val="2"/>
      <w:sz w:val="18"/>
      <w:szCs w:val="24"/>
    </w:rPr>
  </w:style>
  <w:style w:type="paragraph" w:styleId="BodyText3">
    <w:name w:val="Body Text 3"/>
    <w:basedOn w:val="Normal"/>
    <w:link w:val="BodyText3Char"/>
    <w:semiHidden/>
    <w:pPr>
      <w:spacing w:line="480" w:lineRule="auto"/>
    </w:pPr>
    <w:rPr>
      <w:rFonts w:ascii="Times New Roman" w:eastAsia="Gulim"/>
      <w:sz w:val="24"/>
      <w:szCs w:val="20"/>
    </w:rPr>
  </w:style>
  <w:style w:type="character" w:customStyle="1" w:styleId="BodyText3Char">
    <w:name w:val="Body Text 3 Char"/>
    <w:link w:val="BodyText3"/>
    <w:semiHidden/>
    <w:rPr>
      <w:rFonts w:ascii="Times New Roman" w:eastAsia="Gulim" w:hAnsi="Times New Roman"/>
      <w:kern w:val="2"/>
      <w:sz w:val="24"/>
    </w:rPr>
  </w:style>
  <w:style w:type="paragraph" w:styleId="ListParagraph">
    <w:name w:val="List Paragraph"/>
    <w:basedOn w:val="Normal"/>
    <w:uiPriority w:val="34"/>
    <w:qFormat/>
    <w:pPr>
      <w:ind w:leftChars="400" w:left="800"/>
    </w:p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
    <w:name w:val="확인되지 않은 멘션1"/>
    <w:uiPriority w:val="99"/>
    <w:semiHidden/>
    <w:unhideWhenUsed/>
    <w:rPr>
      <w:color w:val="605E5C"/>
      <w:shd w:val="clear" w:color="auto" w:fill="E1DFDD"/>
    </w:rPr>
  </w:style>
  <w:style w:type="character" w:styleId="Strong">
    <w:name w:val="Strong"/>
    <w:uiPriority w:val="22"/>
    <w:qFormat/>
    <w:rPr>
      <w:b/>
      <w:bCs/>
    </w:rPr>
  </w:style>
  <w:style w:type="character" w:styleId="FollowedHyperlink">
    <w:name w:val="FollowedHyperlink"/>
    <w:uiPriority w:val="99"/>
    <w:semiHidden/>
    <w:unhideWhenUsed/>
    <w:rPr>
      <w:color w:val="954F72"/>
      <w:u w:val="single"/>
    </w:rPr>
  </w:style>
  <w:style w:type="character" w:customStyle="1" w:styleId="2">
    <w:name w:val="확인되지 않은 멘션2"/>
    <w:uiPriority w:val="99"/>
    <w:semiHidden/>
    <w:unhideWhenUsed/>
    <w:rPr>
      <w:color w:val="605E5C"/>
      <w:shd w:val="clear" w:color="auto" w:fill="E1DFDD"/>
    </w:rPr>
  </w:style>
  <w:style w:type="paragraph" w:styleId="NormalWeb">
    <w:name w:val="Normal (Web)"/>
    <w:basedOn w:val="Normal"/>
    <w:link w:val="NormalWebChar"/>
    <w:uiPriority w:val="99"/>
    <w:unhideWhenUsed/>
    <w:pPr>
      <w:snapToGrid w:val="0"/>
      <w:textAlignment w:val="baseline"/>
    </w:pPr>
    <w:rPr>
      <w:rFonts w:ascii="Malgun Gothic" w:eastAsia="Malgun Gothic" w:hAnsi="Malgun Gothic" w:cs="Gulim"/>
      <w:color w:val="000000"/>
      <w:kern w:val="0"/>
      <w:szCs w:val="20"/>
    </w:rPr>
  </w:style>
  <w:style w:type="paragraph" w:customStyle="1" w:styleId="a4">
    <w:name w:val="a4"/>
    <w:basedOn w:val="Normal"/>
    <w:pPr>
      <w:snapToGrid w:val="0"/>
      <w:textAlignment w:val="baseline"/>
    </w:pPr>
    <w:rPr>
      <w:rFonts w:ascii="Malgun Gothic" w:eastAsia="Malgun Gothic" w:hAnsi="Malgun Gothic" w:cs="Gulim"/>
      <w:color w:val="000000"/>
      <w:kern w:val="0"/>
      <w:szCs w:val="20"/>
    </w:rPr>
  </w:style>
  <w:style w:type="character" w:customStyle="1" w:styleId="3">
    <w:name w:val="확인되지 않은 멘션3"/>
    <w:uiPriority w:val="99"/>
    <w:semiHidden/>
    <w:unhideWhenUsed/>
    <w:rPr>
      <w:color w:val="605E5C"/>
      <w:shd w:val="clear" w:color="auto" w:fill="E1DFDD"/>
    </w:rPr>
  </w:style>
  <w:style w:type="character" w:customStyle="1" w:styleId="MSChar">
    <w:name w:val="MS바탕글 Char"/>
    <w:link w:val="MS"/>
    <w:rPr>
      <w:rFonts w:ascii="Gulim" w:eastAsia="Gulim" w:hAnsi="Gulim"/>
      <w:color w:val="000000"/>
      <w:shd w:val="clear" w:color="auto" w:fill="FFFFFF"/>
    </w:rPr>
  </w:style>
  <w:style w:type="paragraph" w:customStyle="1" w:styleId="MS">
    <w:name w:val="MS바탕글"/>
    <w:basedOn w:val="Normal"/>
    <w:link w:val="MSChar"/>
    <w:pPr>
      <w:shd w:val="clear" w:color="auto" w:fill="FFFFFF"/>
      <w:spacing w:after="200" w:line="271" w:lineRule="auto"/>
    </w:pPr>
    <w:rPr>
      <w:rFonts w:ascii="Gulim" w:eastAsia="Gulim" w:hAnsi="Gulim"/>
      <w:color w:val="000000"/>
      <w:kern w:val="0"/>
      <w:szCs w:val="20"/>
    </w:rPr>
  </w:style>
  <w:style w:type="paragraph" w:customStyle="1" w:styleId="EndNoteBibliographyTitle">
    <w:name w:val="EndNote Bibliography Title"/>
    <w:basedOn w:val="Normal"/>
    <w:link w:val="EndNoteBibliographyTitleChar"/>
    <w:pPr>
      <w:jc w:val="center"/>
    </w:pPr>
    <w:rPr>
      <w:rFonts w:hAnsi="Batang"/>
      <w:noProof/>
    </w:rPr>
  </w:style>
  <w:style w:type="character" w:customStyle="1" w:styleId="NormalWebChar">
    <w:name w:val="Normal (Web) Char"/>
    <w:basedOn w:val="DefaultParagraphFont"/>
    <w:link w:val="NormalWeb"/>
    <w:uiPriority w:val="99"/>
    <w:rPr>
      <w:rFonts w:cs="Gulim"/>
      <w:color w:val="000000"/>
    </w:rPr>
  </w:style>
  <w:style w:type="character" w:customStyle="1" w:styleId="EndNoteBibliographyTitleChar">
    <w:name w:val="EndNote Bibliography Title Char"/>
    <w:basedOn w:val="NormalWebChar"/>
    <w:link w:val="EndNoteBibliographyTitle"/>
    <w:rPr>
      <w:rFonts w:ascii="Batang" w:eastAsia="Batang" w:hAnsi="Batang" w:cs="Gulim"/>
      <w:noProof/>
      <w:color w:val="000000"/>
      <w:kern w:val="2"/>
      <w:szCs w:val="24"/>
    </w:rPr>
  </w:style>
  <w:style w:type="paragraph" w:customStyle="1" w:styleId="EndNoteBibliography">
    <w:name w:val="EndNote Bibliography"/>
    <w:basedOn w:val="Normal"/>
    <w:link w:val="EndNoteBibliographyChar"/>
    <w:rPr>
      <w:rFonts w:hAnsi="Batang"/>
      <w:noProof/>
    </w:rPr>
  </w:style>
  <w:style w:type="character" w:customStyle="1" w:styleId="EndNoteBibliographyChar">
    <w:name w:val="EndNote Bibliography Char"/>
    <w:basedOn w:val="NormalWebChar"/>
    <w:link w:val="EndNoteBibliography"/>
    <w:rPr>
      <w:rFonts w:ascii="Batang" w:eastAsia="Batang" w:hAnsi="Batang" w:cs="Gulim"/>
      <w:noProof/>
      <w:color w:val="000000"/>
      <w:kern w:val="2"/>
      <w:szCs w:val="24"/>
    </w:rPr>
  </w:style>
  <w:style w:type="paragraph" w:customStyle="1" w:styleId="Revision1">
    <w:name w:val="Revision1"/>
    <w:hidden/>
    <w:uiPriority w:val="99"/>
    <w:semiHidden/>
    <w:rPr>
      <w:rFonts w:ascii="Batang" w:eastAsia="Batang" w:hAnsi="Times New Roman"/>
      <w:kern w:val="2"/>
      <w:szCs w:val="24"/>
    </w:rPr>
  </w:style>
  <w:style w:type="character" w:customStyle="1" w:styleId="Heading1Char">
    <w:name w:val="Heading 1 Char"/>
    <w:basedOn w:val="DefaultParagraphFont"/>
    <w:link w:val="Heading1"/>
    <w:uiPriority w:val="9"/>
    <w:rPr>
      <w:rFonts w:ascii="Times New Roman" w:eastAsia="Malgun Gothic" w:hAnsi="Times New Roman" w:cs="Times New Roman"/>
      <w:b/>
      <w:kern w:val="0"/>
      <w:sz w:val="24"/>
      <w:szCs w:val="28"/>
      <w:u w:val="none"/>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kern w:val="2"/>
      <w:szCs w:val="24"/>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Char">
    <w:name w:val="바탕글 Char"/>
    <w:link w:val="a"/>
    <w:rPr>
      <w:rFonts w:ascii="바탕체" w:eastAsia="바탕체" w:hAnsi="Times New Roman"/>
      <w:color w:val="000000"/>
    </w:rPr>
  </w:style>
  <w:style w:type="character" w:customStyle="1" w:styleId="Heading4Char">
    <w:name w:val="Heading 4 Char"/>
    <w:basedOn w:val="DefaultParagraphFont"/>
    <w:link w:val="Heading4"/>
    <w:uiPriority w:val="9"/>
    <w:semiHidden/>
    <w:rPr>
      <w:rFonts w:ascii="Batang" w:eastAsia="Batang" w:hAnsi="Times New Roman"/>
      <w:b/>
      <w:bCs/>
      <w:kern w:val="2"/>
      <w:szCs w:val="24"/>
    </w:rPr>
  </w:style>
  <w:style w:type="paragraph" w:customStyle="1" w:styleId="MDPI31text">
    <w:name w:val="MDPI_3.1_text"/>
    <w:qFormat/>
    <w:pPr>
      <w:snapToGrid w:val="0"/>
      <w:spacing w:line="228" w:lineRule="auto"/>
      <w:ind w:left="2608" w:firstLine="425"/>
      <w:jc w:val="both"/>
    </w:pPr>
    <w:rPr>
      <w:rFonts w:ascii="Palatino Linotype" w:eastAsia="Times New Roman" w:hAnsi="Palatino Linotype"/>
      <w:color w:val="000000"/>
      <w:kern w:val="2"/>
      <w:szCs w:val="22"/>
      <w:lang w:eastAsia="de-DE" w:bidi="en-US"/>
    </w:rPr>
  </w:style>
  <w:style w:type="paragraph" w:customStyle="1" w:styleId="MDPI22heading2">
    <w:name w:val="MDPI_2.2_heading2"/>
    <w:qFormat/>
    <w:pPr>
      <w:snapToGrid w:val="0"/>
      <w:spacing w:before="60" w:after="60" w:line="228" w:lineRule="auto"/>
      <w:ind w:left="2608"/>
      <w:outlineLvl w:val="1"/>
    </w:pPr>
    <w:rPr>
      <w:rFonts w:ascii="Palatino Linotype" w:eastAsia="Times New Roman" w:hAnsi="Palatino Linotype"/>
      <w:i/>
      <w:noProof/>
      <w:color w:val="000000"/>
      <w:kern w:val="2"/>
      <w:szCs w:val="22"/>
      <w:lang w:eastAsia="de-DE" w:bidi="en-US"/>
    </w:rPr>
  </w:style>
  <w:style w:type="paragraph" w:customStyle="1" w:styleId="30">
    <w:name w:val="제목3"/>
    <w:basedOn w:val="Normal"/>
    <w:qFormat/>
    <w:pPr>
      <w:spacing w:before="240" w:line="480" w:lineRule="auto"/>
      <w:jc w:val="both"/>
    </w:pPr>
    <w:rPr>
      <w:rFonts w:ascii="Times New Roman" w:eastAsia="Times New Roman"/>
      <w:b/>
      <w:bCs/>
      <w:i/>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Myanmar Text"/>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Myanmar Text"/>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4283</Words>
  <Characters>24417</Characters>
  <Application>Microsoft Office Word</Application>
  <DocSecurity>0</DocSecurity>
  <Lines>203</Lines>
  <Paragraphs>57</Paragraphs>
  <ScaleCrop>false</ScaleCrop>
  <LinksUpToDate>false</LinksUpToDate>
  <CharactersWithSpaces>28643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2024-01-04T05:24:00Z</cp:lastPrinted>
  <dcterms:created xsi:type="dcterms:W3CDTF">2024-09-13T08:53:00Z</dcterms:created>
  <dcterms:modified xsi:type="dcterms:W3CDTF">2024-09-13T08:53:00Z</dcterms:modified>
  <cp:version>1200.0100.01</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49ac42a-3eb4-4074-b885-aea26bd6241e_ActionId">
    <vt:lpwstr>d6c60562-488c-4615-ae4e-4e029dd3013c</vt:lpwstr>
  </property>
  <property fmtid="{D5CDD505-2E9C-101B-9397-08002B2CF9AE}" pid="3" name="MSIP_Label_549ac42a-3eb4-4074-b885-aea26bd6241e_ContentBits">
    <vt:lpwstr>0</vt:lpwstr>
  </property>
  <property fmtid="{D5CDD505-2E9C-101B-9397-08002B2CF9AE}" pid="4" name="MSIP_Label_549ac42a-3eb4-4074-b885-aea26bd6241e_Enabled">
    <vt:lpwstr>true</vt:lpwstr>
  </property>
  <property fmtid="{D5CDD505-2E9C-101B-9397-08002B2CF9AE}" pid="5" name="MSIP_Label_549ac42a-3eb4-4074-b885-aea26bd6241e_Method">
    <vt:lpwstr>Standard</vt:lpwstr>
  </property>
  <property fmtid="{D5CDD505-2E9C-101B-9397-08002B2CF9AE}" pid="6" name="MSIP_Label_549ac42a-3eb4-4074-b885-aea26bd6241e_Name">
    <vt:lpwstr>General Business</vt:lpwstr>
  </property>
  <property fmtid="{D5CDD505-2E9C-101B-9397-08002B2CF9AE}" pid="7" name="MSIP_Label_549ac42a-3eb4-4074-b885-aea26bd6241e_SetDate">
    <vt:lpwstr>2022-01-28T14:07:19Z</vt:lpwstr>
  </property>
  <property fmtid="{D5CDD505-2E9C-101B-9397-08002B2CF9AE}" pid="8" name="MSIP_Label_549ac42a-3eb4-4074-b885-aea26bd6241e_SiteId">
    <vt:lpwstr>9274ee3f-9425-4109-a27f-9fb15c10675d</vt:lpwstr>
  </property>
</Properties>
</file>