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2628C" w:rsidRPr="002A37BC" w:rsidRDefault="0062628C" w:rsidP="002A37BC">
      <w:pPr>
        <w:pStyle w:val="NormalWeb"/>
        <w:spacing w:before="0" w:beforeAutospacing="0" w:after="0" w:afterAutospacing="0" w:line="480" w:lineRule="auto"/>
        <w:jc w:val="center"/>
        <w:rPr>
          <w:rFonts w:ascii="Arial" w:hAnsi="Arial" w:cs="Arial"/>
          <w:b/>
          <w:bCs/>
          <w:color w:val="000000" w:themeColor="text1"/>
          <w:sz w:val="22"/>
          <w:szCs w:val="22"/>
          <w:lang w:val="en-US"/>
        </w:rPr>
      </w:pPr>
      <w:r w:rsidRPr="002A37BC">
        <w:rPr>
          <w:rFonts w:ascii="Arial" w:hAnsi="Arial" w:cs="Arial"/>
          <w:b/>
          <w:bCs/>
          <w:color w:val="000000" w:themeColor="text1"/>
          <w:sz w:val="22"/>
          <w:szCs w:val="22"/>
          <w:lang w:val="en-US"/>
        </w:rPr>
        <w:t>Supplementary Materials and Methods</w:t>
      </w:r>
    </w:p>
    <w:p w:rsidR="0062628C" w:rsidRPr="002A37BC" w:rsidRDefault="0062628C" w:rsidP="00873FEA">
      <w:pPr>
        <w:pStyle w:val="NormalWeb"/>
        <w:spacing w:before="0" w:beforeAutospacing="0" w:after="0" w:afterAutospacing="0" w:line="480" w:lineRule="auto"/>
        <w:jc w:val="both"/>
        <w:rPr>
          <w:rFonts w:ascii="Arial" w:hAnsi="Arial" w:cs="Arial"/>
          <w:b/>
          <w:bCs/>
          <w:color w:val="000000" w:themeColor="text1"/>
          <w:sz w:val="22"/>
          <w:szCs w:val="22"/>
          <w:lang w:val="en-US"/>
        </w:rPr>
      </w:pPr>
    </w:p>
    <w:p w:rsidR="0062628C" w:rsidRPr="002A37BC" w:rsidRDefault="0062628C" w:rsidP="00873FEA">
      <w:pPr>
        <w:pStyle w:val="NormalWeb"/>
        <w:spacing w:before="0" w:beforeAutospacing="0" w:after="0" w:afterAutospacing="0" w:line="480" w:lineRule="auto"/>
        <w:jc w:val="both"/>
        <w:rPr>
          <w:rFonts w:ascii="Arial" w:hAnsi="Arial" w:cs="Arial"/>
          <w:color w:val="000000" w:themeColor="text1"/>
          <w:sz w:val="22"/>
          <w:szCs w:val="22"/>
          <w:lang w:val="en-US"/>
        </w:rPr>
      </w:pPr>
      <w:r w:rsidRPr="002A37BC">
        <w:rPr>
          <w:rFonts w:ascii="Arial" w:hAnsi="Arial" w:cs="Arial"/>
          <w:b/>
          <w:bCs/>
          <w:color w:val="000000" w:themeColor="text1"/>
          <w:sz w:val="22"/>
          <w:szCs w:val="22"/>
          <w:lang w:val="en-US"/>
        </w:rPr>
        <w:t>Behavioral evaluations.</w:t>
      </w:r>
      <w:r w:rsidRPr="002A37BC">
        <w:rPr>
          <w:rFonts w:ascii="Arial" w:hAnsi="Arial" w:cs="Arial"/>
          <w:color w:val="000000" w:themeColor="text1"/>
          <w:sz w:val="22"/>
          <w:szCs w:val="22"/>
          <w:lang w:val="en-US"/>
        </w:rPr>
        <w:t xml:space="preserve"> Behavioral experiments were conducted on animals randomly assigned by experimenters blinded to the injection group.</w:t>
      </w:r>
    </w:p>
    <w:p w:rsidR="0062628C" w:rsidRPr="002A37BC" w:rsidRDefault="0062628C" w:rsidP="00873FEA">
      <w:pPr>
        <w:spacing w:line="480" w:lineRule="auto"/>
        <w:jc w:val="both"/>
        <w:rPr>
          <w:rFonts w:ascii="Arial" w:hAnsi="Arial" w:cs="Arial"/>
          <w:color w:val="000000" w:themeColor="text1"/>
          <w:sz w:val="22"/>
          <w:szCs w:val="22"/>
        </w:rPr>
      </w:pPr>
      <w:r w:rsidRPr="002A37BC">
        <w:rPr>
          <w:rFonts w:ascii="Arial" w:hAnsi="Arial" w:cs="Arial"/>
          <w:b/>
          <w:bCs/>
          <w:i/>
          <w:iCs/>
          <w:color w:val="000000" w:themeColor="text1"/>
          <w:sz w:val="22"/>
          <w:szCs w:val="22"/>
        </w:rPr>
        <w:t>Actimetry</w:t>
      </w:r>
      <w:r w:rsidRPr="002A37BC">
        <w:rPr>
          <w:rFonts w:ascii="Arial" w:hAnsi="Arial" w:cs="Arial"/>
          <w:i/>
          <w:iCs/>
          <w:color w:val="000000" w:themeColor="text1"/>
          <w:sz w:val="22"/>
          <w:szCs w:val="22"/>
        </w:rPr>
        <w:t>.</w:t>
      </w:r>
      <w:r w:rsidRPr="002A37BC">
        <w:rPr>
          <w:rFonts w:ascii="Arial" w:hAnsi="Arial" w:cs="Arial"/>
          <w:color w:val="000000" w:themeColor="text1"/>
          <w:sz w:val="22"/>
          <w:szCs w:val="22"/>
        </w:rPr>
        <w:t xml:space="preserve"> Mice were individually placed at the center of an infrared </w:t>
      </w:r>
      <w:proofErr w:type="spellStart"/>
      <w:r w:rsidRPr="002A37BC">
        <w:rPr>
          <w:rFonts w:ascii="Arial" w:hAnsi="Arial" w:cs="Arial"/>
          <w:color w:val="000000" w:themeColor="text1"/>
          <w:sz w:val="22"/>
          <w:szCs w:val="22"/>
        </w:rPr>
        <w:t>Actimeter</w:t>
      </w:r>
      <w:proofErr w:type="spellEnd"/>
      <w:r w:rsidRPr="002A37BC">
        <w:rPr>
          <w:rFonts w:ascii="Arial" w:hAnsi="Arial" w:cs="Arial"/>
          <w:color w:val="000000" w:themeColor="text1"/>
          <w:sz w:val="22"/>
          <w:szCs w:val="22"/>
        </w:rPr>
        <w:t xml:space="preserve"> apparatus (45x45x35 cm, BIOSEB; LE8816)</w:t>
      </w:r>
      <w:r w:rsidRPr="002A37BC">
        <w:rPr>
          <w:rFonts w:ascii="Arial" w:hAnsi="Arial" w:cs="Arial"/>
          <w:color w:val="000000" w:themeColor="text1"/>
          <w:sz w:val="22"/>
          <w:szCs w:val="22"/>
          <w:lang w:val="en-GB"/>
        </w:rPr>
        <w:t xml:space="preserve"> composed by a 2-dimensional square frame</w:t>
      </w:r>
      <w:r w:rsidRPr="002A37BC">
        <w:rPr>
          <w:rFonts w:ascii="Arial" w:hAnsi="Arial" w:cs="Arial"/>
          <w:color w:val="000000" w:themeColor="text1"/>
          <w:sz w:val="22"/>
          <w:szCs w:val="22"/>
        </w:rPr>
        <w:t xml:space="preserve">, enlightened by a flood light (40 lux) placed above. Mice had 10 min exploration-time and their spontaneous behavior was tracked with velocity and distance moved recorded by </w:t>
      </w:r>
      <w:proofErr w:type="spellStart"/>
      <w:r w:rsidRPr="002A37BC">
        <w:rPr>
          <w:rFonts w:ascii="Arial" w:hAnsi="Arial" w:cs="Arial"/>
          <w:color w:val="000000" w:themeColor="text1"/>
          <w:sz w:val="22"/>
          <w:szCs w:val="22"/>
        </w:rPr>
        <w:t>Actitrack</w:t>
      </w:r>
      <w:proofErr w:type="spellEnd"/>
      <w:r w:rsidRPr="002A37BC">
        <w:rPr>
          <w:rFonts w:ascii="Arial" w:hAnsi="Arial" w:cs="Arial"/>
          <w:color w:val="000000" w:themeColor="text1"/>
          <w:sz w:val="22"/>
          <w:szCs w:val="22"/>
        </w:rPr>
        <w:t xml:space="preserve"> software (BIOSEB).</w:t>
      </w:r>
    </w:p>
    <w:p w:rsidR="0062628C" w:rsidRPr="002A37BC" w:rsidRDefault="0062628C" w:rsidP="00873FEA">
      <w:pPr>
        <w:pStyle w:val="NormalWeb"/>
        <w:spacing w:before="0" w:beforeAutospacing="0" w:after="0" w:afterAutospacing="0" w:line="480" w:lineRule="auto"/>
        <w:jc w:val="both"/>
        <w:rPr>
          <w:rFonts w:ascii="Arial" w:hAnsi="Arial" w:cs="Arial"/>
          <w:color w:val="000000" w:themeColor="text1"/>
          <w:sz w:val="22"/>
          <w:szCs w:val="22"/>
          <w:lang w:val="en-US"/>
        </w:rPr>
      </w:pPr>
      <w:r w:rsidRPr="002A37BC">
        <w:rPr>
          <w:rFonts w:ascii="Arial" w:hAnsi="Arial" w:cs="Arial"/>
          <w:b/>
          <w:bCs/>
          <w:i/>
          <w:iCs/>
          <w:color w:val="000000" w:themeColor="text1"/>
          <w:sz w:val="22"/>
          <w:szCs w:val="22"/>
          <w:lang w:val="en-US"/>
        </w:rPr>
        <w:t>Elevated Plus Maze</w:t>
      </w:r>
      <w:r w:rsidRPr="002A37BC">
        <w:rPr>
          <w:rFonts w:ascii="Arial" w:hAnsi="Arial" w:cs="Arial"/>
          <w:i/>
          <w:iCs/>
          <w:color w:val="000000" w:themeColor="text1"/>
          <w:sz w:val="22"/>
          <w:szCs w:val="22"/>
          <w:lang w:val="en-US"/>
        </w:rPr>
        <w:t>.</w:t>
      </w:r>
      <w:r w:rsidRPr="002A37BC">
        <w:rPr>
          <w:rFonts w:ascii="Arial" w:hAnsi="Arial" w:cs="Arial"/>
          <w:color w:val="000000" w:themeColor="text1"/>
          <w:sz w:val="22"/>
          <w:szCs w:val="22"/>
          <w:lang w:val="en-US"/>
        </w:rPr>
        <w:t xml:space="preserve"> Anxiety-related behavior was assessed using an Elevated Plus Maze which is a cross platform with 2 open arms and 2 closed arms (80 cm long x 7 cm wide), enlightened by a flood light (open arms: 170-180 lux; closed arms: 50-60 lux) placed above. Mice were placed at the center of the maze with their face in the direction of a closed arm and were allowed to explore freely for 5 min. Time spent in each arm was recorded using the </w:t>
      </w:r>
      <w:proofErr w:type="spellStart"/>
      <w:r w:rsidRPr="002A37BC">
        <w:rPr>
          <w:rFonts w:ascii="Arial" w:hAnsi="Arial" w:cs="Arial"/>
          <w:color w:val="000000" w:themeColor="text1"/>
          <w:sz w:val="22"/>
          <w:szCs w:val="22"/>
          <w:lang w:val="en-US"/>
        </w:rPr>
        <w:t>Ethovision</w:t>
      </w:r>
      <w:proofErr w:type="spellEnd"/>
      <w:r w:rsidRPr="002A37BC">
        <w:rPr>
          <w:rFonts w:ascii="Arial" w:hAnsi="Arial" w:cs="Arial"/>
          <w:color w:val="000000" w:themeColor="text1"/>
          <w:sz w:val="22"/>
          <w:szCs w:val="22"/>
          <w:lang w:val="en-US"/>
        </w:rPr>
        <w:t xml:space="preserve"> XT tracking system (</w:t>
      </w:r>
      <w:proofErr w:type="spellStart"/>
      <w:r w:rsidRPr="002A37BC">
        <w:rPr>
          <w:rFonts w:ascii="Arial" w:hAnsi="Arial" w:cs="Arial"/>
          <w:color w:val="000000" w:themeColor="text1"/>
          <w:sz w:val="22"/>
          <w:szCs w:val="22"/>
          <w:lang w:val="en-US"/>
        </w:rPr>
        <w:t>Noldus</w:t>
      </w:r>
      <w:proofErr w:type="spellEnd"/>
      <w:r w:rsidRPr="002A37BC">
        <w:rPr>
          <w:rFonts w:ascii="Arial" w:hAnsi="Arial" w:cs="Arial"/>
          <w:color w:val="000000" w:themeColor="text1"/>
          <w:sz w:val="22"/>
          <w:szCs w:val="22"/>
          <w:lang w:val="en-US"/>
        </w:rPr>
        <w:t>).</w:t>
      </w:r>
    </w:p>
    <w:p w:rsidR="0062628C" w:rsidRPr="002A37BC" w:rsidRDefault="0062628C" w:rsidP="00873FEA">
      <w:pPr>
        <w:pStyle w:val="NormalWeb"/>
        <w:spacing w:before="0" w:beforeAutospacing="0" w:after="0" w:afterAutospacing="0" w:line="480" w:lineRule="auto"/>
        <w:jc w:val="both"/>
        <w:rPr>
          <w:rFonts w:ascii="Arial" w:hAnsi="Arial" w:cs="Arial"/>
          <w:color w:val="000000" w:themeColor="text1"/>
          <w:sz w:val="22"/>
          <w:szCs w:val="22"/>
          <w:lang w:val="en-US"/>
        </w:rPr>
      </w:pPr>
      <w:r w:rsidRPr="002A37BC">
        <w:rPr>
          <w:rFonts w:ascii="Arial" w:hAnsi="Arial" w:cs="Arial"/>
          <w:b/>
          <w:bCs/>
          <w:i/>
          <w:iCs/>
          <w:color w:val="000000" w:themeColor="text1"/>
          <w:sz w:val="22"/>
          <w:szCs w:val="22"/>
          <w:lang w:val="en-US"/>
        </w:rPr>
        <w:t>Y-Maze.</w:t>
      </w:r>
      <w:r w:rsidRPr="002A37BC">
        <w:rPr>
          <w:rFonts w:ascii="Arial" w:hAnsi="Arial" w:cs="Arial"/>
          <w:color w:val="000000" w:themeColor="text1"/>
          <w:sz w:val="22"/>
          <w:szCs w:val="22"/>
          <w:lang w:val="en-US"/>
        </w:rPr>
        <w:t xml:space="preserve"> Short-term spatial memory was assessed in a spontaneous novelty-based spatial preference Y-maze test, composed of 3 arms (30 cm long x 8 cm wide), lit by a flood light (7-8 lux), placed above. Different extra-maze cues were placed on the surrounding walls. During the learning phase, mice were placed at the end of the “start” arm and were allowed to explore the “start” and the “familiar” arms for 5 min. Access to the third arm of the maze (“novel” arm) was blocked by an opaque door. The mouse was then removed from the maze and returned to its home cage for 2 min. In the test phase, the mouse was placed again in the “start” arm of the maze, the door of the “novel” arm was removed and the mouse was allowed to explore the maze for 1 min (</w:t>
      </w:r>
      <w:r w:rsidRPr="002A37BC">
        <w:rPr>
          <w:rFonts w:ascii="Arial" w:hAnsi="Arial" w:cs="Arial"/>
          <w:b/>
          <w:bCs/>
          <w:color w:val="000000" w:themeColor="text1"/>
          <w:sz w:val="22"/>
          <w:szCs w:val="22"/>
          <w:lang w:val="en-US"/>
        </w:rPr>
        <w:t>Figure 6A</w:t>
      </w:r>
      <w:r w:rsidRPr="002A37BC">
        <w:rPr>
          <w:rFonts w:ascii="Arial" w:hAnsi="Arial" w:cs="Arial"/>
          <w:color w:val="000000" w:themeColor="text1"/>
          <w:sz w:val="22"/>
          <w:szCs w:val="22"/>
          <w:lang w:val="en-US"/>
        </w:rPr>
        <w:t xml:space="preserve">). Allocation of the “novel” arm was randomly counterbalanced within each group. The amount of time the mouse spent in each arm of the maze was recorded during both learning and test phases using </w:t>
      </w:r>
      <w:proofErr w:type="spellStart"/>
      <w:r w:rsidRPr="002A37BC">
        <w:rPr>
          <w:rFonts w:ascii="Arial" w:hAnsi="Arial" w:cs="Arial"/>
          <w:color w:val="000000" w:themeColor="text1"/>
          <w:sz w:val="22"/>
          <w:szCs w:val="22"/>
          <w:lang w:val="en-US"/>
        </w:rPr>
        <w:t>EthovisionXT</w:t>
      </w:r>
      <w:proofErr w:type="spellEnd"/>
      <w:r w:rsidRPr="002A37BC">
        <w:rPr>
          <w:rFonts w:ascii="Arial" w:hAnsi="Arial" w:cs="Arial"/>
          <w:color w:val="000000" w:themeColor="text1"/>
          <w:sz w:val="22"/>
          <w:szCs w:val="22"/>
          <w:lang w:val="en-US"/>
        </w:rPr>
        <w:t xml:space="preserve"> (</w:t>
      </w:r>
      <w:proofErr w:type="spellStart"/>
      <w:r w:rsidRPr="002A37BC">
        <w:rPr>
          <w:rFonts w:ascii="Arial" w:hAnsi="Arial" w:cs="Arial"/>
          <w:color w:val="000000" w:themeColor="text1"/>
          <w:sz w:val="22"/>
          <w:szCs w:val="22"/>
          <w:lang w:val="en-US"/>
        </w:rPr>
        <w:t>Noldus</w:t>
      </w:r>
      <w:proofErr w:type="spellEnd"/>
      <w:r w:rsidRPr="002A37BC">
        <w:rPr>
          <w:rFonts w:ascii="Arial" w:hAnsi="Arial" w:cs="Arial"/>
          <w:color w:val="000000" w:themeColor="text1"/>
          <w:sz w:val="22"/>
          <w:szCs w:val="22"/>
          <w:lang w:val="en-US"/>
        </w:rPr>
        <w:t>). For the learning phase, we calculated the percentage of time spent in the “familiar” arm vs. the “start” arm. For the test phase, a discrimination index as [novel arm</w:t>
      </w:r>
      <w:proofErr w:type="gramStart"/>
      <w:r w:rsidRPr="002A37BC">
        <w:rPr>
          <w:rFonts w:ascii="Arial" w:hAnsi="Arial" w:cs="Arial"/>
          <w:color w:val="000000" w:themeColor="text1"/>
          <w:sz w:val="22"/>
          <w:szCs w:val="22"/>
          <w:lang w:val="en-US"/>
        </w:rPr>
        <w:t>/(</w:t>
      </w:r>
      <w:proofErr w:type="spellStart"/>
      <w:proofErr w:type="gramEnd"/>
      <w:r w:rsidRPr="002A37BC">
        <w:rPr>
          <w:rFonts w:ascii="Arial" w:hAnsi="Arial" w:cs="Arial"/>
          <w:color w:val="000000" w:themeColor="text1"/>
          <w:sz w:val="22"/>
          <w:szCs w:val="22"/>
          <w:lang w:val="en-US"/>
        </w:rPr>
        <w:t>novel+familiar</w:t>
      </w:r>
      <w:proofErr w:type="spellEnd"/>
      <w:r w:rsidRPr="002A37BC">
        <w:rPr>
          <w:rFonts w:ascii="Arial" w:hAnsi="Arial" w:cs="Arial"/>
          <w:color w:val="000000" w:themeColor="text1"/>
          <w:sz w:val="22"/>
          <w:szCs w:val="22"/>
          <w:lang w:val="en-US"/>
        </w:rPr>
        <w:t xml:space="preserve"> arm)] × 100 was calculated.</w:t>
      </w:r>
    </w:p>
    <w:p w:rsidR="0062628C" w:rsidRPr="002A37BC" w:rsidRDefault="0062628C" w:rsidP="00873FEA">
      <w:pPr>
        <w:spacing w:line="480" w:lineRule="auto"/>
        <w:jc w:val="both"/>
        <w:rPr>
          <w:rFonts w:ascii="Arial" w:hAnsi="Arial" w:cs="Arial"/>
          <w:color w:val="000000" w:themeColor="text1"/>
          <w:sz w:val="22"/>
          <w:szCs w:val="22"/>
        </w:rPr>
      </w:pPr>
      <w:r w:rsidRPr="002A37BC">
        <w:rPr>
          <w:rFonts w:ascii="Arial" w:hAnsi="Arial" w:cs="Arial"/>
          <w:b/>
          <w:bCs/>
          <w:i/>
          <w:iCs/>
          <w:color w:val="000000" w:themeColor="text1"/>
          <w:sz w:val="22"/>
          <w:szCs w:val="22"/>
        </w:rPr>
        <w:lastRenderedPageBreak/>
        <w:t>Barnes Maze</w:t>
      </w:r>
      <w:r w:rsidRPr="002A37BC">
        <w:rPr>
          <w:rFonts w:ascii="Arial" w:hAnsi="Arial" w:cs="Arial"/>
          <w:i/>
          <w:iCs/>
          <w:color w:val="000000" w:themeColor="text1"/>
          <w:sz w:val="22"/>
          <w:szCs w:val="22"/>
        </w:rPr>
        <w:t>.</w:t>
      </w:r>
      <w:r w:rsidRPr="002A37BC">
        <w:rPr>
          <w:rFonts w:ascii="Arial" w:hAnsi="Arial" w:cs="Arial"/>
          <w:color w:val="000000" w:themeColor="text1"/>
          <w:sz w:val="22"/>
          <w:szCs w:val="22"/>
        </w:rPr>
        <w:t xml:space="preserve"> Spatial learning and long-term memory were evaluated using the Barnes maze task. This maze is a white circular PVC open platform surface (120 cm diameter) with 40 equally spaced holes (5 cm of diameter) located at 5 cm from its circumference and a black escape box (5x5 cm) located under one of the 40 holes. The platform is placed on a swivel system (to rotate it easily) in the center of the room, elevated 80 cm above the floor, lit by a flood light (800 lux) placed above and surrounded by spatial cues. Mice completed a habituation trial (5 min) to become familiar with the maze environment. Then, mice completed 4 days of acquisition training (learning phase) with 4 trials per day. For each trial, mice were placed in a start tube in the center of the maze (for 5-10 s) and then trained to locate the escape hole (randomized for all mice) using spatial cues surrounding the maze.  If the mouse did not enter the escape hole in 3 min it was gently guided to the escape hole. Mice remained 60 s in the escape box before returning to its home cage. The inter-trial interval was 15 min. To reduce intra-maze odor cues, the maze surface and escape box were cleaned with 70% ethanol between each trial and the maze was rotated clockwise a quarter turn every day. Twenty-four hours after the last day of the training, mice completed a 2 min probe trial (test phase) where the escape box was removed. For the acquisition phase, the number of primary errors (number of times the mouse explores the other holes before finding the target one), primary latency (the time spent before finding the target hole) and distance moved (the distance travelled before finding the target hole) were recorded (</w:t>
      </w:r>
      <w:r w:rsidRPr="002A37BC">
        <w:rPr>
          <w:rFonts w:ascii="Arial" w:hAnsi="Arial" w:cs="Arial"/>
          <w:b/>
          <w:bCs/>
          <w:color w:val="000000" w:themeColor="text1"/>
          <w:sz w:val="22"/>
          <w:szCs w:val="22"/>
        </w:rPr>
        <w:t>Figure 6C</w:t>
      </w:r>
      <w:r w:rsidRPr="002A37BC">
        <w:rPr>
          <w:rFonts w:ascii="Arial" w:hAnsi="Arial" w:cs="Arial"/>
          <w:color w:val="000000" w:themeColor="text1"/>
          <w:sz w:val="22"/>
          <w:szCs w:val="22"/>
        </w:rPr>
        <w:t xml:space="preserve">). For the test phase, the time spent in the target quadrant was calculated. </w:t>
      </w:r>
    </w:p>
    <w:p w:rsidR="00D36DF3" w:rsidRPr="002A37BC" w:rsidRDefault="00D36DF3" w:rsidP="00873FEA">
      <w:pPr>
        <w:spacing w:line="480" w:lineRule="auto"/>
        <w:jc w:val="both"/>
        <w:rPr>
          <w:rFonts w:ascii="Arial" w:hAnsi="Arial" w:cs="Arial"/>
          <w:color w:val="000000" w:themeColor="text1"/>
          <w:sz w:val="22"/>
          <w:szCs w:val="22"/>
        </w:rPr>
      </w:pPr>
    </w:p>
    <w:p w:rsidR="00D36DF3" w:rsidRPr="002A37BC" w:rsidRDefault="00D36DF3" w:rsidP="00873FEA">
      <w:pPr>
        <w:pStyle w:val="NormalWeb"/>
        <w:spacing w:before="0" w:beforeAutospacing="0" w:after="0" w:afterAutospacing="0" w:line="480" w:lineRule="auto"/>
        <w:jc w:val="both"/>
        <w:rPr>
          <w:rFonts w:ascii="Arial" w:hAnsi="Arial" w:cs="Arial"/>
          <w:color w:val="000000" w:themeColor="text1"/>
          <w:sz w:val="22"/>
          <w:szCs w:val="22"/>
          <w:lang w:val="en-US"/>
        </w:rPr>
      </w:pPr>
      <w:proofErr w:type="spellStart"/>
      <w:r w:rsidRPr="002A37BC">
        <w:rPr>
          <w:rFonts w:ascii="Arial" w:hAnsi="Arial" w:cs="Arial"/>
          <w:b/>
          <w:bCs/>
          <w:color w:val="000000" w:themeColor="text1"/>
          <w:sz w:val="22"/>
          <w:szCs w:val="22"/>
          <w:lang w:val="en-US"/>
        </w:rPr>
        <w:t>RNAseq</w:t>
      </w:r>
      <w:proofErr w:type="spellEnd"/>
      <w:r w:rsidRPr="002A37BC">
        <w:rPr>
          <w:rFonts w:ascii="Arial" w:hAnsi="Arial" w:cs="Arial"/>
          <w:b/>
          <w:bCs/>
          <w:i/>
          <w:iCs/>
          <w:color w:val="000000" w:themeColor="text1"/>
          <w:sz w:val="22"/>
          <w:szCs w:val="22"/>
          <w:lang w:val="en-US"/>
        </w:rPr>
        <w:t>.</w:t>
      </w:r>
      <w:r w:rsidRPr="002A37BC">
        <w:rPr>
          <w:rFonts w:ascii="Arial" w:hAnsi="Arial" w:cs="Arial"/>
          <w:b/>
          <w:bCs/>
          <w:color w:val="000000" w:themeColor="text1"/>
          <w:sz w:val="22"/>
          <w:szCs w:val="22"/>
          <w:lang w:val="en-US"/>
        </w:rPr>
        <w:t xml:space="preserve"> </w:t>
      </w:r>
      <w:r w:rsidRPr="002A37BC">
        <w:rPr>
          <w:rFonts w:ascii="Arial" w:hAnsi="Arial" w:cs="Arial"/>
          <w:color w:val="000000" w:themeColor="text1"/>
          <w:sz w:val="22"/>
          <w:szCs w:val="22"/>
          <w:lang w:val="en-US"/>
        </w:rPr>
        <w:t>mRNAs from astrocyte-enriched suspensions were extracted as described previously</w:t>
      </w:r>
      <w:r w:rsidRPr="002A37BC">
        <w:rPr>
          <w:rFonts w:ascii="Arial" w:hAnsi="Arial" w:cs="Arial"/>
          <w:color w:val="000000" w:themeColor="text1"/>
          <w:sz w:val="22"/>
          <w:szCs w:val="22"/>
          <w:lang w:val="en-US"/>
        </w:rPr>
        <w:fldChar w:fldCharType="begin"/>
      </w:r>
      <w:r w:rsidRPr="002A37BC">
        <w:rPr>
          <w:rFonts w:ascii="Arial" w:hAnsi="Arial" w:cs="Arial"/>
          <w:color w:val="000000" w:themeColor="text1"/>
          <w:sz w:val="22"/>
          <w:szCs w:val="22"/>
          <w:lang w:val="en-US"/>
        </w:rPr>
        <w:instrText xml:space="preserve"> ADDIN ZOTERO_ITEM CSL_CITATION {"citationID":"MKTHqogz","properties":{"formattedCitation":"\\super 39\\nosupersub{}","plainCitation":"39","noteIndex":0},"citationItems":[{"id":778,"uris":["http://zotero.org/users/local/7BaFczpi/items/TK8978AC"],"itemData":{"id":778,"type":"article-journal","abstract":"Astrocytes are a major cell type in the mammalian CNS. Astrocytes are now known to play a number of essential roles in processes including synapse formation and function, as well as blood-brain barrier formation and control of cerebral blood flow. However, our understanding of the molecular mechanisms underlying astrocyte development and function is still rudimentary. This lack of knowledge is at least partly due to the lack of tools currently available for astrocyte biology. ACSA-2 is a commercially available antibody originally developed for the isolation of astrocytes from young postnatal mouse brain, using magnetic cell-sorting methods, but its utility in isolating cells from adult tissue has not yet been published. Using a modified protocol, we now show that this tool can also be used to isolate ultrapure astrocytes from the adult brain. Furthermore, using a variety of techniques (including single-cell sequencing, overexpression and knockdown assays, immunoblotting, and immunohistochemistry), we identify the ACSA-2 epitope for the first time as ATP1B2 and characterize its distribution in the CNS. Finally, we show that ATP1B2 is stably expressed in multiple models of CNS injury and disease. Hence, we show that the ACSA-2 antibody possesses the potential to be an extremely valuable tool for astrocyte research, allowing the purification and characterization of astrocytes (potentially including injury and disease models) without the need for any specialized and expensive equipment. In fact, our results suggest that ACSA-2 should be a first-choice method for astrocyte isolation and characterization.","container-title":"The Journal of Biological Chemistry","DOI":"10.1074/jbc.M116.765313","ISSN":"1083-351X","issue":"21","journalAbbreviation":"J Biol Chem","language":"eng","note":"PMID: 28373281\nPMCID: PMC5448122","page":"8874-8891","source":"PubMed","title":"An immunoaffinity-based method for isolating ultrapure adult astrocytes based on ATP1B2 targeting by the ACSA-2 antibody","volume":"292","author":[{"family":"Batiuk","given":"Mykhailo Y."},{"family":"Vin","given":"Filip","non-dropping-particle":"de"},{"family":"Duqué","given":"Sandra I."},{"family":"Li","given":"Chen"},{"family":"Saito","given":"Takashi"},{"family":"Saido","given":"Takaomi"},{"family":"Fiers","given":"Mark"},{"family":"Belgard","given":"T. Grant"},{"family":"Holt","given":"Matthew G."}],"issued":{"date-parts":[["2017",5,26]]}}}],"schema":"https://github.com/citation-style-language/schema/raw/master/csl-citation.json"} </w:instrText>
      </w:r>
      <w:r w:rsidRPr="002A37BC">
        <w:rPr>
          <w:rFonts w:ascii="Arial" w:hAnsi="Arial" w:cs="Arial"/>
          <w:color w:val="000000" w:themeColor="text1"/>
          <w:sz w:val="22"/>
          <w:szCs w:val="22"/>
          <w:lang w:val="en-US"/>
        </w:rPr>
        <w:fldChar w:fldCharType="separate"/>
      </w:r>
      <w:r w:rsidRPr="002A37BC">
        <w:rPr>
          <w:rFonts w:ascii="Arial" w:hAnsi="Arial" w:cs="Arial"/>
          <w:color w:val="000000" w:themeColor="text1"/>
          <w:sz w:val="22"/>
          <w:vertAlign w:val="superscript"/>
          <w:lang w:val="en-US"/>
        </w:rPr>
        <w:t>39</w:t>
      </w:r>
      <w:r w:rsidRPr="002A37BC">
        <w:rPr>
          <w:rFonts w:ascii="Arial" w:hAnsi="Arial" w:cs="Arial"/>
          <w:color w:val="000000" w:themeColor="text1"/>
          <w:sz w:val="22"/>
          <w:szCs w:val="22"/>
          <w:lang w:val="en-US"/>
        </w:rPr>
        <w:fldChar w:fldCharType="end"/>
      </w:r>
      <w:r w:rsidRPr="002A37BC">
        <w:rPr>
          <w:rFonts w:ascii="Arial" w:hAnsi="Arial" w:cs="Arial"/>
          <w:color w:val="000000" w:themeColor="text1"/>
          <w:sz w:val="22"/>
          <w:szCs w:val="22"/>
          <w:lang w:val="en-US"/>
        </w:rPr>
        <w:t xml:space="preserve">. Full length cDNAs were generated from 500 </w:t>
      </w:r>
      <w:proofErr w:type="spellStart"/>
      <w:r w:rsidRPr="002A37BC">
        <w:rPr>
          <w:rFonts w:ascii="Arial" w:hAnsi="Arial" w:cs="Arial"/>
          <w:color w:val="000000" w:themeColor="text1"/>
          <w:sz w:val="22"/>
          <w:szCs w:val="22"/>
          <w:lang w:val="en-US"/>
        </w:rPr>
        <w:t>pg</w:t>
      </w:r>
      <w:proofErr w:type="spellEnd"/>
      <w:r w:rsidRPr="002A37BC">
        <w:rPr>
          <w:rFonts w:ascii="Arial" w:hAnsi="Arial" w:cs="Arial"/>
          <w:color w:val="000000" w:themeColor="text1"/>
          <w:sz w:val="22"/>
          <w:szCs w:val="22"/>
          <w:lang w:val="en-US"/>
        </w:rPr>
        <w:t xml:space="preserve"> to 1ng of total RNA using SMART-</w:t>
      </w:r>
      <w:proofErr w:type="spellStart"/>
      <w:r w:rsidRPr="002A37BC">
        <w:rPr>
          <w:rFonts w:ascii="Arial" w:hAnsi="Arial" w:cs="Arial"/>
          <w:color w:val="000000" w:themeColor="text1"/>
          <w:sz w:val="22"/>
          <w:szCs w:val="22"/>
          <w:lang w:val="en-US"/>
        </w:rPr>
        <w:t>SeqX</w:t>
      </w:r>
      <w:proofErr w:type="spellEnd"/>
      <w:r w:rsidRPr="002A37BC">
        <w:rPr>
          <w:rFonts w:ascii="Arial" w:hAnsi="Arial" w:cs="Arial"/>
          <w:color w:val="000000" w:themeColor="text1"/>
          <w:sz w:val="22"/>
          <w:szCs w:val="22"/>
          <w:lang w:val="en-US"/>
        </w:rPr>
        <w:t xml:space="preserve"> v4 </w:t>
      </w:r>
      <w:proofErr w:type="spellStart"/>
      <w:r w:rsidRPr="002A37BC">
        <w:rPr>
          <w:rFonts w:ascii="Arial" w:hAnsi="Arial" w:cs="Arial"/>
          <w:color w:val="000000" w:themeColor="text1"/>
          <w:sz w:val="22"/>
          <w:szCs w:val="22"/>
          <w:lang w:val="en-US"/>
        </w:rPr>
        <w:t>UltraX</w:t>
      </w:r>
      <w:proofErr w:type="spellEnd"/>
      <w:r w:rsidRPr="002A37BC">
        <w:rPr>
          <w:rFonts w:ascii="Arial" w:hAnsi="Arial" w:cs="Arial"/>
          <w:color w:val="000000" w:themeColor="text1"/>
          <w:sz w:val="22"/>
          <w:szCs w:val="22"/>
          <w:lang w:val="en-US"/>
        </w:rPr>
        <w:t xml:space="preserve"> Low Input RNA Kit for Sequencing (Takara Bio Europe, Saint Germain </w:t>
      </w:r>
      <w:proofErr w:type="spellStart"/>
      <w:r w:rsidRPr="002A37BC">
        <w:rPr>
          <w:rFonts w:ascii="Arial" w:hAnsi="Arial" w:cs="Arial"/>
          <w:color w:val="000000" w:themeColor="text1"/>
          <w:sz w:val="22"/>
          <w:szCs w:val="22"/>
          <w:lang w:val="en-US"/>
        </w:rPr>
        <w:t>en</w:t>
      </w:r>
      <w:proofErr w:type="spellEnd"/>
      <w:r w:rsidRPr="002A37BC">
        <w:rPr>
          <w:rFonts w:ascii="Arial" w:hAnsi="Arial" w:cs="Arial"/>
          <w:color w:val="000000" w:themeColor="text1"/>
          <w:sz w:val="22"/>
          <w:szCs w:val="22"/>
          <w:lang w:val="en-US"/>
        </w:rPr>
        <w:t xml:space="preserve"> </w:t>
      </w:r>
      <w:proofErr w:type="spellStart"/>
      <w:r w:rsidRPr="002A37BC">
        <w:rPr>
          <w:rFonts w:ascii="Arial" w:hAnsi="Arial" w:cs="Arial"/>
          <w:color w:val="000000" w:themeColor="text1"/>
          <w:sz w:val="22"/>
          <w:szCs w:val="22"/>
          <w:lang w:val="en-US"/>
        </w:rPr>
        <w:t>Laye</w:t>
      </w:r>
      <w:proofErr w:type="spellEnd"/>
      <w:r w:rsidRPr="002A37BC">
        <w:rPr>
          <w:rFonts w:ascii="Arial" w:hAnsi="Arial" w:cs="Arial"/>
          <w:color w:val="000000" w:themeColor="text1"/>
          <w:sz w:val="22"/>
          <w:szCs w:val="22"/>
          <w:lang w:val="en-US"/>
        </w:rPr>
        <w:t xml:space="preserve">, France) according to manufacturer's instructions with 12 cycles of PCR for cDNA amplification by Seq-Amp polymerase. 600 </w:t>
      </w:r>
      <w:proofErr w:type="spellStart"/>
      <w:r w:rsidRPr="002A37BC">
        <w:rPr>
          <w:rFonts w:ascii="Arial" w:hAnsi="Arial" w:cs="Arial"/>
          <w:color w:val="000000" w:themeColor="text1"/>
          <w:sz w:val="22"/>
          <w:szCs w:val="22"/>
          <w:lang w:val="en-US"/>
        </w:rPr>
        <w:t>pg</w:t>
      </w:r>
      <w:proofErr w:type="spellEnd"/>
      <w:r w:rsidRPr="002A37BC">
        <w:rPr>
          <w:rFonts w:ascii="Arial" w:hAnsi="Arial" w:cs="Arial"/>
          <w:color w:val="000000" w:themeColor="text1"/>
          <w:sz w:val="22"/>
          <w:szCs w:val="22"/>
          <w:lang w:val="en-US"/>
        </w:rPr>
        <w:t xml:space="preserve"> of pre-amplified cDNA were then used as input for Tn5 transposon </w:t>
      </w:r>
      <w:proofErr w:type="spellStart"/>
      <w:r w:rsidRPr="002A37BC">
        <w:rPr>
          <w:rFonts w:ascii="Arial" w:hAnsi="Arial" w:cs="Arial"/>
          <w:color w:val="000000" w:themeColor="text1"/>
          <w:sz w:val="22"/>
          <w:szCs w:val="22"/>
          <w:lang w:val="en-US"/>
        </w:rPr>
        <w:t>tagmentation</w:t>
      </w:r>
      <w:proofErr w:type="spellEnd"/>
      <w:r w:rsidRPr="002A37BC">
        <w:rPr>
          <w:rFonts w:ascii="Arial" w:hAnsi="Arial" w:cs="Arial"/>
          <w:color w:val="000000" w:themeColor="text1"/>
          <w:sz w:val="22"/>
          <w:szCs w:val="22"/>
          <w:lang w:val="en-US"/>
        </w:rPr>
        <w:t xml:space="preserve"> by the </w:t>
      </w:r>
      <w:proofErr w:type="spellStart"/>
      <w:r w:rsidRPr="002A37BC">
        <w:rPr>
          <w:rFonts w:ascii="Arial" w:hAnsi="Arial" w:cs="Arial"/>
          <w:color w:val="000000" w:themeColor="text1"/>
          <w:sz w:val="22"/>
          <w:szCs w:val="22"/>
          <w:lang w:val="en-US"/>
        </w:rPr>
        <w:t>Nextera</w:t>
      </w:r>
      <w:proofErr w:type="spellEnd"/>
      <w:r w:rsidRPr="002A37BC">
        <w:rPr>
          <w:rFonts w:ascii="Arial" w:hAnsi="Arial" w:cs="Arial"/>
          <w:color w:val="000000" w:themeColor="text1"/>
          <w:sz w:val="22"/>
          <w:szCs w:val="22"/>
          <w:lang w:val="en-US"/>
        </w:rPr>
        <w:t xml:space="preserve"> XT DNA Library Preparation Kit (96 samples) (Illumina, San Diego, USA) followed by 12 cycles of library amplification. Following purification </w:t>
      </w:r>
      <w:r w:rsidRPr="002A37BC">
        <w:rPr>
          <w:rFonts w:ascii="Arial" w:hAnsi="Arial" w:cs="Arial"/>
          <w:color w:val="000000" w:themeColor="text1"/>
          <w:sz w:val="22"/>
          <w:szCs w:val="22"/>
          <w:lang w:val="en-US"/>
        </w:rPr>
        <w:lastRenderedPageBreak/>
        <w:t xml:space="preserve">with </w:t>
      </w:r>
      <w:proofErr w:type="spellStart"/>
      <w:r w:rsidRPr="002A37BC">
        <w:rPr>
          <w:rFonts w:ascii="Arial" w:hAnsi="Arial" w:cs="Arial"/>
          <w:color w:val="000000" w:themeColor="text1"/>
          <w:sz w:val="22"/>
          <w:szCs w:val="22"/>
          <w:lang w:val="en-US"/>
        </w:rPr>
        <w:t>SPRIselect</w:t>
      </w:r>
      <w:proofErr w:type="spellEnd"/>
      <w:r w:rsidRPr="002A37BC">
        <w:rPr>
          <w:rFonts w:ascii="Arial" w:hAnsi="Arial" w:cs="Arial"/>
          <w:color w:val="000000" w:themeColor="text1"/>
          <w:sz w:val="22"/>
          <w:szCs w:val="22"/>
          <w:lang w:val="en-US"/>
        </w:rPr>
        <w:t xml:space="preserve"> beads (Beckman-Coulter, </w:t>
      </w:r>
      <w:proofErr w:type="spellStart"/>
      <w:r w:rsidRPr="002A37BC">
        <w:rPr>
          <w:rFonts w:ascii="Arial" w:hAnsi="Arial" w:cs="Arial"/>
          <w:color w:val="000000" w:themeColor="text1"/>
          <w:sz w:val="22"/>
          <w:szCs w:val="22"/>
          <w:lang w:val="en-US"/>
        </w:rPr>
        <w:t>Villepinte</w:t>
      </w:r>
      <w:proofErr w:type="spellEnd"/>
      <w:r w:rsidRPr="002A37BC">
        <w:rPr>
          <w:rFonts w:ascii="Arial" w:hAnsi="Arial" w:cs="Arial"/>
          <w:color w:val="000000" w:themeColor="text1"/>
          <w:sz w:val="22"/>
          <w:szCs w:val="22"/>
          <w:lang w:val="en-US"/>
        </w:rPr>
        <w:t xml:space="preserve">, France), the size and concentration of libraries were assessed by capillary </w:t>
      </w:r>
      <w:proofErr w:type="spellStart"/>
      <w:r w:rsidRPr="002A37BC">
        <w:rPr>
          <w:rFonts w:ascii="Arial" w:hAnsi="Arial" w:cs="Arial"/>
          <w:color w:val="000000" w:themeColor="text1"/>
          <w:sz w:val="22"/>
          <w:szCs w:val="22"/>
          <w:lang w:val="en-US"/>
        </w:rPr>
        <w:t>electrophoreris</w:t>
      </w:r>
      <w:proofErr w:type="spellEnd"/>
      <w:r w:rsidRPr="002A37BC">
        <w:rPr>
          <w:rFonts w:ascii="Arial" w:hAnsi="Arial" w:cs="Arial"/>
          <w:color w:val="000000" w:themeColor="text1"/>
          <w:sz w:val="22"/>
          <w:szCs w:val="22"/>
          <w:lang w:val="en-US"/>
        </w:rPr>
        <w:t xml:space="preserve">. Sequencing was performed on the </w:t>
      </w:r>
      <w:proofErr w:type="spellStart"/>
      <w:r w:rsidRPr="002A37BC">
        <w:rPr>
          <w:rFonts w:ascii="Arial" w:hAnsi="Arial" w:cs="Arial"/>
          <w:color w:val="000000" w:themeColor="text1"/>
          <w:sz w:val="22"/>
          <w:szCs w:val="22"/>
          <w:lang w:val="en-US"/>
        </w:rPr>
        <w:t>GenomEast</w:t>
      </w:r>
      <w:proofErr w:type="spellEnd"/>
      <w:r w:rsidRPr="002A37BC">
        <w:rPr>
          <w:rFonts w:ascii="Arial" w:hAnsi="Arial" w:cs="Arial"/>
          <w:color w:val="000000" w:themeColor="text1"/>
          <w:sz w:val="22"/>
          <w:szCs w:val="22"/>
          <w:lang w:val="en-US"/>
        </w:rPr>
        <w:t xml:space="preserve"> platform (Strasbourg) with 1x50 bp on a </w:t>
      </w:r>
      <w:proofErr w:type="spellStart"/>
      <w:r w:rsidRPr="002A37BC">
        <w:rPr>
          <w:rFonts w:ascii="Arial" w:hAnsi="Arial" w:cs="Arial"/>
          <w:color w:val="000000" w:themeColor="text1"/>
          <w:sz w:val="22"/>
          <w:szCs w:val="22"/>
          <w:lang w:val="en-US"/>
        </w:rPr>
        <w:t>HiSeq</w:t>
      </w:r>
      <w:proofErr w:type="spellEnd"/>
      <w:r w:rsidRPr="002A37BC">
        <w:rPr>
          <w:rFonts w:ascii="Arial" w:hAnsi="Arial" w:cs="Arial"/>
          <w:color w:val="000000" w:themeColor="text1"/>
          <w:sz w:val="22"/>
          <w:szCs w:val="22"/>
          <w:lang w:val="en-US"/>
        </w:rPr>
        <w:t xml:space="preserve"> 4000 System (Illumina). Reads were preprocessed in order to remove adapter, </w:t>
      </w:r>
      <w:proofErr w:type="spellStart"/>
      <w:r w:rsidRPr="002A37BC">
        <w:rPr>
          <w:rFonts w:ascii="Arial" w:hAnsi="Arial" w:cs="Arial"/>
          <w:color w:val="000000" w:themeColor="text1"/>
          <w:sz w:val="22"/>
          <w:szCs w:val="22"/>
          <w:lang w:val="en-US"/>
        </w:rPr>
        <w:t>polyA</w:t>
      </w:r>
      <w:proofErr w:type="spellEnd"/>
      <w:r w:rsidRPr="002A37BC">
        <w:rPr>
          <w:rFonts w:ascii="Arial" w:hAnsi="Arial" w:cs="Arial"/>
          <w:color w:val="000000" w:themeColor="text1"/>
          <w:sz w:val="22"/>
          <w:szCs w:val="22"/>
          <w:lang w:val="en-US"/>
        </w:rPr>
        <w:t xml:space="preserve"> and low-quality sequences (</w:t>
      </w:r>
      <w:proofErr w:type="spellStart"/>
      <w:r w:rsidRPr="002A37BC">
        <w:rPr>
          <w:rFonts w:ascii="Arial" w:hAnsi="Arial" w:cs="Arial"/>
          <w:color w:val="000000" w:themeColor="text1"/>
          <w:sz w:val="22"/>
          <w:szCs w:val="22"/>
          <w:lang w:val="en-US"/>
        </w:rPr>
        <w:t>Phred</w:t>
      </w:r>
      <w:proofErr w:type="spellEnd"/>
      <w:r w:rsidRPr="002A37BC">
        <w:rPr>
          <w:rFonts w:ascii="Arial" w:hAnsi="Arial" w:cs="Arial"/>
          <w:color w:val="000000" w:themeColor="text1"/>
          <w:sz w:val="22"/>
          <w:szCs w:val="22"/>
          <w:lang w:val="en-US"/>
        </w:rPr>
        <w:t xml:space="preserve"> quality score below 20) using cutadapt</w:t>
      </w:r>
      <w:r w:rsidRPr="002A37BC">
        <w:rPr>
          <w:rFonts w:ascii="Arial" w:hAnsi="Arial" w:cs="Arial"/>
          <w:color w:val="000000" w:themeColor="text1"/>
          <w:sz w:val="22"/>
          <w:szCs w:val="22"/>
          <w:lang w:val="en-US"/>
        </w:rPr>
        <w:fldChar w:fldCharType="begin"/>
      </w:r>
      <w:r w:rsidRPr="002A37BC">
        <w:rPr>
          <w:rFonts w:ascii="Arial" w:hAnsi="Arial" w:cs="Arial"/>
          <w:color w:val="000000" w:themeColor="text1"/>
          <w:sz w:val="22"/>
          <w:szCs w:val="22"/>
          <w:lang w:val="en-US"/>
        </w:rPr>
        <w:instrText xml:space="preserve"> ADDIN ZOTERO_ITEM CSL_CITATION {"citationID":"zyfQOPaE","properties":{"formattedCitation":"\\super 40\\nosupersub{}","plainCitation":"40","noteIndex":0},"citationItems":[{"id":661,"uris":["http://zotero.org/users/local/7BaFczpi/items/RE9FVHB5"],"itemData":{"id":661,"type":"article-journal","container-title":"EMBnet.journal","DOI":"10.14806/ej.17.1.200","ISSN":"2226-6089","issue":"1","journalAbbreviation":"EMBnet j.","page":"10","source":"DOI.org (Crossref)","title":"Cutadapt removes adapter sequences from high-throughput sequencing reads","volume":"17","author":[{"family":"Martin","given":"Marcel"}],"issued":{"date-parts":[["2011",5,2]]}}}],"schema":"https://github.com/citation-style-language/schema/raw/master/csl-citation.json"} </w:instrText>
      </w:r>
      <w:r w:rsidRPr="002A37BC">
        <w:rPr>
          <w:rFonts w:ascii="Arial" w:hAnsi="Arial" w:cs="Arial"/>
          <w:color w:val="000000" w:themeColor="text1"/>
          <w:sz w:val="22"/>
          <w:szCs w:val="22"/>
          <w:lang w:val="en-US"/>
        </w:rPr>
        <w:fldChar w:fldCharType="separate"/>
      </w:r>
      <w:r w:rsidRPr="002A37BC">
        <w:rPr>
          <w:rFonts w:ascii="Arial" w:hAnsi="Arial" w:cs="Arial"/>
          <w:color w:val="000000" w:themeColor="text1"/>
          <w:sz w:val="22"/>
          <w:vertAlign w:val="superscript"/>
          <w:lang w:val="en-US"/>
        </w:rPr>
        <w:t>40</w:t>
      </w:r>
      <w:r w:rsidRPr="002A37BC">
        <w:rPr>
          <w:rFonts w:ascii="Arial" w:hAnsi="Arial" w:cs="Arial"/>
          <w:color w:val="000000" w:themeColor="text1"/>
          <w:sz w:val="22"/>
          <w:szCs w:val="22"/>
          <w:lang w:val="en-US"/>
        </w:rPr>
        <w:fldChar w:fldCharType="end"/>
      </w:r>
      <w:r w:rsidRPr="002A37BC">
        <w:rPr>
          <w:rFonts w:ascii="Arial" w:hAnsi="Arial" w:cs="Arial"/>
          <w:color w:val="000000" w:themeColor="text1"/>
          <w:sz w:val="22"/>
          <w:szCs w:val="22"/>
          <w:lang w:val="en-US"/>
        </w:rPr>
        <w:t xml:space="preserve"> v1.10. After this preprocessing, reads shorter than 40 bases were discarded for further analysis. Reads were mapped onto the mm10 assembly of the Mus musculus genome using STAR</w:t>
      </w:r>
      <w:r w:rsidRPr="002A37BC">
        <w:rPr>
          <w:rFonts w:ascii="Arial" w:hAnsi="Arial" w:cs="Arial"/>
          <w:color w:val="000000" w:themeColor="text1"/>
          <w:sz w:val="22"/>
          <w:szCs w:val="22"/>
          <w:lang w:val="en-US"/>
        </w:rPr>
        <w:fldChar w:fldCharType="begin"/>
      </w:r>
      <w:r w:rsidRPr="002A37BC">
        <w:rPr>
          <w:rFonts w:ascii="Arial" w:hAnsi="Arial" w:cs="Arial"/>
          <w:color w:val="000000" w:themeColor="text1"/>
          <w:sz w:val="22"/>
          <w:szCs w:val="22"/>
          <w:lang w:val="en-US"/>
        </w:rPr>
        <w:instrText xml:space="preserve"> ADDIN ZOTERO_ITEM CSL_CITATION {"citationID":"McRP84dw","properties":{"formattedCitation":"\\super 41\\nosupersub{}","plainCitation":"41","noteIndex":0},"citationItems":[{"id":666,"uris":["http://zotero.org/users/local/7BaFczpi/items/E2TE5CV5"],"itemData":{"id":666,"type":"article-journal","abstract":"MOTIVATION: Accurate alignment of high-throughput RNA-seq data is a challenging and yet unsolved problem because of the non-contiguous transcript structure, relatively short read lengths and constantly increasing throughput of the sequencing technologies. Currently available RNA-seq aligners suffer from high mapping error rates, low mapping speed, read length limitation and mapping biases.\nRESULTS: To align our large (&gt;80 billon reads) ENCODE Transcriptome RNA-seq dataset, we developed the Spliced Transcripts Alignment to a Reference (STAR) software based on a previously undescribed RNA-seq alignment algorithm that uses sequential maximum mappable seed search in uncompressed suffix arrays followed by seed clustering and stitching procedure. STAR outperforms other aligners by a factor of &gt;50 in mapping speed, aligning to the human genome 550 million 2 × 76 bp paired-end reads per hour on a modest 12-core server, while at the same time improving alignment sensitivity and precision. In addition to unbiased de novo detection of canonical junctions, STAR can discover non-canonical splices and chimeric (fusion) transcripts, and is also capable of mapping full-length RNA sequences. Using Roche 454 sequencing of reverse transcription polymerase chain reaction amplicons, we experimentally validated 1960 novel intergenic splice junctions with an 80-90% success rate, corroborating the high precision of the STAR mapping strategy.\nAVAILABILITY AND IMPLEMENTATION: STAR is implemented as a standalone C++ code. STAR is free open source software distributed under GPLv3 license and can be downloaded from http://code.google.com/p/rna-star/.","container-title":"Bioinformatics (Oxford, England)","DOI":"10.1093/bioinformatics/bts635","ISSN":"1367-4811","issue":"1","journalAbbreviation":"Bioinformatics","language":"eng","note":"PMID: 23104886\nPMCID: PMC3530905","page":"15-21","source":"PubMed","title":"STAR: ultrafast universal RNA-seq aligner","title-short":"STAR","volume":"29","author":[{"family":"Dobin","given":"Alexander"},{"family":"Davis","given":"Carrie A."},{"family":"Schlesinger","given":"Felix"},{"family":"Drenkow","given":"Jorg"},{"family":"Zaleski","given":"Chris"},{"family":"Jha","given":"Sonali"},{"family":"Batut","given":"Philippe"},{"family":"Chaisson","given":"Mark"},{"family":"Gingeras","given":"Thomas R."}],"issued":{"date-parts":[["2013",1,1]]}}}],"schema":"https://github.com/citation-style-language/schema/raw/master/csl-citation.json"} </w:instrText>
      </w:r>
      <w:r w:rsidRPr="002A37BC">
        <w:rPr>
          <w:rFonts w:ascii="Arial" w:hAnsi="Arial" w:cs="Arial"/>
          <w:color w:val="000000" w:themeColor="text1"/>
          <w:sz w:val="22"/>
          <w:szCs w:val="22"/>
          <w:lang w:val="en-US"/>
        </w:rPr>
        <w:fldChar w:fldCharType="separate"/>
      </w:r>
      <w:r w:rsidRPr="002A37BC">
        <w:rPr>
          <w:rFonts w:ascii="Arial" w:hAnsi="Arial" w:cs="Arial"/>
          <w:color w:val="000000" w:themeColor="text1"/>
          <w:sz w:val="22"/>
          <w:vertAlign w:val="superscript"/>
          <w:lang w:val="en-US"/>
        </w:rPr>
        <w:t>41</w:t>
      </w:r>
      <w:r w:rsidRPr="002A37BC">
        <w:rPr>
          <w:rFonts w:ascii="Arial" w:hAnsi="Arial" w:cs="Arial"/>
          <w:color w:val="000000" w:themeColor="text1"/>
          <w:sz w:val="22"/>
          <w:szCs w:val="22"/>
          <w:lang w:val="en-US"/>
        </w:rPr>
        <w:fldChar w:fldCharType="end"/>
      </w:r>
      <w:r w:rsidRPr="002A37BC">
        <w:rPr>
          <w:rFonts w:ascii="Arial" w:hAnsi="Arial" w:cs="Arial"/>
          <w:color w:val="000000" w:themeColor="text1"/>
          <w:sz w:val="22"/>
          <w:szCs w:val="22"/>
          <w:lang w:val="en-US"/>
        </w:rPr>
        <w:t xml:space="preserve"> v2.5.3. Gene expression quantification was performed from uniquely aligned reads using htseq-count</w:t>
      </w:r>
      <w:r w:rsidRPr="002A37BC">
        <w:rPr>
          <w:rFonts w:ascii="Arial" w:hAnsi="Arial" w:cs="Arial"/>
          <w:color w:val="000000" w:themeColor="text1"/>
          <w:sz w:val="22"/>
          <w:szCs w:val="22"/>
          <w:lang w:val="en-US"/>
        </w:rPr>
        <w:fldChar w:fldCharType="begin"/>
      </w:r>
      <w:r w:rsidRPr="002A37BC">
        <w:rPr>
          <w:rFonts w:ascii="Arial" w:hAnsi="Arial" w:cs="Arial"/>
          <w:color w:val="000000" w:themeColor="text1"/>
          <w:sz w:val="22"/>
          <w:szCs w:val="22"/>
          <w:lang w:val="en-US"/>
        </w:rPr>
        <w:instrText xml:space="preserve"> ADDIN ZOTERO_ITEM CSL_CITATION {"citationID":"MordajN4","properties":{"formattedCitation":"\\super 42\\nosupersub{}","plainCitation":"42","noteIndex":0},"citationItems":[{"id":925,"uris":["http://zotero.org/users/local/7BaFczpi/items/W7R8FKHM"],"itemData":{"id":925,"type":"article-journal","abstract":"High-throughput sequencing assays such as RNA-Seq, ChIP-Seq or barcode counting provide quantitative readouts in the form of count data. To infer differential signal in such data correctly and with good statistical power, estimation of data variability throughout the dynamic range and a suitable error model are required. We propose a method based on the negative binomial distribution, with variance and mean linked by local regression and present an implementation, DESeq, as an R/Bioconductor package.","container-title":"Genome Biology","DOI":"10.1186/gb-2010-11-10-r106","ISSN":"1474-760X","issue":"10","journalAbbreviation":"Genome Biol","language":"eng","note":"PMID: 20979621\nPMCID: PMC3218662","page":"R106","source":"PubMed","title":"Differential expression analysis for sequence count data","volume":"11","author":[{"family":"Anders","given":"Simon"},{"family":"Huber","given":"Wolfgang"}],"issued":{"date-parts":[["2010"]]}}}],"schema":"https://github.com/citation-style-language/schema/raw/master/csl-citation.json"} </w:instrText>
      </w:r>
      <w:r w:rsidRPr="002A37BC">
        <w:rPr>
          <w:rFonts w:ascii="Arial" w:hAnsi="Arial" w:cs="Arial"/>
          <w:color w:val="000000" w:themeColor="text1"/>
          <w:sz w:val="22"/>
          <w:szCs w:val="22"/>
          <w:lang w:val="en-US"/>
        </w:rPr>
        <w:fldChar w:fldCharType="separate"/>
      </w:r>
      <w:r w:rsidRPr="002A37BC">
        <w:rPr>
          <w:rFonts w:ascii="Arial" w:hAnsi="Arial" w:cs="Arial"/>
          <w:color w:val="000000" w:themeColor="text1"/>
          <w:sz w:val="22"/>
          <w:vertAlign w:val="superscript"/>
          <w:lang w:val="en-US"/>
        </w:rPr>
        <w:t>42</w:t>
      </w:r>
      <w:r w:rsidRPr="002A37BC">
        <w:rPr>
          <w:rFonts w:ascii="Arial" w:hAnsi="Arial" w:cs="Arial"/>
          <w:color w:val="000000" w:themeColor="text1"/>
          <w:sz w:val="22"/>
          <w:szCs w:val="22"/>
          <w:lang w:val="en-US"/>
        </w:rPr>
        <w:fldChar w:fldCharType="end"/>
      </w:r>
      <w:r w:rsidRPr="002A37BC">
        <w:rPr>
          <w:rFonts w:ascii="Arial" w:hAnsi="Arial" w:cs="Arial"/>
          <w:color w:val="000000" w:themeColor="text1"/>
          <w:sz w:val="22"/>
          <w:szCs w:val="22"/>
          <w:lang w:val="en-US"/>
        </w:rPr>
        <w:t xml:space="preserve"> v0.6.1p1, with annotations from </w:t>
      </w:r>
      <w:proofErr w:type="spellStart"/>
      <w:r w:rsidRPr="002A37BC">
        <w:rPr>
          <w:rFonts w:ascii="Arial" w:hAnsi="Arial" w:cs="Arial"/>
          <w:color w:val="000000" w:themeColor="text1"/>
          <w:sz w:val="22"/>
          <w:szCs w:val="22"/>
          <w:lang w:val="en-US"/>
        </w:rPr>
        <w:t>Ensembl</w:t>
      </w:r>
      <w:proofErr w:type="spellEnd"/>
      <w:r w:rsidRPr="002A37BC">
        <w:rPr>
          <w:rFonts w:ascii="Arial" w:hAnsi="Arial" w:cs="Arial"/>
          <w:color w:val="000000" w:themeColor="text1"/>
          <w:sz w:val="22"/>
          <w:szCs w:val="22"/>
          <w:lang w:val="en-US"/>
        </w:rPr>
        <w:t xml:space="preserve"> v102 and “union” mode. Only non-ambiguously assigned reads have been retained for further analyses.  Read counts have been normalized across samples with the median-of-ratios method proposed by Anders and Huber</w:t>
      </w:r>
      <w:r w:rsidRPr="002A37BC">
        <w:rPr>
          <w:rFonts w:ascii="Arial" w:hAnsi="Arial" w:cs="Arial"/>
          <w:color w:val="000000" w:themeColor="text1"/>
          <w:sz w:val="22"/>
          <w:szCs w:val="22"/>
          <w:lang w:val="en-US"/>
        </w:rPr>
        <w:fldChar w:fldCharType="begin"/>
      </w:r>
      <w:r w:rsidRPr="002A37BC">
        <w:rPr>
          <w:rFonts w:ascii="Arial" w:hAnsi="Arial" w:cs="Arial"/>
          <w:color w:val="000000" w:themeColor="text1"/>
          <w:sz w:val="22"/>
          <w:szCs w:val="22"/>
          <w:lang w:val="en-US"/>
        </w:rPr>
        <w:instrText xml:space="preserve"> ADDIN ZOTERO_ITEM CSL_CITATION {"citationID":"y10jwzqK","properties":{"formattedCitation":"\\super 43\\nosupersub{}","plainCitation":"43","noteIndex":0},"citationItems":[{"id":"PzaIprq9/FtPDEyij","uris":["http://zotero.org/users/1296755/items/A68CI8EW"],"itemData":{"id":104,"type":"article-journal","abstract":"High-throughput sequencing assays such as RNA-Seq, ChIP-Seq or barcode counting provide quantitative readouts in the form of count data. To infer differential signal in such data correctly and with good statistical power, estimation of data variability throughout the dynamic range and a suitable error model are required. We propose a method based on the negative binomial distribution, with variance and mean linked by local regression and present an implementation, DESeq, as an R/Bioconductor package.","container-title":"Genome Biology","DOI":"10.1186/gb-2010-11-10-r106","ISSN":"1474-760X","journalAbbreviation":"Genome Biology","page":"R106","source":"BioMed Central","title":"Differential expression analysis for sequence count data","volume":"11","author":[{"family":"Anders","given":"Simon"},{"family":"Huber","given":"Wolfgang"}],"issued":{"date-parts":[["2010",10,27]]}}}],"schema":"https://github.com/citation-style-language/schema/raw/master/csl-citation.json"} </w:instrText>
      </w:r>
      <w:r w:rsidRPr="002A37BC">
        <w:rPr>
          <w:rFonts w:ascii="Arial" w:hAnsi="Arial" w:cs="Arial"/>
          <w:color w:val="000000" w:themeColor="text1"/>
          <w:sz w:val="22"/>
          <w:szCs w:val="22"/>
          <w:lang w:val="en-US"/>
        </w:rPr>
        <w:fldChar w:fldCharType="separate"/>
      </w:r>
      <w:r w:rsidRPr="002A37BC">
        <w:rPr>
          <w:rFonts w:ascii="Arial" w:hAnsi="Arial" w:cs="Arial"/>
          <w:color w:val="000000" w:themeColor="text1"/>
          <w:sz w:val="22"/>
          <w:vertAlign w:val="superscript"/>
          <w:lang w:val="en-US"/>
        </w:rPr>
        <w:t>43</w:t>
      </w:r>
      <w:r w:rsidRPr="002A37BC">
        <w:rPr>
          <w:rFonts w:ascii="Arial" w:hAnsi="Arial" w:cs="Arial"/>
          <w:color w:val="000000" w:themeColor="text1"/>
          <w:sz w:val="22"/>
          <w:szCs w:val="22"/>
          <w:lang w:val="en-US"/>
        </w:rPr>
        <w:fldChar w:fldCharType="end"/>
      </w:r>
      <w:r w:rsidRPr="002A37BC">
        <w:rPr>
          <w:rFonts w:ascii="Arial" w:hAnsi="Arial" w:cs="Arial"/>
          <w:color w:val="000000" w:themeColor="text1"/>
          <w:sz w:val="22"/>
          <w:szCs w:val="22"/>
          <w:lang w:val="en-US"/>
        </w:rPr>
        <w:t>, to make these counts comparable between samples. Sequencing data that support the findings of this study have been deposited in the NCBI’s Gene Expression Omnibus (GEO) database (GSE272248). Comparisons of interest were performed using the test for differential expression proposed by Love et al.</w:t>
      </w:r>
      <w:r w:rsidRPr="002A37BC">
        <w:rPr>
          <w:rFonts w:ascii="Arial" w:hAnsi="Arial" w:cs="Arial"/>
          <w:color w:val="000000" w:themeColor="text1"/>
          <w:sz w:val="22"/>
          <w:szCs w:val="22"/>
          <w:lang w:val="en-US"/>
        </w:rPr>
        <w:fldChar w:fldCharType="begin"/>
      </w:r>
      <w:r w:rsidRPr="002A37BC">
        <w:rPr>
          <w:rFonts w:ascii="Arial" w:hAnsi="Arial" w:cs="Arial"/>
          <w:color w:val="000000" w:themeColor="text1"/>
          <w:sz w:val="22"/>
          <w:szCs w:val="22"/>
          <w:lang w:val="en-US"/>
        </w:rPr>
        <w:instrText xml:space="preserve"> ADDIN ZOTERO_ITEM CSL_CITATION {"citationID":"R9BfzJuN","properties":{"formattedCitation":"\\super 44\\nosupersub{}","plainCitation":"44","noteIndex":0},"citationItems":[{"id":672,"uris":["http://zotero.org/users/local/7BaFczpi/items/BLI98HKE"],"itemData":{"id":672,"type":"article-journal","abstract":"In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 webcite.","container-title":"Genome Biology","DOI":"10.1186/s13059-014-0550-8","ISSN":"1474-760X","issue":"12","journalAbbreviation":"Genome Biol","language":"eng","note":"PMID: 25516281\nPMCID: PMC4302049","page":"550","source":"PubMed","title":"Moderated estimation of fold change and dispersion for RNA-seq data with DESeq2","volume":"15","author":[{"family":"Love","given":"Michael I."},{"family":"Huber","given":"Wolfgang"},{"family":"Anders","given":"Simon"}],"issued":{"date-parts":[["2014"]]}}}],"schema":"https://github.com/citation-style-language/schema/raw/master/csl-citation.json"} </w:instrText>
      </w:r>
      <w:r w:rsidRPr="002A37BC">
        <w:rPr>
          <w:rFonts w:ascii="Arial" w:hAnsi="Arial" w:cs="Arial"/>
          <w:color w:val="000000" w:themeColor="text1"/>
          <w:sz w:val="22"/>
          <w:szCs w:val="22"/>
          <w:lang w:val="en-US"/>
        </w:rPr>
        <w:fldChar w:fldCharType="separate"/>
      </w:r>
      <w:r w:rsidRPr="002A37BC">
        <w:rPr>
          <w:rFonts w:ascii="Arial" w:hAnsi="Arial" w:cs="Arial"/>
          <w:color w:val="000000" w:themeColor="text1"/>
          <w:sz w:val="22"/>
          <w:vertAlign w:val="superscript"/>
          <w:lang w:val="en-US"/>
        </w:rPr>
        <w:t>44</w:t>
      </w:r>
      <w:r w:rsidRPr="002A37BC">
        <w:rPr>
          <w:rFonts w:ascii="Arial" w:hAnsi="Arial" w:cs="Arial"/>
          <w:color w:val="000000" w:themeColor="text1"/>
          <w:sz w:val="22"/>
          <w:szCs w:val="22"/>
          <w:lang w:val="en-US"/>
        </w:rPr>
        <w:fldChar w:fldCharType="end"/>
      </w:r>
      <w:r w:rsidRPr="002A37BC">
        <w:rPr>
          <w:rFonts w:ascii="Arial" w:hAnsi="Arial" w:cs="Arial"/>
          <w:color w:val="000000" w:themeColor="text1"/>
          <w:sz w:val="22"/>
          <w:szCs w:val="22"/>
          <w:lang w:val="en-US"/>
        </w:rPr>
        <w:t xml:space="preserve"> and implemented in the Bioconductor package DESeq2 v1.16.1. P-values were adjusted for multiple testing using the </w:t>
      </w:r>
      <w:proofErr w:type="spellStart"/>
      <w:r w:rsidRPr="002A37BC">
        <w:rPr>
          <w:rFonts w:ascii="Arial" w:hAnsi="Arial" w:cs="Arial"/>
          <w:color w:val="000000" w:themeColor="text1"/>
          <w:sz w:val="22"/>
          <w:szCs w:val="22"/>
          <w:lang w:val="en-US"/>
        </w:rPr>
        <w:t>Benjamini</w:t>
      </w:r>
      <w:proofErr w:type="spellEnd"/>
      <w:r w:rsidRPr="002A37BC">
        <w:rPr>
          <w:rFonts w:ascii="Arial" w:hAnsi="Arial" w:cs="Arial"/>
          <w:color w:val="000000" w:themeColor="text1"/>
          <w:sz w:val="22"/>
          <w:szCs w:val="22"/>
          <w:lang w:val="en-US"/>
        </w:rPr>
        <w:t xml:space="preserve"> and Hochberg method</w:t>
      </w:r>
      <w:r w:rsidRPr="002A37BC">
        <w:rPr>
          <w:rFonts w:ascii="Arial" w:hAnsi="Arial" w:cs="Arial"/>
          <w:color w:val="000000" w:themeColor="text1"/>
          <w:sz w:val="22"/>
          <w:szCs w:val="22"/>
          <w:lang w:val="en-US"/>
        </w:rPr>
        <w:fldChar w:fldCharType="begin"/>
      </w:r>
      <w:r w:rsidRPr="002A37BC">
        <w:rPr>
          <w:rFonts w:ascii="Arial" w:hAnsi="Arial" w:cs="Arial"/>
          <w:color w:val="000000" w:themeColor="text1"/>
          <w:sz w:val="22"/>
          <w:szCs w:val="22"/>
          <w:lang w:val="en-US"/>
        </w:rPr>
        <w:instrText xml:space="preserve"> ADDIN ZOTERO_ITEM CSL_CITATION {"citationID":"6DnPoD5e","properties":{"formattedCitation":"\\super 45\\nosupersub{}","plainCitation":"45","noteIndex":0},"citationItems":[{"id":675,"uris":["http://zotero.org/users/local/7BaFczpi/items/QLFI59EH"],"itemData":{"id":675,"type":"article-journal","abstract":"SUMMARY\n            The common approach to the multiplicity problem calls for controlling the familywise error rate (FWER). This approach, though, has faults, and we point out a few. A different approach to problems of multiple significance testing is presented. It calls for controlling the expected proportion of falsely rejected hypotheses — the false discovery rate. This error rate is equivalent to the FWER when all hypotheses are true but is smaller otherwise. Therefore, in problems where the control of the false discovery rate rather than that of the FWER is desired, there is potential for a gain in power. A simple sequential Bonferronitype procedure is proved to control the false discovery rate for independent test statistics, and a simulation study shows that the gain in power is substantial. The use of the new procedure and the appropriateness of the criterion are illustrated with examples.","container-title":"Journal of the Royal Statistical Society: Series B (Methodological)","DOI":"10.1111/j.2517-6161.1995.tb02031.x","ISSN":"0035-9246, 2517-6161","issue":"1","journalAbbreviation":"Journal of the Royal Statistical Society: Series B (Methodological)","language":"en","page":"289-300","source":"DOI.org (Crossref)","title":"Controlling the False Discovery Rate: A Practical and Powerful Approach to Multiple Testing","title-short":"Controlling the False Discovery Rate","volume":"57","author":[{"family":"Benjamini","given":"Yoav"},{"family":"Hochberg","given":"Yosef"}],"issued":{"date-parts":[["1995",1]]}}}],"schema":"https://github.com/citation-style-language/schema/raw/master/csl-citation.json"} </w:instrText>
      </w:r>
      <w:r w:rsidRPr="002A37BC">
        <w:rPr>
          <w:rFonts w:ascii="Arial" w:hAnsi="Arial" w:cs="Arial"/>
          <w:color w:val="000000" w:themeColor="text1"/>
          <w:sz w:val="22"/>
          <w:szCs w:val="22"/>
          <w:lang w:val="en-US"/>
        </w:rPr>
        <w:fldChar w:fldCharType="separate"/>
      </w:r>
      <w:r w:rsidRPr="002A37BC">
        <w:rPr>
          <w:rFonts w:ascii="Arial" w:hAnsi="Arial" w:cs="Arial"/>
          <w:color w:val="000000" w:themeColor="text1"/>
          <w:sz w:val="22"/>
          <w:vertAlign w:val="superscript"/>
          <w:lang w:val="en-US"/>
        </w:rPr>
        <w:t>45</w:t>
      </w:r>
      <w:r w:rsidRPr="002A37BC">
        <w:rPr>
          <w:rFonts w:ascii="Arial" w:hAnsi="Arial" w:cs="Arial"/>
          <w:color w:val="000000" w:themeColor="text1"/>
          <w:sz w:val="22"/>
          <w:szCs w:val="22"/>
          <w:lang w:val="en-US"/>
        </w:rPr>
        <w:fldChar w:fldCharType="end"/>
      </w:r>
      <w:r w:rsidRPr="002A37BC">
        <w:rPr>
          <w:rFonts w:ascii="Arial" w:hAnsi="Arial" w:cs="Arial"/>
          <w:color w:val="000000" w:themeColor="text1"/>
          <w:sz w:val="22"/>
          <w:szCs w:val="22"/>
          <w:lang w:val="en-US"/>
        </w:rPr>
        <w:t>. A functional annotation of deregulated genes was performed to identify the impacted biological processes, using DAVID (https://david.ncifcrf.gov/home.jsp). GSEA v4.1.0</w:t>
      </w:r>
      <w:r w:rsidRPr="002A37BC">
        <w:rPr>
          <w:rFonts w:ascii="Arial" w:hAnsi="Arial" w:cs="Arial"/>
          <w:color w:val="000000" w:themeColor="text1"/>
          <w:sz w:val="22"/>
          <w:szCs w:val="22"/>
          <w:lang w:val="en-US"/>
        </w:rPr>
        <w:fldChar w:fldCharType="begin"/>
      </w:r>
      <w:r w:rsidRPr="002A37BC">
        <w:rPr>
          <w:rFonts w:ascii="Arial" w:hAnsi="Arial" w:cs="Arial"/>
          <w:color w:val="000000" w:themeColor="text1"/>
          <w:sz w:val="22"/>
          <w:szCs w:val="22"/>
          <w:lang w:val="en-US"/>
        </w:rPr>
        <w:instrText xml:space="preserve"> ADDIN ZOTERO_ITEM CSL_CITATION {"citationID":"68aIvIZr","properties":{"formattedCitation":"\\super 46,47\\nosupersub{}","plainCitation":"46,47","noteIndex":0},"citationItems":[{"id":781,"uris":["http://zotero.org/users/local/7BaFczpi/items/UXYUMW42"],"itemData":{"id":781,"type":"article-journal","container-title":"Nature Genetics","DOI":"10.1038/ng1180","ISSN":"1061-4036, 1546-1718","issue":"3","journalAbbreviation":"Nat Genet","language":"en","license":"http://www.springer.com/tdm","page":"267-273","source":"DOI.org (Crossref)","title":"PGC-1α-responsive genes involved in oxidative phosphorylation are coordinately downregulated in human diabetes","volume":"34","author":[{"family":"Mootha","given":"Vamsi K"},{"family":"Lindgren","given":"Cecilia M"},{"family":"Eriksson","given":"Karl-Fredrik"},{"family":"Subramanian","given":"Aravind"},{"family":"Sihag","given":"Smita"},{"family":"Lehar","given":"Joseph"},{"family":"Puigserver","given":"Pere"},{"family":"Carlsson","given":"Emma"},{"family":"Ridderstråle","given":"Martin"},{"family":"Laurila","given":"Esa"},{"family":"Houstis","given":"Nicholas"},{"family":"Daly","given":"Mark J"},{"family":"Patterson","given":"Nick"},{"family":"Mesirov","given":"Jill P"},{"family":"Golub","given":"Todd R"},{"family":"Tamayo","given":"Pablo"},{"family":"Spiegelman","given":"Bruce"},{"family":"Lander","given":"Eric S"},{"family":"Hirschhorn","given":"Joel N"},{"family":"Altshuler","given":"David"},{"family":"Groop","given":"Leif C"}],"issued":{"date-parts":[["2003",7]]}}},{"id":782,"uris":["http://zotero.org/users/local/7BaFczpi/items/63A4K5HW"],"itemData":{"id":782,"type":"article-journal","abstract":"Although genomewide RNA expression analysis has become a routine tool in biomedical research, extracting biological insight from such information remains a major challenge. Here, we describe a powerful analytical method called Gene Set Enrichment Analysis (GSEA) for interpreting gene expression data. The method derives its power by focusing on gene sets, that is, groups of genes that share common biological function, chromosomal location, or regulation. We demonstrate how GSEA yields insights into several cancer-related data sets, including leukemia and lung cancer. Notably, where single-gene analysis finds little similarity between two independent studies of patient survival in lung cancer, GSEA reveals many biological pathways in common. The GSEA method is embodied in a freely available software package, together with an initial database of 1,325 biologically defined gene sets.","container-title":"Proceedings of the National Academy of Sciences","DOI":"10.1073/pnas.0506580102","ISSN":"0027-8424, 1091-6490","issue":"43","journalAbbreviation":"Proc. Natl. Acad. Sci. U.S.A.","language":"en","page":"15545-15550","source":"DOI.org (Crossref)","title":"Gene set enrichment analysis: A knowledge-based approach for interpreting genome-wide expression profiles","title-short":"Gene set enrichment analysis","volume":"102","author":[{"family":"Subramanian","given":"Aravind"},{"family":"Tamayo","given":"Pablo"},{"family":"Mootha","given":"Vamsi K."},{"family":"Mukherjee","given":"Sayan"},{"family":"Ebert","given":"Benjamin L."},{"family":"Gillette","given":"Michael A."},{"family":"Paulovich","given":"Amanda"},{"family":"Pomeroy","given":"Scott L."},{"family":"Golub","given":"Todd R."},{"family":"Lander","given":"Eric S."},{"family":"Mesirov","given":"Jill P."}],"issued":{"date-parts":[["2005",10,25]]}}}],"schema":"https://github.com/citation-style-language/schema/raw/master/csl-citation.json"} </w:instrText>
      </w:r>
      <w:r w:rsidRPr="002A37BC">
        <w:rPr>
          <w:rFonts w:ascii="Arial" w:hAnsi="Arial" w:cs="Arial"/>
          <w:color w:val="000000" w:themeColor="text1"/>
          <w:sz w:val="22"/>
          <w:szCs w:val="22"/>
          <w:lang w:val="en-US"/>
        </w:rPr>
        <w:fldChar w:fldCharType="separate"/>
      </w:r>
      <w:r w:rsidRPr="002A37BC">
        <w:rPr>
          <w:rFonts w:ascii="Arial" w:hAnsi="Arial" w:cs="Arial"/>
          <w:color w:val="000000" w:themeColor="text1"/>
          <w:sz w:val="22"/>
          <w:vertAlign w:val="superscript"/>
          <w:lang w:val="en-US"/>
        </w:rPr>
        <w:t>46,47</w:t>
      </w:r>
      <w:r w:rsidRPr="002A37BC">
        <w:rPr>
          <w:rFonts w:ascii="Arial" w:hAnsi="Arial" w:cs="Arial"/>
          <w:color w:val="000000" w:themeColor="text1"/>
          <w:sz w:val="22"/>
          <w:szCs w:val="22"/>
          <w:lang w:val="en-US"/>
        </w:rPr>
        <w:fldChar w:fldCharType="end"/>
      </w:r>
      <w:r w:rsidRPr="002A37BC">
        <w:rPr>
          <w:rFonts w:ascii="Arial" w:hAnsi="Arial" w:cs="Arial"/>
          <w:color w:val="000000" w:themeColor="text1"/>
          <w:sz w:val="22"/>
          <w:szCs w:val="22"/>
          <w:lang w:val="en-US"/>
        </w:rPr>
        <w:t xml:space="preserve"> was also used as a pre-ranked analysis using the following settings “No collapsing of Gene Symbols, the classic Enrichment statistic, gene sets containing more than 500 genes and less than 50 genes were excluded from analysis” and with gene sets from GO, Pathway and </w:t>
      </w:r>
      <w:proofErr w:type="spellStart"/>
      <w:r w:rsidRPr="002A37BC">
        <w:rPr>
          <w:rFonts w:ascii="Arial" w:hAnsi="Arial" w:cs="Arial"/>
          <w:color w:val="000000" w:themeColor="text1"/>
          <w:sz w:val="22"/>
          <w:szCs w:val="22"/>
          <w:lang w:val="en-US"/>
        </w:rPr>
        <w:t>MsigDB</w:t>
      </w:r>
      <w:proofErr w:type="spellEnd"/>
      <w:r w:rsidRPr="002A37BC">
        <w:rPr>
          <w:rFonts w:ascii="Arial" w:hAnsi="Arial" w:cs="Arial"/>
          <w:color w:val="000000" w:themeColor="text1"/>
          <w:sz w:val="22"/>
          <w:szCs w:val="22"/>
          <w:lang w:val="en-US"/>
        </w:rPr>
        <w:t>. Genes were ranked based on the values computed as such: -10*log10(</w:t>
      </w:r>
      <w:proofErr w:type="spellStart"/>
      <w:r w:rsidRPr="002A37BC">
        <w:rPr>
          <w:rFonts w:ascii="Arial" w:hAnsi="Arial" w:cs="Arial"/>
          <w:color w:val="000000" w:themeColor="text1"/>
          <w:sz w:val="22"/>
          <w:szCs w:val="22"/>
          <w:lang w:val="en-US"/>
        </w:rPr>
        <w:t>pvalue</w:t>
      </w:r>
      <w:proofErr w:type="spellEnd"/>
      <w:r w:rsidRPr="002A37BC">
        <w:rPr>
          <w:rFonts w:ascii="Arial" w:hAnsi="Arial" w:cs="Arial"/>
          <w:color w:val="000000" w:themeColor="text1"/>
          <w:sz w:val="22"/>
          <w:szCs w:val="22"/>
          <w:lang w:val="en-US"/>
        </w:rPr>
        <w:t>) x fold change sense. Z-score expression for violin plot representation of RNA-seq data from the different modules was created with the R software.</w:t>
      </w:r>
    </w:p>
    <w:p w:rsidR="00D36DF3" w:rsidRPr="002A37BC" w:rsidRDefault="00D36DF3" w:rsidP="00873FEA">
      <w:pPr>
        <w:spacing w:line="480" w:lineRule="auto"/>
        <w:jc w:val="both"/>
        <w:rPr>
          <w:rFonts w:ascii="Arial" w:hAnsi="Arial" w:cs="Arial"/>
          <w:color w:val="000000" w:themeColor="text1"/>
          <w:sz w:val="22"/>
          <w:szCs w:val="22"/>
        </w:rPr>
      </w:pPr>
    </w:p>
    <w:p w:rsidR="00D36DF3" w:rsidRPr="002A37BC" w:rsidRDefault="00D36DF3" w:rsidP="00873FEA">
      <w:pPr>
        <w:pStyle w:val="NormalWeb"/>
        <w:spacing w:before="0" w:beforeAutospacing="0" w:after="0" w:afterAutospacing="0" w:line="480" w:lineRule="auto"/>
        <w:jc w:val="both"/>
        <w:rPr>
          <w:rFonts w:ascii="Arial" w:hAnsi="Arial" w:cs="Arial"/>
          <w:b/>
          <w:bCs/>
          <w:color w:val="000000" w:themeColor="text1"/>
          <w:sz w:val="22"/>
          <w:szCs w:val="22"/>
          <w:lang w:val="en-US"/>
        </w:rPr>
      </w:pPr>
      <w:proofErr w:type="spellStart"/>
      <w:r w:rsidRPr="002A37BC">
        <w:rPr>
          <w:rFonts w:ascii="Arial" w:hAnsi="Arial" w:cs="Arial"/>
          <w:b/>
          <w:bCs/>
          <w:color w:val="000000" w:themeColor="text1"/>
          <w:sz w:val="22"/>
          <w:szCs w:val="22"/>
          <w:lang w:val="en-US"/>
        </w:rPr>
        <w:t>Immunohistological</w:t>
      </w:r>
      <w:proofErr w:type="spellEnd"/>
      <w:r w:rsidRPr="002A37BC">
        <w:rPr>
          <w:rFonts w:ascii="Arial" w:hAnsi="Arial" w:cs="Arial"/>
          <w:b/>
          <w:bCs/>
          <w:color w:val="000000" w:themeColor="text1"/>
          <w:sz w:val="22"/>
          <w:szCs w:val="22"/>
          <w:lang w:val="en-US"/>
        </w:rPr>
        <w:t xml:space="preserve"> and analysis procedures</w:t>
      </w:r>
      <w:r w:rsidRPr="002A37BC">
        <w:rPr>
          <w:rFonts w:ascii="Arial" w:hAnsi="Arial" w:cs="Arial"/>
          <w:b/>
          <w:bCs/>
          <w:color w:val="000000" w:themeColor="text1"/>
          <w:sz w:val="22"/>
          <w:szCs w:val="22"/>
          <w:lang w:val="en-US"/>
        </w:rPr>
        <w:t>.</w:t>
      </w:r>
    </w:p>
    <w:p w:rsidR="00D36DF3" w:rsidRPr="002A37BC" w:rsidRDefault="00D36DF3" w:rsidP="00873FEA">
      <w:pPr>
        <w:spacing w:line="480" w:lineRule="auto"/>
        <w:jc w:val="both"/>
        <w:rPr>
          <w:rFonts w:ascii="Arial" w:hAnsi="Arial" w:cs="Arial"/>
          <w:b/>
          <w:bCs/>
          <w:i/>
          <w:iCs/>
          <w:color w:val="000000" w:themeColor="text1"/>
          <w:sz w:val="22"/>
          <w:szCs w:val="22"/>
        </w:rPr>
      </w:pPr>
      <w:r w:rsidRPr="002A37BC">
        <w:rPr>
          <w:rFonts w:ascii="Arial" w:hAnsi="Arial" w:cs="Arial"/>
          <w:b/>
          <w:bCs/>
          <w:i/>
          <w:iCs/>
          <w:color w:val="000000" w:themeColor="text1"/>
          <w:sz w:val="22"/>
          <w:szCs w:val="22"/>
        </w:rPr>
        <w:t>Immuno</w:t>
      </w:r>
      <w:r w:rsidRPr="002A37BC">
        <w:rPr>
          <w:rFonts w:ascii="Arial" w:hAnsi="Arial" w:cs="Arial"/>
          <w:b/>
          <w:bCs/>
          <w:i/>
          <w:iCs/>
          <w:color w:val="000000" w:themeColor="text1"/>
          <w:sz w:val="22"/>
          <w:szCs w:val="22"/>
        </w:rPr>
        <w:t>histo</w:t>
      </w:r>
      <w:r w:rsidRPr="002A37BC">
        <w:rPr>
          <w:rFonts w:ascii="Arial" w:hAnsi="Arial" w:cs="Arial"/>
          <w:b/>
          <w:bCs/>
          <w:i/>
          <w:iCs/>
          <w:color w:val="000000" w:themeColor="text1"/>
          <w:sz w:val="22"/>
          <w:szCs w:val="22"/>
        </w:rPr>
        <w:t>chemistry.</w:t>
      </w:r>
      <w:r w:rsidRPr="002A37BC">
        <w:rPr>
          <w:rFonts w:ascii="Arial" w:hAnsi="Arial" w:cs="Arial"/>
          <w:b/>
          <w:bCs/>
          <w:color w:val="000000" w:themeColor="text1"/>
          <w:sz w:val="22"/>
          <w:szCs w:val="22"/>
        </w:rPr>
        <w:t xml:space="preserve"> </w:t>
      </w:r>
      <w:r w:rsidRPr="002A37BC">
        <w:rPr>
          <w:rFonts w:ascii="Arial" w:hAnsi="Arial" w:cs="Arial"/>
          <w:color w:val="000000" w:themeColor="text1"/>
          <w:sz w:val="22"/>
          <w:szCs w:val="22"/>
        </w:rPr>
        <w:t xml:space="preserve">35 </w:t>
      </w:r>
      <w:proofErr w:type="spellStart"/>
      <w:r w:rsidRPr="002A37BC">
        <w:rPr>
          <w:rFonts w:ascii="Arial" w:hAnsi="Arial" w:cs="Arial"/>
          <w:color w:val="000000" w:themeColor="text1"/>
          <w:sz w:val="22"/>
          <w:szCs w:val="22"/>
        </w:rPr>
        <w:t>μm</w:t>
      </w:r>
      <w:proofErr w:type="spellEnd"/>
      <w:r w:rsidRPr="002A37BC">
        <w:rPr>
          <w:rFonts w:ascii="Arial" w:hAnsi="Arial" w:cs="Arial"/>
          <w:color w:val="000000" w:themeColor="text1"/>
          <w:sz w:val="22"/>
          <w:szCs w:val="22"/>
        </w:rPr>
        <w:t xml:space="preserve"> mouse floating sections were washed and permeabilized 3 times with phosphate buffer solution and 0.5% Triton X-100 (PBS-T). After an incubation with </w:t>
      </w:r>
      <w:r w:rsidRPr="002A37BC">
        <w:rPr>
          <w:rFonts w:ascii="Arial" w:hAnsi="Arial" w:cs="Arial"/>
          <w:color w:val="000000" w:themeColor="text1"/>
          <w:sz w:val="22"/>
          <w:szCs w:val="22"/>
        </w:rPr>
        <w:lastRenderedPageBreak/>
        <w:t>0.3% H</w:t>
      </w:r>
      <w:r w:rsidRPr="002A37BC">
        <w:rPr>
          <w:rFonts w:ascii="Arial" w:hAnsi="Arial" w:cs="Arial"/>
          <w:color w:val="000000" w:themeColor="text1"/>
          <w:sz w:val="22"/>
          <w:szCs w:val="22"/>
          <w:vertAlign w:val="subscript"/>
        </w:rPr>
        <w:t>2</w:t>
      </w:r>
      <w:r w:rsidRPr="002A37BC">
        <w:rPr>
          <w:rFonts w:ascii="Arial" w:hAnsi="Arial" w:cs="Arial"/>
          <w:color w:val="000000" w:themeColor="text1"/>
          <w:sz w:val="22"/>
          <w:szCs w:val="22"/>
        </w:rPr>
        <w:t>0</w:t>
      </w:r>
      <w:r w:rsidRPr="002A37BC">
        <w:rPr>
          <w:rFonts w:ascii="Arial" w:hAnsi="Arial" w:cs="Arial"/>
          <w:color w:val="000000" w:themeColor="text1"/>
          <w:sz w:val="22"/>
          <w:szCs w:val="22"/>
          <w:vertAlign w:val="subscript"/>
        </w:rPr>
        <w:t>2</w:t>
      </w:r>
      <w:r w:rsidRPr="002A37BC">
        <w:rPr>
          <w:rFonts w:ascii="Arial" w:hAnsi="Arial" w:cs="Arial"/>
          <w:color w:val="000000" w:themeColor="text1"/>
          <w:sz w:val="22"/>
          <w:szCs w:val="22"/>
        </w:rPr>
        <w:t xml:space="preserve"> solution for 30 min to prevent the action of endogenous peroxidases, and the saturation of the tissue (5% of serum in PBS), the primary antibodies of A</w:t>
      </w:r>
      <w:r w:rsidRPr="002A37BC">
        <w:rPr>
          <w:rFonts w:ascii="Arial" w:hAnsi="Arial" w:cs="Arial"/>
          <w:color w:val="000000" w:themeColor="text1"/>
          <w:sz w:val="22"/>
          <w:szCs w:val="22"/>
          <w:vertAlign w:val="subscript"/>
        </w:rPr>
        <w:t>2A</w:t>
      </w:r>
      <w:r w:rsidRPr="002A37BC">
        <w:rPr>
          <w:rFonts w:ascii="Arial" w:hAnsi="Arial" w:cs="Arial"/>
          <w:color w:val="000000" w:themeColor="text1"/>
          <w:sz w:val="22"/>
          <w:szCs w:val="22"/>
        </w:rPr>
        <w:t>R, GFP, GFAP, Iba1 and c-</w:t>
      </w:r>
      <w:proofErr w:type="spellStart"/>
      <w:r w:rsidRPr="002A37BC">
        <w:rPr>
          <w:rFonts w:ascii="Arial" w:hAnsi="Arial" w:cs="Arial"/>
          <w:color w:val="000000" w:themeColor="text1"/>
          <w:sz w:val="22"/>
          <w:szCs w:val="22"/>
        </w:rPr>
        <w:t>Fos</w:t>
      </w:r>
      <w:proofErr w:type="spellEnd"/>
      <w:r w:rsidRPr="002A37BC">
        <w:rPr>
          <w:rFonts w:ascii="Arial" w:hAnsi="Arial" w:cs="Arial"/>
          <w:color w:val="000000" w:themeColor="text1"/>
          <w:sz w:val="22"/>
          <w:szCs w:val="22"/>
        </w:rPr>
        <w:t xml:space="preserve"> were incubated at 4°C (Serum, antibodies and incubation time are given in </w:t>
      </w:r>
      <w:r w:rsidRPr="002A37BC">
        <w:rPr>
          <w:rFonts w:ascii="Arial" w:hAnsi="Arial" w:cs="Arial"/>
          <w:b/>
          <w:bCs/>
          <w:color w:val="000000" w:themeColor="text1"/>
          <w:sz w:val="22"/>
          <w:szCs w:val="22"/>
        </w:rPr>
        <w:t>Supplementary Table 2</w:t>
      </w:r>
      <w:r w:rsidRPr="002A37BC">
        <w:rPr>
          <w:rFonts w:ascii="Arial" w:hAnsi="Arial" w:cs="Arial"/>
          <w:color w:val="000000" w:themeColor="text1"/>
          <w:sz w:val="22"/>
          <w:szCs w:val="22"/>
        </w:rPr>
        <w:t xml:space="preserve">). Biotinylated-conjugated secondary antibodies (1/500, Vector Laboratories) were then incubated for 1 </w:t>
      </w:r>
      <w:proofErr w:type="spellStart"/>
      <w:r w:rsidRPr="002A37BC">
        <w:rPr>
          <w:rFonts w:ascii="Arial" w:hAnsi="Arial" w:cs="Arial"/>
          <w:color w:val="000000" w:themeColor="text1"/>
          <w:sz w:val="22"/>
          <w:szCs w:val="22"/>
        </w:rPr>
        <w:t>h at</w:t>
      </w:r>
      <w:proofErr w:type="spellEnd"/>
      <w:r w:rsidRPr="002A37BC">
        <w:rPr>
          <w:rFonts w:ascii="Arial" w:hAnsi="Arial" w:cs="Arial"/>
          <w:color w:val="000000" w:themeColor="text1"/>
          <w:sz w:val="22"/>
          <w:szCs w:val="22"/>
        </w:rPr>
        <w:t xml:space="preserve"> RT and the revelation was performed using ABC method (#PK6100; Vector Laboratories) with 3,30-diaminobenzidine as the peroxidase substrate (#D9015; Sigma). The sections were mounted and incubated in successive ethanol baths (from 30% to 100%; 3x10 min) and toluene baths (3x10 min) once dried. Then the sections were covered with the </w:t>
      </w:r>
      <w:proofErr w:type="spellStart"/>
      <w:r w:rsidRPr="002A37BC">
        <w:rPr>
          <w:rFonts w:ascii="Arial" w:hAnsi="Arial" w:cs="Arial"/>
          <w:color w:val="000000" w:themeColor="text1"/>
          <w:sz w:val="22"/>
          <w:szCs w:val="22"/>
        </w:rPr>
        <w:t>Vectamount</w:t>
      </w:r>
      <w:proofErr w:type="spellEnd"/>
      <w:r w:rsidRPr="002A37BC">
        <w:rPr>
          <w:rFonts w:ascii="Arial" w:hAnsi="Arial" w:cs="Arial"/>
          <w:color w:val="000000" w:themeColor="text1"/>
          <w:sz w:val="22"/>
          <w:szCs w:val="22"/>
        </w:rPr>
        <w:t xml:space="preserve"> mounting medium (#H5000; Vector Laboratories) and coverslips (#LCO2460M; </w:t>
      </w:r>
      <w:proofErr w:type="spellStart"/>
      <w:r w:rsidRPr="002A37BC">
        <w:rPr>
          <w:rFonts w:ascii="Arial" w:hAnsi="Arial" w:cs="Arial"/>
          <w:color w:val="000000" w:themeColor="text1"/>
          <w:sz w:val="22"/>
          <w:szCs w:val="22"/>
        </w:rPr>
        <w:t>Labelians</w:t>
      </w:r>
      <w:proofErr w:type="spellEnd"/>
      <w:r w:rsidRPr="002A37BC">
        <w:rPr>
          <w:rFonts w:ascii="Arial" w:hAnsi="Arial" w:cs="Arial"/>
          <w:color w:val="000000" w:themeColor="text1"/>
          <w:sz w:val="22"/>
          <w:szCs w:val="22"/>
        </w:rPr>
        <w:t>).</w:t>
      </w:r>
    </w:p>
    <w:p w:rsidR="00D36DF3" w:rsidRPr="002A37BC" w:rsidRDefault="00D36DF3" w:rsidP="00873FEA">
      <w:pPr>
        <w:spacing w:line="480" w:lineRule="auto"/>
        <w:jc w:val="both"/>
        <w:rPr>
          <w:rFonts w:ascii="Arial" w:hAnsi="Arial" w:cs="Arial"/>
          <w:color w:val="000000" w:themeColor="text1"/>
          <w:sz w:val="22"/>
          <w:szCs w:val="22"/>
        </w:rPr>
      </w:pPr>
      <w:r w:rsidRPr="002A37BC">
        <w:rPr>
          <w:rFonts w:ascii="Arial" w:hAnsi="Arial" w:cs="Arial"/>
          <w:b/>
          <w:bCs/>
          <w:i/>
          <w:iCs/>
          <w:color w:val="000000" w:themeColor="text1"/>
          <w:sz w:val="22"/>
          <w:szCs w:val="22"/>
        </w:rPr>
        <w:t>Immunofluorescence.</w:t>
      </w:r>
      <w:r w:rsidRPr="002A37BC">
        <w:rPr>
          <w:rFonts w:ascii="Arial" w:hAnsi="Arial" w:cs="Arial"/>
          <w:color w:val="000000" w:themeColor="text1"/>
          <w:sz w:val="22"/>
          <w:szCs w:val="22"/>
        </w:rPr>
        <w:t xml:space="preserve"> 35 </w:t>
      </w:r>
      <w:proofErr w:type="spellStart"/>
      <w:r w:rsidRPr="002A37BC">
        <w:rPr>
          <w:rFonts w:ascii="Arial" w:hAnsi="Arial" w:cs="Arial"/>
          <w:color w:val="000000" w:themeColor="text1"/>
          <w:sz w:val="22"/>
          <w:szCs w:val="22"/>
        </w:rPr>
        <w:t>μm</w:t>
      </w:r>
      <w:proofErr w:type="spellEnd"/>
      <w:r w:rsidRPr="002A37BC">
        <w:rPr>
          <w:rFonts w:ascii="Arial" w:hAnsi="Arial" w:cs="Arial"/>
          <w:color w:val="000000" w:themeColor="text1"/>
          <w:sz w:val="22"/>
          <w:szCs w:val="22"/>
        </w:rPr>
        <w:t xml:space="preserve"> mouse floating sections were washed and permeabilized 3 times with PBS-T. After the saturation of the tissue (5% of serum in PBS-T), the primary antibodies of A</w:t>
      </w:r>
      <w:r w:rsidRPr="002A37BC">
        <w:rPr>
          <w:rFonts w:ascii="Arial" w:hAnsi="Arial" w:cs="Arial"/>
          <w:color w:val="000000" w:themeColor="text1"/>
          <w:sz w:val="22"/>
          <w:szCs w:val="22"/>
          <w:vertAlign w:val="subscript"/>
        </w:rPr>
        <w:t>2A</w:t>
      </w:r>
      <w:r w:rsidRPr="002A37BC">
        <w:rPr>
          <w:rFonts w:ascii="Arial" w:hAnsi="Arial" w:cs="Arial"/>
          <w:color w:val="000000" w:themeColor="text1"/>
          <w:sz w:val="22"/>
          <w:szCs w:val="22"/>
        </w:rPr>
        <w:t xml:space="preserve">R, GFAP, </w:t>
      </w:r>
      <w:r w:rsidRPr="002A37BC">
        <w:rPr>
          <w:rFonts w:ascii="Arial" w:hAnsi="Arial" w:cs="Arial"/>
          <w:color w:val="000000" w:themeColor="text1"/>
          <w:sz w:val="22"/>
          <w:szCs w:val="22"/>
          <w:lang w:val="en-GB"/>
        </w:rPr>
        <w:t>S100</w:t>
      </w:r>
      <w:r w:rsidRPr="002A37BC">
        <w:rPr>
          <w:rFonts w:ascii="Arial" w:hAnsi="Arial" w:cs="Arial"/>
          <w:color w:val="000000" w:themeColor="text1"/>
          <w:sz w:val="22"/>
          <w:szCs w:val="22"/>
          <w:lang w:val="el-GR"/>
        </w:rPr>
        <w:t>β</w:t>
      </w:r>
      <w:r w:rsidRPr="002A37BC">
        <w:rPr>
          <w:rFonts w:ascii="Arial" w:hAnsi="Arial" w:cs="Arial"/>
          <w:color w:val="000000" w:themeColor="text1"/>
          <w:sz w:val="22"/>
          <w:szCs w:val="22"/>
        </w:rPr>
        <w:t xml:space="preserve">, Sox2, STAT3, Iba1, CD68, </w:t>
      </w:r>
      <w:proofErr w:type="spellStart"/>
      <w:r w:rsidRPr="002A37BC">
        <w:rPr>
          <w:rFonts w:ascii="Arial" w:hAnsi="Arial" w:cs="Arial"/>
          <w:color w:val="000000" w:themeColor="text1"/>
          <w:sz w:val="22"/>
          <w:szCs w:val="22"/>
        </w:rPr>
        <w:t>NeuN</w:t>
      </w:r>
      <w:proofErr w:type="spellEnd"/>
      <w:r w:rsidRPr="002A37BC">
        <w:rPr>
          <w:rFonts w:ascii="Arial" w:hAnsi="Arial" w:cs="Arial"/>
          <w:color w:val="000000" w:themeColor="text1"/>
          <w:sz w:val="22"/>
          <w:szCs w:val="22"/>
        </w:rPr>
        <w:t xml:space="preserve">, YAP, RFP and GFP were incubated at 4°C (Serum, antibodies and incubation time are given in </w:t>
      </w:r>
      <w:r w:rsidRPr="002A37BC">
        <w:rPr>
          <w:rFonts w:ascii="Arial" w:hAnsi="Arial" w:cs="Arial"/>
          <w:b/>
          <w:bCs/>
          <w:color w:val="000000" w:themeColor="text1"/>
          <w:sz w:val="22"/>
          <w:szCs w:val="22"/>
        </w:rPr>
        <w:t>Supplementary Table 2</w:t>
      </w:r>
      <w:r w:rsidRPr="002A37BC">
        <w:rPr>
          <w:rFonts w:ascii="Arial" w:hAnsi="Arial" w:cs="Arial"/>
          <w:color w:val="000000" w:themeColor="text1"/>
          <w:sz w:val="22"/>
          <w:szCs w:val="22"/>
        </w:rPr>
        <w:t xml:space="preserve">). Alexa Fluor488-, Alexa Fluor568- and Alexa Fluor647-conjugated secondary antibodies (1/500; Life Technologies) were incubated for 1 </w:t>
      </w:r>
      <w:proofErr w:type="spellStart"/>
      <w:r w:rsidRPr="002A37BC">
        <w:rPr>
          <w:rFonts w:ascii="Arial" w:hAnsi="Arial" w:cs="Arial"/>
          <w:color w:val="000000" w:themeColor="text1"/>
          <w:sz w:val="22"/>
          <w:szCs w:val="22"/>
        </w:rPr>
        <w:t>h at</w:t>
      </w:r>
      <w:proofErr w:type="spellEnd"/>
      <w:r w:rsidRPr="002A37BC">
        <w:rPr>
          <w:rFonts w:ascii="Arial" w:hAnsi="Arial" w:cs="Arial"/>
          <w:color w:val="000000" w:themeColor="text1"/>
          <w:sz w:val="22"/>
          <w:szCs w:val="22"/>
        </w:rPr>
        <w:t xml:space="preserve"> RT. Sections were counterstained with DAPI (1/5000; #62248; </w:t>
      </w:r>
      <w:proofErr w:type="spellStart"/>
      <w:r w:rsidRPr="002A37BC">
        <w:rPr>
          <w:rFonts w:ascii="Arial" w:hAnsi="Arial" w:cs="Arial"/>
          <w:color w:val="000000" w:themeColor="text1"/>
          <w:sz w:val="22"/>
          <w:szCs w:val="22"/>
        </w:rPr>
        <w:t>Thermoscientific</w:t>
      </w:r>
      <w:proofErr w:type="spellEnd"/>
      <w:r w:rsidRPr="002A37BC">
        <w:rPr>
          <w:rFonts w:ascii="Arial" w:hAnsi="Arial" w:cs="Arial"/>
          <w:color w:val="000000" w:themeColor="text1"/>
          <w:sz w:val="22"/>
          <w:szCs w:val="22"/>
        </w:rPr>
        <w:t xml:space="preserve">). The sections were mounted and treated for 10 min in 0.3% of </w:t>
      </w:r>
      <w:proofErr w:type="spellStart"/>
      <w:r w:rsidRPr="002A37BC">
        <w:rPr>
          <w:rFonts w:ascii="Arial" w:hAnsi="Arial" w:cs="Arial"/>
          <w:color w:val="000000" w:themeColor="text1"/>
          <w:sz w:val="22"/>
          <w:szCs w:val="22"/>
        </w:rPr>
        <w:t>Suden</w:t>
      </w:r>
      <w:proofErr w:type="spellEnd"/>
      <w:r w:rsidRPr="002A37BC">
        <w:rPr>
          <w:rFonts w:ascii="Arial" w:hAnsi="Arial" w:cs="Arial"/>
          <w:color w:val="000000" w:themeColor="text1"/>
          <w:sz w:val="22"/>
          <w:szCs w:val="22"/>
        </w:rPr>
        <w:t xml:space="preserve"> Black to block autofluorescence once dried. Then the sections were covered with </w:t>
      </w:r>
      <w:proofErr w:type="spellStart"/>
      <w:r w:rsidRPr="002A37BC">
        <w:rPr>
          <w:rFonts w:ascii="Arial" w:hAnsi="Arial" w:cs="Arial"/>
          <w:color w:val="000000" w:themeColor="text1"/>
          <w:sz w:val="22"/>
          <w:szCs w:val="22"/>
        </w:rPr>
        <w:t>Dako</w:t>
      </w:r>
      <w:proofErr w:type="spellEnd"/>
      <w:r w:rsidRPr="002A37BC">
        <w:rPr>
          <w:rFonts w:ascii="Arial" w:hAnsi="Arial" w:cs="Arial"/>
          <w:color w:val="000000" w:themeColor="text1"/>
          <w:sz w:val="22"/>
          <w:szCs w:val="22"/>
        </w:rPr>
        <w:t xml:space="preserve"> Fluorescent mounting medium (#S3023; Sigma) and coverslips (#LCO2460M; </w:t>
      </w:r>
      <w:proofErr w:type="spellStart"/>
      <w:r w:rsidRPr="002A37BC">
        <w:rPr>
          <w:rFonts w:ascii="Arial" w:hAnsi="Arial" w:cs="Arial"/>
          <w:color w:val="000000" w:themeColor="text1"/>
          <w:sz w:val="22"/>
          <w:szCs w:val="22"/>
        </w:rPr>
        <w:t>Labelians</w:t>
      </w:r>
      <w:proofErr w:type="spellEnd"/>
      <w:r w:rsidRPr="002A37BC">
        <w:rPr>
          <w:rFonts w:ascii="Arial" w:hAnsi="Arial" w:cs="Arial"/>
          <w:color w:val="000000" w:themeColor="text1"/>
          <w:sz w:val="22"/>
          <w:szCs w:val="22"/>
        </w:rPr>
        <w:t>).  For the STAT3 staining, we used a dedicated protocol requiring a permeabilization step thanks to a 100% methanol bath during 20 min at -20°C, before the saturation</w:t>
      </w:r>
      <w:r w:rsidRPr="002A37BC">
        <w:rPr>
          <w:rFonts w:ascii="Arial" w:hAnsi="Arial" w:cs="Arial"/>
          <w:color w:val="000000" w:themeColor="text1"/>
          <w:sz w:val="22"/>
          <w:szCs w:val="22"/>
        </w:rPr>
        <w:fldChar w:fldCharType="begin"/>
      </w:r>
      <w:r w:rsidRPr="002A37BC">
        <w:rPr>
          <w:rFonts w:ascii="Arial" w:hAnsi="Arial" w:cs="Arial"/>
          <w:color w:val="000000" w:themeColor="text1"/>
          <w:sz w:val="22"/>
          <w:szCs w:val="22"/>
        </w:rPr>
        <w:instrText xml:space="preserve"> ADDIN ZOTERO_ITEM CSL_CITATION {"citationID":"lsGRmdGH","properties":{"formattedCitation":"\\super 49\\nosupersub{}","plainCitation":"49","noteIndex":0},"citationItems":[{"id":787,"uris":["http://zotero.org/users/local/7BaFczpi/items/4GY8MB6Z"],"itemData":{"id":787,"type":"article-journal","abstract":"Astrocyte reactivity is a hallmark of neurodegenerative diseases (ND), but its effects on disease outcomes remain highly debated. Elucidation of the signaling cascades inducing reactivity in astrocytes during ND would help characterize the function of these cells and identify novel molecular targets to modulate disease progression. The Janus kinase/signal transducer and activator of transcription 3 (JAK/STAT3) pathway is associated with reactive astrocytes in models of acute injury, but it is unknown whether this pathway is directly responsible for astrocyte reactivity in progressive pathological conditions such as ND. In this study, we examined whether the JAK/STAT3 pathway promotes astrocyte reactivity in several animal models of ND. The JAK/STAT3 pathway was activated in reactive astrocytes in two transgenic mouse models of Alzheimer's disease and in a mouse and a nonhuman primate lentiviral vector-based model of Huntington's disease (HD). To determine whether this cascade was instrumental for astrocyte reactivity, we used a lentiviral vector that specifically targets astrocytes in vivo to overexpress the endogenous inhibitor of the JAK/STAT3 pathway [suppressor of cytokine signaling 3 (SOCS3)]. SOCS3 significantly inhibited this pathway in astrocytes, prevented astrocyte reactivity, and decreased microglial activation in models of both diseases. Inhibition of the JAK/STAT3 pathway within reactive astrocytes also increased the number of huntingtin aggregates, a neuropathological hallmark of HD, but did not influence neuronal death. Our data demonstrate that the JAK/STAT3 pathway is a common mediator of astrocyte reactivity that is highly conserved between disease states, species, and brain regions. This universal signaling cascade represents a potent target to study the role of reactive astrocytes in ND.","container-title":"The Journal of Neuroscience: The Official Journal of the Society for Neuroscience","DOI":"10.1523/JNEUROSCI.3516-14.2015","ISSN":"1529-2401","issue":"6","journalAbbreviation":"J Neurosci","language":"eng","note":"PMID: 25673868\nPMCID: PMC6605603","page":"2817-2829","source":"PubMed","title":"The JAK/STAT3 pathway is a common inducer of astrocyte reactivity in Alzheimer's and Huntington's diseases","volume":"35","author":[{"family":"Ben Haim","given":"Lucile"},{"family":"Ceyzériat","given":"Kelly"},{"family":"Carrillo-de Sauvage","given":"Maria Angeles"},{"family":"Aubry","given":"Fabien"},{"family":"Auregan","given":"Gwennaëlle"},{"family":"Guillermier","given":"Martine"},{"family":"Ruiz","given":"Marta"},{"family":"Petit","given":"Fanny"},{"family":"Houitte","given":"Diane"},{"family":"Faivre","given":"Emilie"},{"family":"Vandesquille","given":"Matthias"},{"family":"Aron-Badin","given":"Romina"},{"family":"Dhenain","given":"Marc"},{"family":"Déglon","given":"Nicole"},{"family":"Hantraye","given":"Philippe"},{"family":"Brouillet","given":"Emmanuel"},{"family":"Bonvento","given":"Gilles"},{"family":"Escartin","given":"Carole"}],"issued":{"date-parts":[["2015",2,11]]}}}],"schema":"https://github.com/citation-style-language/schema/raw/master/csl-citation.json"} </w:instrText>
      </w:r>
      <w:r w:rsidRPr="002A37BC">
        <w:rPr>
          <w:rFonts w:ascii="Arial" w:hAnsi="Arial" w:cs="Arial"/>
          <w:color w:val="000000" w:themeColor="text1"/>
          <w:sz w:val="22"/>
          <w:szCs w:val="22"/>
        </w:rPr>
        <w:fldChar w:fldCharType="separate"/>
      </w:r>
      <w:r w:rsidRPr="002A37BC">
        <w:rPr>
          <w:rFonts w:ascii="Arial" w:hAnsi="Arial" w:cs="Arial"/>
          <w:color w:val="000000" w:themeColor="text1"/>
          <w:sz w:val="22"/>
          <w:vertAlign w:val="superscript"/>
        </w:rPr>
        <w:t>49</w:t>
      </w:r>
      <w:r w:rsidRPr="002A37BC">
        <w:rPr>
          <w:rFonts w:ascii="Arial" w:hAnsi="Arial" w:cs="Arial"/>
          <w:color w:val="000000" w:themeColor="text1"/>
          <w:sz w:val="22"/>
          <w:szCs w:val="22"/>
        </w:rPr>
        <w:fldChar w:fldCharType="end"/>
      </w:r>
      <w:r w:rsidRPr="002A37BC">
        <w:rPr>
          <w:rFonts w:ascii="Arial" w:hAnsi="Arial" w:cs="Arial"/>
          <w:color w:val="000000" w:themeColor="text1"/>
          <w:sz w:val="22"/>
          <w:szCs w:val="22"/>
        </w:rPr>
        <w:t>.</w:t>
      </w:r>
    </w:p>
    <w:p w:rsidR="00D36DF3" w:rsidRPr="002A37BC" w:rsidRDefault="00D36DF3" w:rsidP="00873FEA">
      <w:pPr>
        <w:spacing w:line="480" w:lineRule="auto"/>
        <w:jc w:val="both"/>
        <w:rPr>
          <w:rFonts w:ascii="Arial" w:hAnsi="Arial" w:cs="Arial"/>
          <w:color w:val="000000" w:themeColor="text1"/>
          <w:sz w:val="22"/>
          <w:szCs w:val="22"/>
        </w:rPr>
      </w:pPr>
      <w:r w:rsidRPr="002A37BC">
        <w:rPr>
          <w:rFonts w:ascii="Arial" w:hAnsi="Arial" w:cs="Arial"/>
          <w:b/>
          <w:bCs/>
          <w:i/>
          <w:iCs/>
          <w:color w:val="000000" w:themeColor="text1"/>
          <w:sz w:val="22"/>
          <w:szCs w:val="22"/>
        </w:rPr>
        <w:t>Image acquisition and analysis.</w:t>
      </w:r>
      <w:r w:rsidRPr="002A37BC">
        <w:rPr>
          <w:rFonts w:ascii="Arial" w:hAnsi="Arial" w:cs="Arial"/>
          <w:b/>
          <w:bCs/>
          <w:color w:val="000000" w:themeColor="text1"/>
          <w:sz w:val="22"/>
          <w:szCs w:val="22"/>
        </w:rPr>
        <w:t xml:space="preserve"> </w:t>
      </w:r>
      <w:r w:rsidRPr="002A37BC">
        <w:rPr>
          <w:rFonts w:ascii="Arial" w:hAnsi="Arial" w:cs="Arial"/>
          <w:color w:val="000000" w:themeColor="text1"/>
          <w:sz w:val="22"/>
          <w:szCs w:val="22"/>
        </w:rPr>
        <w:t>For A</w:t>
      </w:r>
      <w:r w:rsidRPr="002A37BC">
        <w:rPr>
          <w:rFonts w:ascii="Arial" w:hAnsi="Arial" w:cs="Arial"/>
          <w:color w:val="000000" w:themeColor="text1"/>
          <w:sz w:val="22"/>
          <w:szCs w:val="22"/>
          <w:vertAlign w:val="subscript"/>
        </w:rPr>
        <w:t>2A</w:t>
      </w:r>
      <w:r w:rsidRPr="002A37BC">
        <w:rPr>
          <w:rFonts w:ascii="Arial" w:hAnsi="Arial" w:cs="Arial"/>
          <w:color w:val="000000" w:themeColor="text1"/>
          <w:sz w:val="22"/>
          <w:szCs w:val="22"/>
        </w:rPr>
        <w:t>R, GFP, GFAP, Iba1 and c-</w:t>
      </w:r>
      <w:proofErr w:type="spellStart"/>
      <w:r w:rsidRPr="002A37BC">
        <w:rPr>
          <w:rFonts w:ascii="Arial" w:hAnsi="Arial" w:cs="Arial"/>
          <w:color w:val="000000" w:themeColor="text1"/>
          <w:sz w:val="22"/>
          <w:szCs w:val="22"/>
        </w:rPr>
        <w:t>Fos</w:t>
      </w:r>
      <w:proofErr w:type="spellEnd"/>
      <w:r w:rsidRPr="002A37BC">
        <w:rPr>
          <w:rFonts w:ascii="Arial" w:hAnsi="Arial" w:cs="Arial"/>
          <w:color w:val="000000" w:themeColor="text1"/>
          <w:sz w:val="22"/>
          <w:szCs w:val="22"/>
        </w:rPr>
        <w:t xml:space="preserve"> immunohistochemistries, 6-7 sections per animal were acquired using x20 objective Zeiss </w:t>
      </w:r>
      <w:proofErr w:type="spellStart"/>
      <w:r w:rsidRPr="002A37BC">
        <w:rPr>
          <w:rFonts w:ascii="Arial" w:hAnsi="Arial" w:cs="Arial"/>
          <w:color w:val="000000" w:themeColor="text1"/>
          <w:sz w:val="22"/>
          <w:szCs w:val="22"/>
        </w:rPr>
        <w:t>Axioscan</w:t>
      </w:r>
      <w:proofErr w:type="spellEnd"/>
      <w:r w:rsidRPr="002A37BC">
        <w:rPr>
          <w:rFonts w:ascii="Arial" w:hAnsi="Arial" w:cs="Arial"/>
          <w:color w:val="000000" w:themeColor="text1"/>
          <w:sz w:val="22"/>
          <w:szCs w:val="22"/>
        </w:rPr>
        <w:t xml:space="preserve"> Z1 slide scanner. Quantification of the GFAP, Iba1 and C-</w:t>
      </w:r>
      <w:proofErr w:type="spellStart"/>
      <w:proofErr w:type="gramStart"/>
      <w:r w:rsidRPr="002A37BC">
        <w:rPr>
          <w:rFonts w:ascii="Arial" w:hAnsi="Arial" w:cs="Arial"/>
          <w:color w:val="000000" w:themeColor="text1"/>
          <w:sz w:val="22"/>
          <w:szCs w:val="22"/>
        </w:rPr>
        <w:t>Fos</w:t>
      </w:r>
      <w:proofErr w:type="spellEnd"/>
      <w:proofErr w:type="gramEnd"/>
      <w:r w:rsidRPr="002A37BC">
        <w:rPr>
          <w:rFonts w:ascii="Arial" w:hAnsi="Arial" w:cs="Arial"/>
          <w:color w:val="000000" w:themeColor="text1"/>
          <w:sz w:val="22"/>
          <w:szCs w:val="22"/>
        </w:rPr>
        <w:t xml:space="preserve"> signal intensity and percentage of labeled area were performed using Fiji software (Java). For A</w:t>
      </w:r>
      <w:r w:rsidRPr="002A37BC">
        <w:rPr>
          <w:rFonts w:ascii="Arial" w:hAnsi="Arial" w:cs="Arial"/>
          <w:color w:val="000000" w:themeColor="text1"/>
          <w:sz w:val="22"/>
          <w:szCs w:val="22"/>
          <w:vertAlign w:val="subscript"/>
        </w:rPr>
        <w:t>2A</w:t>
      </w:r>
      <w:r w:rsidRPr="002A37BC">
        <w:rPr>
          <w:rFonts w:ascii="Arial" w:hAnsi="Arial" w:cs="Arial"/>
          <w:color w:val="000000" w:themeColor="text1"/>
          <w:sz w:val="22"/>
          <w:szCs w:val="22"/>
        </w:rPr>
        <w:t xml:space="preserve">R, GFAP, </w:t>
      </w:r>
      <w:proofErr w:type="spellStart"/>
      <w:r w:rsidRPr="002A37BC">
        <w:rPr>
          <w:rFonts w:ascii="Arial" w:hAnsi="Arial" w:cs="Arial"/>
          <w:color w:val="000000" w:themeColor="text1"/>
          <w:sz w:val="22"/>
          <w:szCs w:val="22"/>
        </w:rPr>
        <w:t>NeuN</w:t>
      </w:r>
      <w:proofErr w:type="spellEnd"/>
      <w:r w:rsidRPr="002A37BC">
        <w:rPr>
          <w:rFonts w:ascii="Arial" w:hAnsi="Arial" w:cs="Arial"/>
          <w:color w:val="000000" w:themeColor="text1"/>
          <w:sz w:val="22"/>
          <w:szCs w:val="22"/>
        </w:rPr>
        <w:t>, Iba1, Sox2 and S100</w:t>
      </w:r>
      <w:r w:rsidRPr="002A37BC">
        <w:rPr>
          <w:rFonts w:ascii="Arial" w:hAnsi="Arial" w:cs="Arial"/>
          <w:color w:val="000000" w:themeColor="text1"/>
          <w:sz w:val="22"/>
          <w:szCs w:val="22"/>
          <w:lang w:val="el-GR"/>
        </w:rPr>
        <w:t>β</w:t>
      </w:r>
      <w:r w:rsidRPr="002A37BC">
        <w:rPr>
          <w:rFonts w:ascii="Arial" w:hAnsi="Arial" w:cs="Arial"/>
          <w:color w:val="000000" w:themeColor="text1"/>
          <w:sz w:val="22"/>
          <w:szCs w:val="22"/>
        </w:rPr>
        <w:t xml:space="preserve"> immunostaining, images were acquired on a Zeiss LSM-710 confocal microscope taking-up to 15 z-stacks at 1.5 </w:t>
      </w:r>
      <w:proofErr w:type="spellStart"/>
      <w:r w:rsidRPr="002A37BC">
        <w:rPr>
          <w:rFonts w:ascii="Arial" w:hAnsi="Arial" w:cs="Arial"/>
          <w:color w:val="000000" w:themeColor="text1"/>
          <w:sz w:val="22"/>
          <w:szCs w:val="22"/>
        </w:rPr>
        <w:t>μm</w:t>
      </w:r>
      <w:proofErr w:type="spellEnd"/>
      <w:r w:rsidRPr="002A37BC">
        <w:rPr>
          <w:rFonts w:ascii="Arial" w:hAnsi="Arial" w:cs="Arial"/>
          <w:color w:val="000000" w:themeColor="text1"/>
          <w:sz w:val="22"/>
          <w:szCs w:val="22"/>
        </w:rPr>
        <w:t xml:space="preserve"> steps with a x63 oil objective (optimal frame size of 1348). For the CD68/Iba1 and STAT3/YAP co-immunostainings, 3-4 regions of interest </w:t>
      </w:r>
      <w:r w:rsidRPr="002A37BC">
        <w:rPr>
          <w:rFonts w:ascii="Arial" w:hAnsi="Arial" w:cs="Arial"/>
          <w:color w:val="000000" w:themeColor="text1"/>
          <w:sz w:val="22"/>
          <w:szCs w:val="22"/>
        </w:rPr>
        <w:lastRenderedPageBreak/>
        <w:t xml:space="preserve">per animal were acquired on a Zeiss Spinning Disk high-resolution microscope taking-up to 15 z-stacks at 1.5 </w:t>
      </w:r>
      <w:proofErr w:type="spellStart"/>
      <w:r w:rsidRPr="002A37BC">
        <w:rPr>
          <w:rFonts w:ascii="Arial" w:hAnsi="Arial" w:cs="Arial"/>
          <w:color w:val="000000" w:themeColor="text1"/>
          <w:sz w:val="22"/>
          <w:szCs w:val="22"/>
        </w:rPr>
        <w:t>μm</w:t>
      </w:r>
      <w:proofErr w:type="spellEnd"/>
      <w:r w:rsidRPr="002A37BC">
        <w:rPr>
          <w:rFonts w:ascii="Arial" w:hAnsi="Arial" w:cs="Arial"/>
          <w:color w:val="000000" w:themeColor="text1"/>
          <w:sz w:val="22"/>
          <w:szCs w:val="22"/>
        </w:rPr>
        <w:t xml:space="preserve"> steps with a 40x oil objective. Percentage of labeled area of CD68</w:t>
      </w:r>
      <w:r w:rsidRPr="002A37BC">
        <w:rPr>
          <w:rFonts w:ascii="Arial" w:hAnsi="Arial" w:cs="Arial"/>
          <w:color w:val="000000" w:themeColor="text1"/>
          <w:sz w:val="22"/>
          <w:szCs w:val="22"/>
          <w:vertAlign w:val="superscript"/>
        </w:rPr>
        <w:t>+</w:t>
      </w:r>
      <w:r w:rsidRPr="002A37BC">
        <w:rPr>
          <w:rFonts w:ascii="Arial" w:hAnsi="Arial" w:cs="Arial"/>
          <w:color w:val="000000" w:themeColor="text1"/>
          <w:sz w:val="22"/>
          <w:szCs w:val="22"/>
        </w:rPr>
        <w:t xml:space="preserve"> in Iba1</w:t>
      </w:r>
      <w:r w:rsidRPr="002A37BC">
        <w:rPr>
          <w:rFonts w:ascii="Arial" w:hAnsi="Arial" w:cs="Arial"/>
          <w:color w:val="000000" w:themeColor="text1"/>
          <w:sz w:val="22"/>
          <w:szCs w:val="22"/>
          <w:vertAlign w:val="superscript"/>
        </w:rPr>
        <w:t xml:space="preserve">+ </w:t>
      </w:r>
      <w:r w:rsidRPr="002A37BC">
        <w:rPr>
          <w:rFonts w:ascii="Arial" w:hAnsi="Arial" w:cs="Arial"/>
          <w:color w:val="000000" w:themeColor="text1"/>
          <w:sz w:val="22"/>
          <w:szCs w:val="22"/>
        </w:rPr>
        <w:t xml:space="preserve">cells was performed using the </w:t>
      </w:r>
      <w:proofErr w:type="spellStart"/>
      <w:r w:rsidRPr="002A37BC">
        <w:rPr>
          <w:rFonts w:ascii="Arial" w:hAnsi="Arial" w:cs="Arial"/>
          <w:color w:val="000000" w:themeColor="text1"/>
          <w:sz w:val="22"/>
          <w:szCs w:val="22"/>
        </w:rPr>
        <w:t>Imaris</w:t>
      </w:r>
      <w:proofErr w:type="spellEnd"/>
      <w:r w:rsidRPr="002A37BC">
        <w:rPr>
          <w:rFonts w:ascii="Arial" w:hAnsi="Arial" w:cs="Arial"/>
          <w:color w:val="000000" w:themeColor="text1"/>
          <w:sz w:val="22"/>
          <w:szCs w:val="22"/>
        </w:rPr>
        <w:t xml:space="preserve"> plug-in “X-tension”. Signal intensity, percentage of labeled area and density of STAT3</w:t>
      </w:r>
      <w:r w:rsidRPr="002A37BC">
        <w:rPr>
          <w:rFonts w:ascii="Arial" w:hAnsi="Arial" w:cs="Arial"/>
          <w:color w:val="000000" w:themeColor="text1"/>
          <w:sz w:val="22"/>
          <w:szCs w:val="22"/>
          <w:vertAlign w:val="superscript"/>
        </w:rPr>
        <w:t>+</w:t>
      </w:r>
      <w:r w:rsidRPr="002A37BC">
        <w:rPr>
          <w:rFonts w:ascii="Arial" w:hAnsi="Arial" w:cs="Arial"/>
          <w:color w:val="000000" w:themeColor="text1"/>
          <w:sz w:val="22"/>
          <w:szCs w:val="22"/>
        </w:rPr>
        <w:t xml:space="preserve"> or YAP</w:t>
      </w:r>
      <w:r w:rsidRPr="002A37BC">
        <w:rPr>
          <w:rFonts w:ascii="Arial" w:hAnsi="Arial" w:cs="Arial"/>
          <w:color w:val="000000" w:themeColor="text1"/>
          <w:sz w:val="22"/>
          <w:szCs w:val="22"/>
          <w:vertAlign w:val="superscript"/>
        </w:rPr>
        <w:t>+</w:t>
      </w:r>
      <w:r w:rsidRPr="002A37BC">
        <w:rPr>
          <w:rFonts w:ascii="Arial" w:hAnsi="Arial" w:cs="Arial"/>
          <w:color w:val="000000" w:themeColor="text1"/>
          <w:sz w:val="22"/>
          <w:szCs w:val="22"/>
        </w:rPr>
        <w:t xml:space="preserve"> cells in GFAP</w:t>
      </w:r>
      <w:r w:rsidRPr="002A37BC">
        <w:rPr>
          <w:rFonts w:ascii="Arial" w:hAnsi="Arial" w:cs="Arial"/>
          <w:color w:val="000000" w:themeColor="text1"/>
          <w:sz w:val="22"/>
          <w:szCs w:val="22"/>
          <w:vertAlign w:val="superscript"/>
        </w:rPr>
        <w:t>+</w:t>
      </w:r>
      <w:r w:rsidRPr="002A37BC">
        <w:rPr>
          <w:rFonts w:ascii="Arial" w:hAnsi="Arial" w:cs="Arial"/>
          <w:color w:val="000000" w:themeColor="text1"/>
          <w:sz w:val="22"/>
          <w:szCs w:val="22"/>
        </w:rPr>
        <w:t xml:space="preserve"> cells as well as labeled area and volume of YAP</w:t>
      </w:r>
      <w:r w:rsidRPr="002A37BC">
        <w:rPr>
          <w:rFonts w:ascii="Arial" w:hAnsi="Arial" w:cs="Arial"/>
          <w:color w:val="000000" w:themeColor="text1"/>
          <w:sz w:val="22"/>
          <w:szCs w:val="22"/>
          <w:vertAlign w:val="superscript"/>
        </w:rPr>
        <w:t>+</w:t>
      </w:r>
      <w:r w:rsidRPr="002A37BC">
        <w:rPr>
          <w:rFonts w:ascii="Arial" w:hAnsi="Arial" w:cs="Arial"/>
          <w:color w:val="000000" w:themeColor="text1"/>
          <w:sz w:val="22"/>
          <w:szCs w:val="22"/>
        </w:rPr>
        <w:t xml:space="preserve"> and DAPI</w:t>
      </w:r>
      <w:r w:rsidRPr="002A37BC">
        <w:rPr>
          <w:rFonts w:ascii="Arial" w:hAnsi="Arial" w:cs="Arial"/>
          <w:color w:val="000000" w:themeColor="text1"/>
          <w:sz w:val="22"/>
          <w:szCs w:val="22"/>
          <w:vertAlign w:val="superscript"/>
        </w:rPr>
        <w:t>+</w:t>
      </w:r>
      <w:r w:rsidRPr="002A37BC">
        <w:rPr>
          <w:rFonts w:ascii="Arial" w:hAnsi="Arial" w:cs="Arial"/>
          <w:color w:val="000000" w:themeColor="text1"/>
          <w:sz w:val="22"/>
          <w:szCs w:val="22"/>
        </w:rPr>
        <w:t xml:space="preserve"> nucleus staining were performed using the </w:t>
      </w:r>
      <w:proofErr w:type="spellStart"/>
      <w:r w:rsidRPr="002A37BC">
        <w:rPr>
          <w:rFonts w:ascii="Arial" w:hAnsi="Arial" w:cs="Arial"/>
          <w:color w:val="000000" w:themeColor="text1"/>
          <w:sz w:val="22"/>
          <w:szCs w:val="22"/>
        </w:rPr>
        <w:t>Imaris</w:t>
      </w:r>
      <w:proofErr w:type="spellEnd"/>
      <w:r w:rsidRPr="002A37BC">
        <w:rPr>
          <w:rFonts w:ascii="Arial" w:hAnsi="Arial" w:cs="Arial"/>
          <w:color w:val="000000" w:themeColor="text1"/>
          <w:sz w:val="22"/>
          <w:szCs w:val="22"/>
        </w:rPr>
        <w:t xml:space="preserve"> plug-in “X-tension”. For the RFP/A</w:t>
      </w:r>
      <w:r w:rsidRPr="002A37BC">
        <w:rPr>
          <w:rFonts w:ascii="Arial" w:hAnsi="Arial" w:cs="Arial"/>
          <w:color w:val="000000" w:themeColor="text1"/>
          <w:sz w:val="22"/>
          <w:szCs w:val="22"/>
          <w:vertAlign w:val="subscript"/>
        </w:rPr>
        <w:t>2A</w:t>
      </w:r>
      <w:r w:rsidRPr="002A37BC">
        <w:rPr>
          <w:rFonts w:ascii="Arial" w:hAnsi="Arial" w:cs="Arial"/>
          <w:color w:val="000000" w:themeColor="text1"/>
          <w:sz w:val="22"/>
          <w:szCs w:val="22"/>
        </w:rPr>
        <w:t>R co-immunostaining, images were acquired on a Zeiss LSM-710 confocal microscope on 1 stack with a x40 oil objective using “mosaic” function in order to observe the astrocyte A</w:t>
      </w:r>
      <w:r w:rsidRPr="002A37BC">
        <w:rPr>
          <w:rFonts w:ascii="Arial" w:hAnsi="Arial" w:cs="Arial"/>
          <w:color w:val="000000" w:themeColor="text1"/>
          <w:sz w:val="22"/>
          <w:szCs w:val="22"/>
          <w:vertAlign w:val="subscript"/>
        </w:rPr>
        <w:t>2A</w:t>
      </w:r>
      <w:r w:rsidRPr="002A37BC">
        <w:rPr>
          <w:rFonts w:ascii="Arial" w:hAnsi="Arial" w:cs="Arial"/>
          <w:color w:val="000000" w:themeColor="text1"/>
          <w:sz w:val="22"/>
          <w:szCs w:val="22"/>
        </w:rPr>
        <w:t>R and neuronal hM3Dq expressions in the CA1 hippocampus area.</w:t>
      </w:r>
    </w:p>
    <w:p w:rsidR="00873FEA" w:rsidRPr="002A37BC" w:rsidRDefault="00873FEA" w:rsidP="00873FEA">
      <w:pPr>
        <w:spacing w:line="480" w:lineRule="auto"/>
        <w:jc w:val="both"/>
        <w:rPr>
          <w:rFonts w:ascii="Arial" w:hAnsi="Arial" w:cs="Arial"/>
          <w:color w:val="000000" w:themeColor="text1"/>
          <w:sz w:val="22"/>
          <w:szCs w:val="22"/>
        </w:rPr>
      </w:pPr>
    </w:p>
    <w:p w:rsidR="00873FEA" w:rsidRPr="002A37BC" w:rsidRDefault="00873FEA" w:rsidP="00873FEA">
      <w:pPr>
        <w:pStyle w:val="NormalWeb"/>
        <w:spacing w:before="0" w:beforeAutospacing="0" w:after="0" w:afterAutospacing="0" w:line="480" w:lineRule="auto"/>
        <w:jc w:val="both"/>
        <w:rPr>
          <w:rFonts w:ascii="Arial" w:hAnsi="Arial" w:cs="Arial"/>
          <w:color w:val="000000" w:themeColor="text1"/>
          <w:sz w:val="22"/>
          <w:szCs w:val="22"/>
          <w:lang w:val="en-US"/>
        </w:rPr>
      </w:pPr>
      <w:r w:rsidRPr="002A37BC">
        <w:rPr>
          <w:rFonts w:ascii="Arial" w:hAnsi="Arial" w:cs="Arial"/>
          <w:b/>
          <w:bCs/>
          <w:color w:val="000000" w:themeColor="text1"/>
          <w:sz w:val="22"/>
          <w:szCs w:val="22"/>
          <w:lang w:val="en-US"/>
        </w:rPr>
        <w:t>Western Blot</w:t>
      </w:r>
      <w:r w:rsidR="002A37BC">
        <w:rPr>
          <w:rFonts w:ascii="Arial" w:hAnsi="Arial" w:cs="Arial"/>
          <w:b/>
          <w:bCs/>
          <w:color w:val="000000" w:themeColor="text1"/>
          <w:sz w:val="22"/>
          <w:szCs w:val="22"/>
          <w:lang w:val="en-US"/>
        </w:rPr>
        <w:t>s</w:t>
      </w:r>
      <w:r w:rsidRPr="002A37BC">
        <w:rPr>
          <w:rFonts w:ascii="Arial" w:hAnsi="Arial" w:cs="Arial"/>
          <w:b/>
          <w:bCs/>
          <w:color w:val="000000" w:themeColor="text1"/>
          <w:sz w:val="22"/>
          <w:szCs w:val="22"/>
          <w:lang w:val="en-US"/>
        </w:rPr>
        <w:t>.</w:t>
      </w:r>
      <w:r w:rsidRPr="002A37BC">
        <w:rPr>
          <w:rFonts w:ascii="Arial" w:hAnsi="Arial" w:cs="Arial"/>
          <w:color w:val="000000" w:themeColor="text1"/>
          <w:sz w:val="22"/>
          <w:szCs w:val="22"/>
          <w:lang w:val="en-US"/>
        </w:rPr>
        <w:t xml:space="preserve"> Protein concentrations of the samples above were quantified using the BCA assay (Pierce), diluted in lithium dodecyl sulphate buffer supplemented with reducing agents (Invitrogen) and then separated on 4-12% Criterion Bis-Tris Gels </w:t>
      </w:r>
      <w:proofErr w:type="spellStart"/>
      <w:r w:rsidRPr="002A37BC">
        <w:rPr>
          <w:rFonts w:ascii="Arial" w:hAnsi="Arial" w:cs="Arial"/>
          <w:color w:val="000000" w:themeColor="text1"/>
          <w:sz w:val="22"/>
          <w:szCs w:val="22"/>
          <w:lang w:val="en-US"/>
        </w:rPr>
        <w:t>gels</w:t>
      </w:r>
      <w:proofErr w:type="spellEnd"/>
      <w:r w:rsidRPr="002A37BC">
        <w:rPr>
          <w:rFonts w:ascii="Arial" w:hAnsi="Arial" w:cs="Arial"/>
          <w:color w:val="000000" w:themeColor="text1"/>
          <w:sz w:val="22"/>
          <w:szCs w:val="22"/>
          <w:lang w:val="en-US"/>
        </w:rPr>
        <w:t xml:space="preserve"> (Invitrogen). Proteins were transferred to nitrocellulose membranes, which were then saturated with 5% non-fat dried milk in TNT (Tris 15mM pH 8, NaCl 140mM, 0.05% Tween) and incubated at 4°C for 24h or 48 h with the primary antibodies. Appropriate HRP-conjugated secondary antibodies were incubated for 45 min at RT. Signals were visualized using chemiluminescence kits ECL (#RPN2106; </w:t>
      </w:r>
      <w:proofErr w:type="spellStart"/>
      <w:r w:rsidRPr="002A37BC">
        <w:rPr>
          <w:rFonts w:ascii="Arial" w:hAnsi="Arial" w:cs="Arial"/>
          <w:color w:val="000000" w:themeColor="text1"/>
          <w:sz w:val="22"/>
          <w:szCs w:val="22"/>
          <w:lang w:val="en-US"/>
        </w:rPr>
        <w:t>Amersham</w:t>
      </w:r>
      <w:proofErr w:type="spellEnd"/>
      <w:r w:rsidRPr="002A37BC">
        <w:rPr>
          <w:rFonts w:ascii="Arial" w:hAnsi="Arial" w:cs="Arial"/>
          <w:color w:val="000000" w:themeColor="text1"/>
          <w:sz w:val="22"/>
          <w:szCs w:val="22"/>
          <w:lang w:val="en-US"/>
        </w:rPr>
        <w:t xml:space="preserve">) or ECL Prime (#RPN2232; </w:t>
      </w:r>
      <w:proofErr w:type="spellStart"/>
      <w:r w:rsidRPr="002A37BC">
        <w:rPr>
          <w:rFonts w:ascii="Arial" w:hAnsi="Arial" w:cs="Arial"/>
          <w:color w:val="000000" w:themeColor="text1"/>
          <w:sz w:val="22"/>
          <w:szCs w:val="22"/>
          <w:lang w:val="en-US"/>
        </w:rPr>
        <w:t>Amersham</w:t>
      </w:r>
      <w:proofErr w:type="spellEnd"/>
      <w:r w:rsidRPr="002A37BC">
        <w:rPr>
          <w:rFonts w:ascii="Arial" w:hAnsi="Arial" w:cs="Arial"/>
          <w:color w:val="000000" w:themeColor="text1"/>
          <w:sz w:val="22"/>
          <w:szCs w:val="22"/>
          <w:lang w:val="en-US"/>
        </w:rPr>
        <w:t xml:space="preserve">) and an </w:t>
      </w:r>
      <w:proofErr w:type="spellStart"/>
      <w:r w:rsidRPr="002A37BC">
        <w:rPr>
          <w:rFonts w:ascii="Arial" w:hAnsi="Arial" w:cs="Arial"/>
          <w:color w:val="000000" w:themeColor="text1"/>
          <w:sz w:val="22"/>
          <w:szCs w:val="22"/>
          <w:lang w:val="en-US"/>
        </w:rPr>
        <w:t>Amersham</w:t>
      </w:r>
      <w:proofErr w:type="spellEnd"/>
      <w:r w:rsidRPr="002A37BC">
        <w:rPr>
          <w:rFonts w:ascii="Arial" w:hAnsi="Arial" w:cs="Arial"/>
          <w:color w:val="000000" w:themeColor="text1"/>
          <w:sz w:val="22"/>
          <w:szCs w:val="22"/>
          <w:lang w:val="en-US"/>
        </w:rPr>
        <w:t xml:space="preserve"> </w:t>
      </w:r>
      <w:proofErr w:type="spellStart"/>
      <w:r w:rsidRPr="002A37BC">
        <w:rPr>
          <w:rFonts w:ascii="Arial" w:hAnsi="Arial" w:cs="Arial"/>
          <w:color w:val="000000" w:themeColor="text1"/>
          <w:sz w:val="22"/>
          <w:szCs w:val="22"/>
          <w:lang w:val="en-US"/>
        </w:rPr>
        <w:t>ImageQuant</w:t>
      </w:r>
      <w:proofErr w:type="spellEnd"/>
      <w:r w:rsidRPr="002A37BC">
        <w:rPr>
          <w:rFonts w:ascii="Arial" w:hAnsi="Arial" w:cs="Arial"/>
          <w:color w:val="000000" w:themeColor="text1"/>
          <w:sz w:val="22"/>
          <w:szCs w:val="22"/>
          <w:lang w:val="en-US"/>
        </w:rPr>
        <w:t xml:space="preserve"> 800 imaging system. Quantiﬁcations were performed using ImageJ software and results normalized to </w:t>
      </w:r>
      <w:r w:rsidRPr="002A37BC">
        <w:rPr>
          <w:rFonts w:ascii="Arial" w:hAnsi="Arial" w:cs="Arial"/>
          <w:color w:val="000000" w:themeColor="text1"/>
          <w:sz w:val="22"/>
          <w:szCs w:val="22"/>
          <w:lang w:val="el-GR"/>
        </w:rPr>
        <w:t>β</w:t>
      </w:r>
      <w:r w:rsidRPr="002A37BC">
        <w:rPr>
          <w:rFonts w:ascii="Arial" w:hAnsi="Arial" w:cs="Arial"/>
          <w:color w:val="000000" w:themeColor="text1"/>
          <w:sz w:val="22"/>
          <w:szCs w:val="22"/>
          <w:lang w:val="en-US"/>
        </w:rPr>
        <w:t xml:space="preserve">-actin. Primary and secondary antibodies used in this study are given in </w:t>
      </w:r>
      <w:r w:rsidRPr="002A37BC">
        <w:rPr>
          <w:rFonts w:ascii="Arial" w:hAnsi="Arial" w:cs="Arial"/>
          <w:b/>
          <w:bCs/>
          <w:color w:val="000000" w:themeColor="text1"/>
          <w:sz w:val="22"/>
          <w:szCs w:val="22"/>
          <w:lang w:val="en-US"/>
        </w:rPr>
        <w:t>Supplementary Table 2</w:t>
      </w:r>
      <w:r w:rsidRPr="002A37BC">
        <w:rPr>
          <w:rFonts w:ascii="Arial" w:hAnsi="Arial" w:cs="Arial"/>
          <w:color w:val="000000" w:themeColor="text1"/>
          <w:sz w:val="22"/>
          <w:szCs w:val="22"/>
          <w:lang w:val="en-US"/>
        </w:rPr>
        <w:t xml:space="preserve">. Uncropped gels are provided as </w:t>
      </w:r>
      <w:r w:rsidRPr="002A37BC">
        <w:rPr>
          <w:rFonts w:ascii="Arial" w:hAnsi="Arial" w:cs="Arial"/>
          <w:b/>
          <w:bCs/>
          <w:color w:val="000000" w:themeColor="text1"/>
          <w:sz w:val="22"/>
          <w:szCs w:val="22"/>
          <w:lang w:val="en-US"/>
        </w:rPr>
        <w:t>Supplementary material</w:t>
      </w:r>
      <w:r w:rsidRPr="002A37BC">
        <w:rPr>
          <w:rFonts w:ascii="Arial" w:hAnsi="Arial" w:cs="Arial"/>
          <w:color w:val="000000" w:themeColor="text1"/>
          <w:sz w:val="22"/>
          <w:szCs w:val="22"/>
          <w:lang w:val="en-US"/>
        </w:rPr>
        <w:t>.</w:t>
      </w:r>
    </w:p>
    <w:p w:rsidR="00873FEA" w:rsidRPr="002A37BC" w:rsidRDefault="00873FEA" w:rsidP="00873FEA">
      <w:pPr>
        <w:spacing w:line="480" w:lineRule="auto"/>
        <w:jc w:val="both"/>
        <w:rPr>
          <w:rFonts w:ascii="Arial" w:hAnsi="Arial" w:cs="Arial"/>
          <w:color w:val="000000" w:themeColor="text1"/>
          <w:sz w:val="22"/>
          <w:szCs w:val="22"/>
        </w:rPr>
      </w:pPr>
    </w:p>
    <w:p w:rsidR="0062628C" w:rsidRPr="002A37BC" w:rsidRDefault="0062628C" w:rsidP="00873FEA">
      <w:pPr>
        <w:jc w:val="both"/>
        <w:rPr>
          <w:color w:val="000000" w:themeColor="text1"/>
        </w:rPr>
      </w:pPr>
    </w:p>
    <w:p w:rsidR="0062628C" w:rsidRPr="002A37BC" w:rsidRDefault="0062628C" w:rsidP="00873FEA">
      <w:pPr>
        <w:jc w:val="both"/>
        <w:rPr>
          <w:color w:val="000000" w:themeColor="text1"/>
        </w:rPr>
      </w:pPr>
    </w:p>
    <w:sectPr w:rsidR="0062628C" w:rsidRPr="002A37BC" w:rsidSect="0037660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4E2"/>
    <w:rsid w:val="00021B3D"/>
    <w:rsid w:val="000F43EC"/>
    <w:rsid w:val="00152E67"/>
    <w:rsid w:val="001542CA"/>
    <w:rsid w:val="001C20B9"/>
    <w:rsid w:val="002A37BC"/>
    <w:rsid w:val="002D0E19"/>
    <w:rsid w:val="003230AA"/>
    <w:rsid w:val="00376607"/>
    <w:rsid w:val="004D3B5F"/>
    <w:rsid w:val="00510491"/>
    <w:rsid w:val="0062628C"/>
    <w:rsid w:val="006D66EE"/>
    <w:rsid w:val="00873FEA"/>
    <w:rsid w:val="00906E8F"/>
    <w:rsid w:val="009549E2"/>
    <w:rsid w:val="009B183C"/>
    <w:rsid w:val="009B65F6"/>
    <w:rsid w:val="00B319FA"/>
    <w:rsid w:val="00B41AE3"/>
    <w:rsid w:val="00C174E2"/>
    <w:rsid w:val="00C56254"/>
    <w:rsid w:val="00C64EFC"/>
    <w:rsid w:val="00C81905"/>
    <w:rsid w:val="00C900A7"/>
    <w:rsid w:val="00D07711"/>
    <w:rsid w:val="00D36DF3"/>
    <w:rsid w:val="00D81BCE"/>
    <w:rsid w:val="00DB7EA5"/>
    <w:rsid w:val="00E12EA8"/>
    <w:rsid w:val="00E27DC7"/>
    <w:rsid w:val="00E8204F"/>
    <w:rsid w:val="00EC627B"/>
    <w:rsid w:val="00FC63E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2B8E190"/>
  <w15:chartTrackingRefBased/>
  <w15:docId w15:val="{1034FBD6-512E-FB4A-A19C-7B4B3624A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qFormat/>
    <w:rsid w:val="0062628C"/>
    <w:pPr>
      <w:spacing w:before="100" w:beforeAutospacing="1" w:after="100" w:afterAutospacing="1"/>
    </w:pPr>
    <w:rPr>
      <w:rFonts w:ascii="Times New Roman" w:eastAsia="Times New Roman" w:hAnsi="Times New Roman" w:cs="Times New Roman"/>
      <w:kern w:val="0"/>
      <w:lang w:val="fr-FR"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4706</Words>
  <Characters>25889</Characters>
  <Application>Microsoft Office Word</Application>
  <DocSecurity>0</DocSecurity>
  <Lines>215</Lines>
  <Paragraphs>61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Blum</dc:creator>
  <cp:keywords/>
  <dc:description/>
  <cp:lastModifiedBy>David Blum</cp:lastModifiedBy>
  <cp:revision>4</cp:revision>
  <dcterms:created xsi:type="dcterms:W3CDTF">2024-07-23T19:54:00Z</dcterms:created>
  <dcterms:modified xsi:type="dcterms:W3CDTF">2024-07-23T20:15:00Z</dcterms:modified>
</cp:coreProperties>
</file>