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DA8E6" w14:textId="77777777" w:rsidR="00FA095B" w:rsidRPr="00AE77CE" w:rsidRDefault="00FA095B" w:rsidP="00FA095B">
      <w:pPr>
        <w:rPr>
          <w:vertAlign w:val="superscript"/>
        </w:rPr>
      </w:pPr>
      <w:r w:rsidRPr="00AE77CE">
        <w:rPr>
          <w:noProof/>
          <w:vertAlign w:val="superscript"/>
        </w:rPr>
        <w:drawing>
          <wp:inline distT="0" distB="0" distL="0" distR="0" wp14:anchorId="1E4D1E0D" wp14:editId="0F869604">
            <wp:extent cx="4077730" cy="1319598"/>
            <wp:effectExtent l="0" t="0" r="0" b="0"/>
            <wp:docPr id="65127631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276315" name="Picture 1" descr="A screenshot of a graph&#10;&#10;Description automatically generated"/>
                    <pic:cNvPicPr/>
                  </pic:nvPicPr>
                  <pic:blipFill>
                    <a:blip r:embed="rId4"/>
                    <a:stretch>
                      <a:fillRect/>
                    </a:stretch>
                  </pic:blipFill>
                  <pic:spPr>
                    <a:xfrm>
                      <a:off x="0" y="0"/>
                      <a:ext cx="4100908" cy="1327099"/>
                    </a:xfrm>
                    <a:prstGeom prst="rect">
                      <a:avLst/>
                    </a:prstGeom>
                  </pic:spPr>
                </pic:pic>
              </a:graphicData>
            </a:graphic>
          </wp:inline>
        </w:drawing>
      </w:r>
    </w:p>
    <w:p w14:paraId="53D54B3B" w14:textId="77777777" w:rsidR="00FA095B" w:rsidRPr="00FC3EA3" w:rsidRDefault="00FA095B" w:rsidP="00FA095B">
      <w:pPr>
        <w:jc w:val="both"/>
        <w:rPr>
          <w:rFonts w:ascii="Arial" w:hAnsi="Arial" w:cs="Arial"/>
          <w:color w:val="000000" w:themeColor="text1"/>
          <w:sz w:val="22"/>
          <w:szCs w:val="22"/>
          <w:shd w:val="clear" w:color="auto" w:fill="FFFFFF"/>
        </w:rPr>
      </w:pPr>
      <w:r w:rsidRPr="0086499D">
        <w:rPr>
          <w:rFonts w:ascii="Arial" w:hAnsi="Arial" w:cs="Arial"/>
          <w:b/>
          <w:bCs/>
          <w:color w:val="000000" w:themeColor="text1"/>
          <w:sz w:val="22"/>
          <w:szCs w:val="22"/>
        </w:rPr>
        <w:t xml:space="preserve">Extended Figure 1: GABA receptor expression in MDSCs. a) </w:t>
      </w:r>
      <w:r w:rsidRPr="0086499D">
        <w:rPr>
          <w:rFonts w:ascii="Arial" w:eastAsiaTheme="minorHAnsi" w:hAnsi="Arial" w:cs="Arial"/>
          <w:color w:val="000000" w:themeColor="text1"/>
          <w:sz w:val="22"/>
          <w:szCs w:val="22"/>
          <w14:ligatures w14:val="standardContextual"/>
        </w:rPr>
        <w:t xml:space="preserve">Three drug candidates were predicted to target the GABA pathway in gMDSCs. Vigabatrin, a GABA transaminase inhibitor; progabide, a GABA analog, and brotizolam, a GABA receptor allosteric ligand were among the 20 candidate genes predicted to target gMDSCs based on network medicine analysis. </w:t>
      </w:r>
      <w:r w:rsidRPr="0086499D">
        <w:rPr>
          <w:rFonts w:ascii="Arial" w:eastAsiaTheme="minorHAnsi" w:hAnsi="Arial" w:cs="Arial"/>
          <w:b/>
          <w:bCs/>
          <w:color w:val="000000" w:themeColor="text1"/>
          <w:sz w:val="22"/>
          <w:szCs w:val="22"/>
          <w14:ligatures w14:val="standardContextual"/>
        </w:rPr>
        <w:t>b)</w:t>
      </w:r>
      <w:r w:rsidRPr="0086499D">
        <w:rPr>
          <w:rFonts w:ascii="Arial" w:eastAsiaTheme="minorHAnsi" w:hAnsi="Arial" w:cs="Arial"/>
          <w:color w:val="000000" w:themeColor="text1"/>
          <w:sz w:val="22"/>
          <w:szCs w:val="22"/>
          <w14:ligatures w14:val="standardContextual"/>
        </w:rPr>
        <w:t xml:space="preserve"> </w:t>
      </w:r>
      <w:r>
        <w:rPr>
          <w:rFonts w:ascii="Arial" w:eastAsiaTheme="minorHAnsi" w:hAnsi="Arial" w:cs="Arial"/>
          <w:color w:val="000000" w:themeColor="text1"/>
          <w:sz w:val="22"/>
          <w:szCs w:val="22"/>
          <w14:ligatures w14:val="standardContextual"/>
        </w:rPr>
        <w:t xml:space="preserve">Mean expression levels of </w:t>
      </w:r>
      <w:r w:rsidRPr="0086499D">
        <w:rPr>
          <w:rFonts w:ascii="Arial" w:eastAsiaTheme="minorHAnsi" w:hAnsi="Arial" w:cs="Arial"/>
          <w:color w:val="000000" w:themeColor="text1"/>
          <w:sz w:val="22"/>
          <w:szCs w:val="22"/>
          <w14:ligatures w14:val="standardContextual"/>
        </w:rPr>
        <w:t>GABBR and GAB</w:t>
      </w:r>
      <w:r>
        <w:rPr>
          <w:rFonts w:ascii="Arial" w:eastAsiaTheme="minorHAnsi" w:hAnsi="Arial" w:cs="Arial"/>
          <w:color w:val="000000" w:themeColor="text1"/>
          <w:sz w:val="22"/>
          <w:szCs w:val="22"/>
          <w14:ligatures w14:val="standardContextual"/>
        </w:rPr>
        <w:t>A</w:t>
      </w:r>
      <w:r w:rsidRPr="00D7397F">
        <w:rPr>
          <w:rFonts w:ascii="Arial" w:eastAsiaTheme="minorHAnsi" w:hAnsi="Arial" w:cs="Arial"/>
          <w:color w:val="000000" w:themeColor="text1"/>
          <w:sz w:val="22"/>
          <w:szCs w:val="22"/>
          <w:vertAlign w:val="subscript"/>
          <w14:ligatures w14:val="standardContextual"/>
        </w:rPr>
        <w:t>A</w:t>
      </w:r>
      <w:r>
        <w:rPr>
          <w:rFonts w:ascii="Arial" w:eastAsiaTheme="minorHAnsi" w:hAnsi="Arial" w:cs="Arial"/>
          <w:color w:val="000000" w:themeColor="text1"/>
          <w:sz w:val="22"/>
          <w:szCs w:val="22"/>
          <w14:ligatures w14:val="standardContextual"/>
        </w:rPr>
        <w:t>R</w:t>
      </w:r>
      <w:r w:rsidRPr="0086499D">
        <w:rPr>
          <w:rFonts w:ascii="Arial" w:eastAsiaTheme="minorHAnsi" w:hAnsi="Arial" w:cs="Arial"/>
          <w:color w:val="000000" w:themeColor="text1"/>
          <w:sz w:val="22"/>
          <w:szCs w:val="22"/>
          <w14:ligatures w14:val="standardContextual"/>
        </w:rPr>
        <w:t xml:space="preserve"> </w:t>
      </w:r>
      <w:r w:rsidRPr="00FC3EA3">
        <w:rPr>
          <w:rFonts w:ascii="Arial" w:hAnsi="Arial" w:cs="Arial"/>
          <w:color w:val="000000" w:themeColor="text1"/>
          <w:sz w:val="22"/>
          <w:szCs w:val="22"/>
          <w:shd w:val="clear" w:color="auto" w:fill="FFFFFF"/>
        </w:rPr>
        <w:t>in female (n=5) and male (n=8) glioma patients. *p&lt;0.05 as determined by Wilcoxon Rank-Sum test.</w:t>
      </w:r>
    </w:p>
    <w:p w14:paraId="38B401CE" w14:textId="77777777" w:rsidR="00FA095B" w:rsidRDefault="00FA095B" w:rsidP="00FA095B"/>
    <w:p w14:paraId="6CB620D6" w14:textId="77777777" w:rsidR="00FA095B" w:rsidRDefault="00FA095B" w:rsidP="00FA095B"/>
    <w:p w14:paraId="2216AC41" w14:textId="77777777" w:rsidR="00FA095B" w:rsidRDefault="00FA095B" w:rsidP="00FA095B"/>
    <w:p w14:paraId="5ADAEC7D" w14:textId="77777777" w:rsidR="00FA095B" w:rsidRDefault="00FA095B" w:rsidP="00FA095B"/>
    <w:p w14:paraId="1BAF5E11" w14:textId="77777777" w:rsidR="00FA095B" w:rsidRDefault="00FA095B" w:rsidP="00FA095B"/>
    <w:p w14:paraId="31B85FCF" w14:textId="77777777" w:rsidR="00FA095B" w:rsidRDefault="00FA095B" w:rsidP="00FA095B"/>
    <w:p w14:paraId="0940536E" w14:textId="77777777" w:rsidR="00FA095B" w:rsidRDefault="00FA095B" w:rsidP="00FA095B"/>
    <w:p w14:paraId="03CD6487" w14:textId="77777777" w:rsidR="00FA095B" w:rsidRDefault="00FA095B" w:rsidP="00FA095B"/>
    <w:p w14:paraId="7996400B" w14:textId="77777777" w:rsidR="00FA095B" w:rsidRDefault="00FA095B" w:rsidP="00FA095B"/>
    <w:p w14:paraId="1423DE42" w14:textId="77777777" w:rsidR="00FA095B" w:rsidRDefault="00FA095B" w:rsidP="00FA095B"/>
    <w:p w14:paraId="3F1251FC" w14:textId="77777777" w:rsidR="00FA095B" w:rsidRDefault="00FA095B" w:rsidP="00FA095B"/>
    <w:p w14:paraId="3CDFF961" w14:textId="77777777" w:rsidR="00FA095B" w:rsidRDefault="00FA095B" w:rsidP="00FA095B"/>
    <w:p w14:paraId="776EC6FE" w14:textId="77777777" w:rsidR="00FA095B" w:rsidRDefault="00FA095B" w:rsidP="00FA095B"/>
    <w:p w14:paraId="6FD4E66C" w14:textId="77777777" w:rsidR="00FA095B" w:rsidRDefault="00FA095B" w:rsidP="00FA095B"/>
    <w:p w14:paraId="5598A9A8" w14:textId="77777777" w:rsidR="00FA095B" w:rsidRDefault="00FA095B" w:rsidP="00FA095B"/>
    <w:p w14:paraId="5CB16593" w14:textId="77777777" w:rsidR="00FA095B" w:rsidRDefault="00FA095B" w:rsidP="00FA095B"/>
    <w:p w14:paraId="1C92A68D" w14:textId="77777777" w:rsidR="00FA095B" w:rsidRDefault="00FA095B" w:rsidP="00FA095B"/>
    <w:p w14:paraId="410C2326" w14:textId="77777777" w:rsidR="00FA095B" w:rsidRDefault="00FA095B" w:rsidP="00FA095B"/>
    <w:p w14:paraId="09AD3DED" w14:textId="77777777" w:rsidR="00FA095B" w:rsidRDefault="00FA095B" w:rsidP="00FA095B"/>
    <w:p w14:paraId="562D6DC2" w14:textId="77777777" w:rsidR="00FA095B" w:rsidRDefault="00FA095B" w:rsidP="00FA095B"/>
    <w:p w14:paraId="27D8A251" w14:textId="77777777" w:rsidR="00FA095B" w:rsidRDefault="00FA095B" w:rsidP="00FA095B"/>
    <w:p w14:paraId="3CD7B40D" w14:textId="77777777" w:rsidR="00FA095B" w:rsidRDefault="00FA095B" w:rsidP="00FA095B"/>
    <w:p w14:paraId="3A231A29" w14:textId="77777777" w:rsidR="00FA095B" w:rsidRDefault="00FA095B" w:rsidP="00FA095B"/>
    <w:p w14:paraId="6FAF5CA6" w14:textId="77777777" w:rsidR="00FA095B" w:rsidRDefault="00FA095B" w:rsidP="00FA095B"/>
    <w:p w14:paraId="358250A1" w14:textId="77777777" w:rsidR="00FA095B" w:rsidRDefault="00FA095B" w:rsidP="00FA095B"/>
    <w:p w14:paraId="635C01EF" w14:textId="77777777" w:rsidR="00FA095B" w:rsidRDefault="00FA095B" w:rsidP="00FA095B"/>
    <w:p w14:paraId="5BC318AC" w14:textId="77777777" w:rsidR="00FA095B" w:rsidRDefault="00FA095B" w:rsidP="00FA095B"/>
    <w:p w14:paraId="66965912" w14:textId="77777777" w:rsidR="00FA095B" w:rsidRDefault="00FA095B" w:rsidP="00FA095B"/>
    <w:p w14:paraId="30E3F888" w14:textId="77777777" w:rsidR="00FA095B" w:rsidRDefault="00FA095B" w:rsidP="00FA095B"/>
    <w:p w14:paraId="34C24FF3" w14:textId="77777777" w:rsidR="00FA095B" w:rsidRDefault="00FA095B" w:rsidP="00FA095B"/>
    <w:p w14:paraId="1D81EF40" w14:textId="77777777" w:rsidR="00FA095B" w:rsidRDefault="00FA095B" w:rsidP="00FA095B"/>
    <w:p w14:paraId="1CC43927" w14:textId="77777777" w:rsidR="00FA095B" w:rsidRDefault="00FA095B" w:rsidP="00FA095B"/>
    <w:p w14:paraId="2ED14AE9" w14:textId="77777777" w:rsidR="00FA095B" w:rsidRDefault="00FA095B" w:rsidP="00FA095B">
      <w:r w:rsidRPr="007E2331">
        <w:rPr>
          <w:noProof/>
        </w:rPr>
        <w:lastRenderedPageBreak/>
        <w:drawing>
          <wp:inline distT="0" distB="0" distL="0" distR="0" wp14:anchorId="3935E142" wp14:editId="630F7798">
            <wp:extent cx="5563235" cy="8229600"/>
            <wp:effectExtent l="0" t="0" r="0" b="0"/>
            <wp:docPr id="14762094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09401" name="Picture 1" descr="A screenshot of a computer&#10;&#10;Description automatically generated"/>
                    <pic:cNvPicPr/>
                  </pic:nvPicPr>
                  <pic:blipFill>
                    <a:blip r:embed="rId5"/>
                    <a:stretch>
                      <a:fillRect/>
                    </a:stretch>
                  </pic:blipFill>
                  <pic:spPr>
                    <a:xfrm>
                      <a:off x="0" y="0"/>
                      <a:ext cx="5563235" cy="8229600"/>
                    </a:xfrm>
                    <a:prstGeom prst="rect">
                      <a:avLst/>
                    </a:prstGeom>
                  </pic:spPr>
                </pic:pic>
              </a:graphicData>
            </a:graphic>
          </wp:inline>
        </w:drawing>
      </w:r>
    </w:p>
    <w:p w14:paraId="2E3399E6" w14:textId="77777777" w:rsidR="00FA095B" w:rsidRPr="0086499D" w:rsidRDefault="00FA095B" w:rsidP="00FA095B">
      <w:pPr>
        <w:autoSpaceDE w:val="0"/>
        <w:autoSpaceDN w:val="0"/>
        <w:adjustRightInd w:val="0"/>
        <w:jc w:val="both"/>
        <w:rPr>
          <w:rFonts w:ascii="Arial" w:eastAsiaTheme="minorHAnsi" w:hAnsi="Arial" w:cs="Arial"/>
          <w:color w:val="000000" w:themeColor="text1"/>
          <w:sz w:val="22"/>
          <w:szCs w:val="22"/>
          <w14:ligatures w14:val="standardContextual"/>
        </w:rPr>
      </w:pPr>
      <w:r w:rsidRPr="0086499D">
        <w:rPr>
          <w:rFonts w:ascii="Arial" w:hAnsi="Arial" w:cs="Arial"/>
          <w:b/>
          <w:bCs/>
          <w:color w:val="000000" w:themeColor="text1"/>
          <w:sz w:val="22"/>
          <w:szCs w:val="22"/>
        </w:rPr>
        <w:lastRenderedPageBreak/>
        <w:t xml:space="preserve">Extended Figure 2: GABA-mediated metabolic alteration of female gMDSCs. a) </w:t>
      </w:r>
      <w:r w:rsidRPr="0086499D">
        <w:rPr>
          <w:rFonts w:ascii="Arial" w:hAnsi="Arial" w:cs="Arial"/>
          <w:color w:val="000000" w:themeColor="text1"/>
          <w:sz w:val="22"/>
          <w:szCs w:val="22"/>
          <w:shd w:val="clear" w:color="auto" w:fill="FFFFFF"/>
        </w:rPr>
        <w:t xml:space="preserve">Heatmap demonstrating differentially regulated metabolites in male and female mMDSCs and gMDSCs upon GABA stimulation. Data was normalized to the average sum of metabolites from all the samples and analyzed using Morpheus. </w:t>
      </w:r>
      <w:r w:rsidRPr="0086499D">
        <w:rPr>
          <w:rFonts w:ascii="Arial" w:hAnsi="Arial" w:cs="Arial"/>
          <w:b/>
          <w:bCs/>
          <w:color w:val="000000" w:themeColor="text1"/>
          <w:sz w:val="22"/>
          <w:szCs w:val="22"/>
          <w:shd w:val="clear" w:color="auto" w:fill="FFFFFF"/>
        </w:rPr>
        <w:t xml:space="preserve">b) </w:t>
      </w:r>
      <w:r w:rsidRPr="0086499D">
        <w:rPr>
          <w:rFonts w:ascii="Arial" w:hAnsi="Arial" w:cs="Arial"/>
          <w:color w:val="000000" w:themeColor="text1"/>
          <w:sz w:val="22"/>
          <w:szCs w:val="22"/>
          <w:shd w:val="clear" w:color="auto" w:fill="FFFFFF"/>
        </w:rPr>
        <w:t>Relative baseline L-Arginine levels in female and male gMDSCs (n=6) and mMDSCs (n=3), *p&lt;0.01 as determined by two-way ANOVA</w:t>
      </w:r>
      <w:r w:rsidRPr="0086499D">
        <w:rPr>
          <w:rFonts w:ascii="Arial" w:eastAsiaTheme="minorHAnsi" w:hAnsi="Arial" w:cs="Arial"/>
          <w:color w:val="000000" w:themeColor="text1"/>
          <w:sz w:val="22"/>
          <w:szCs w:val="22"/>
          <w14:ligatures w14:val="standardContextual"/>
        </w:rPr>
        <w:t xml:space="preserve">. </w:t>
      </w:r>
      <w:r w:rsidRPr="0086499D">
        <w:rPr>
          <w:rFonts w:ascii="Arial" w:eastAsiaTheme="minorHAnsi" w:hAnsi="Arial" w:cs="Arial"/>
          <w:b/>
          <w:bCs/>
          <w:color w:val="000000" w:themeColor="text1"/>
          <w:sz w:val="22"/>
          <w:szCs w:val="22"/>
          <w14:ligatures w14:val="standardContextual"/>
        </w:rPr>
        <w:t>c)</w:t>
      </w:r>
      <w:r w:rsidRPr="0086499D">
        <w:rPr>
          <w:rFonts w:ascii="Arial" w:eastAsiaTheme="minorHAnsi" w:hAnsi="Arial" w:cs="Arial"/>
          <w:color w:val="000000" w:themeColor="text1"/>
          <w:sz w:val="22"/>
          <w:szCs w:val="22"/>
          <w14:ligatures w14:val="standardContextual"/>
        </w:rPr>
        <w:t xml:space="preserve"> Relative expression of the L-Arginine transporter Cat2b in male and female mMDSC and gMDSC. </w:t>
      </w:r>
      <w:r w:rsidRPr="0086499D">
        <w:rPr>
          <w:rFonts w:ascii="Arial" w:eastAsiaTheme="minorHAnsi" w:hAnsi="Arial" w:cs="Arial"/>
          <w:b/>
          <w:bCs/>
          <w:color w:val="000000" w:themeColor="text1"/>
          <w:sz w:val="22"/>
          <w:szCs w:val="22"/>
          <w14:ligatures w14:val="standardContextual"/>
        </w:rPr>
        <w:t>d</w:t>
      </w:r>
      <w:r w:rsidRPr="0086499D">
        <w:rPr>
          <w:rFonts w:ascii="Arial" w:eastAsiaTheme="minorHAnsi" w:hAnsi="Arial" w:cs="Arial"/>
          <w:color w:val="000000" w:themeColor="text1"/>
          <w:sz w:val="22"/>
          <w:szCs w:val="22"/>
          <w14:ligatures w14:val="standardContextual"/>
        </w:rPr>
        <w:t xml:space="preserve">) Change in the frequency of Cat2b expression in female (left) and male (right) MDSCs treated with 100 μM GABA. n=3, * p&lt;0.05 by unpaired t-test compared to vehicle. </w:t>
      </w:r>
      <w:r w:rsidRPr="0086499D">
        <w:rPr>
          <w:rFonts w:ascii="Arial" w:eastAsiaTheme="minorHAnsi" w:hAnsi="Arial" w:cs="Arial"/>
          <w:b/>
          <w:bCs/>
          <w:color w:val="000000" w:themeColor="text1"/>
          <w:sz w:val="22"/>
          <w:szCs w:val="22"/>
          <w14:ligatures w14:val="standardContextual"/>
        </w:rPr>
        <w:t>e)</w:t>
      </w:r>
      <w:r w:rsidRPr="0086499D">
        <w:rPr>
          <w:rFonts w:ascii="Arial" w:eastAsiaTheme="minorHAnsi" w:hAnsi="Arial" w:cs="Arial"/>
          <w:color w:val="000000" w:themeColor="text1"/>
          <w:sz w:val="22"/>
          <w:szCs w:val="22"/>
          <w14:ligatures w14:val="standardContextual"/>
        </w:rPr>
        <w:t xml:space="preserve"> Enrichment plots depicting the top 25 pathways upregulated in female gMDSCs with GABA stimulation. </w:t>
      </w:r>
      <w:r w:rsidRPr="0086499D">
        <w:rPr>
          <w:rFonts w:ascii="Arial" w:hAnsi="Arial" w:cs="Arial"/>
          <w:b/>
          <w:bCs/>
          <w:color w:val="000000" w:themeColor="text1"/>
          <w:sz w:val="22"/>
          <w:szCs w:val="22"/>
          <w:shd w:val="clear" w:color="auto" w:fill="FFFFFF"/>
        </w:rPr>
        <w:t>f)</w:t>
      </w:r>
      <w:r w:rsidRPr="0086499D">
        <w:rPr>
          <w:rFonts w:ascii="Arial" w:hAnsi="Arial" w:cs="Arial"/>
          <w:color w:val="000000" w:themeColor="text1"/>
          <w:sz w:val="22"/>
          <w:szCs w:val="22"/>
          <w:shd w:val="clear" w:color="auto" w:fill="FFFFFF"/>
        </w:rPr>
        <w:t xml:space="preserve"> Intracellular abundance of GABA in female and male gMDSCs (n=6) and mMDSCs (n=3) following GABA treatment, *p&lt;0.01 as determined by two-way ANOVA.</w:t>
      </w:r>
    </w:p>
    <w:p w14:paraId="0CA3CA73" w14:textId="77777777" w:rsidR="00FA095B" w:rsidRDefault="00FA095B" w:rsidP="00FA095B"/>
    <w:p w14:paraId="029A529B" w14:textId="77777777" w:rsidR="00FA095B" w:rsidRDefault="00FA095B" w:rsidP="00FA095B"/>
    <w:p w14:paraId="755FB9F4" w14:textId="77777777" w:rsidR="00FA095B" w:rsidRDefault="00FA095B" w:rsidP="00FA095B"/>
    <w:p w14:paraId="746DC7F1" w14:textId="77777777" w:rsidR="00FA095B" w:rsidRDefault="00FA095B" w:rsidP="00FA095B"/>
    <w:p w14:paraId="329C5486" w14:textId="77777777" w:rsidR="00FA095B" w:rsidRDefault="00FA095B" w:rsidP="00FA095B"/>
    <w:p w14:paraId="326368C7" w14:textId="77777777" w:rsidR="00FA095B" w:rsidRDefault="00FA095B" w:rsidP="00FA095B"/>
    <w:p w14:paraId="2AB77ACD" w14:textId="77777777" w:rsidR="00FA095B" w:rsidRDefault="00FA095B" w:rsidP="00FA095B"/>
    <w:p w14:paraId="5BEEE283" w14:textId="77777777" w:rsidR="00FA095B" w:rsidRDefault="00FA095B" w:rsidP="00FA095B"/>
    <w:p w14:paraId="7674A5D6" w14:textId="77777777" w:rsidR="00FA095B" w:rsidRDefault="00FA095B" w:rsidP="00FA095B"/>
    <w:p w14:paraId="740AF24F" w14:textId="77777777" w:rsidR="00FA095B" w:rsidRDefault="00FA095B" w:rsidP="00FA095B"/>
    <w:p w14:paraId="62FEAC5F" w14:textId="77777777" w:rsidR="00FA095B" w:rsidRDefault="00FA095B" w:rsidP="00FA095B"/>
    <w:p w14:paraId="5F279319" w14:textId="77777777" w:rsidR="00FA095B" w:rsidRDefault="00FA095B" w:rsidP="00FA095B"/>
    <w:p w14:paraId="0C431714" w14:textId="77777777" w:rsidR="00FA095B" w:rsidRDefault="00FA095B" w:rsidP="00FA095B"/>
    <w:p w14:paraId="04D90A73" w14:textId="77777777" w:rsidR="00FA095B" w:rsidRDefault="00FA095B" w:rsidP="00FA095B"/>
    <w:p w14:paraId="15728963" w14:textId="77777777" w:rsidR="00FA095B" w:rsidRDefault="00FA095B" w:rsidP="00FA095B"/>
    <w:p w14:paraId="660D69DD" w14:textId="77777777" w:rsidR="00FA095B" w:rsidRDefault="00FA095B" w:rsidP="00FA095B"/>
    <w:p w14:paraId="2BA32764" w14:textId="77777777" w:rsidR="00FA095B" w:rsidRDefault="00FA095B" w:rsidP="00FA095B"/>
    <w:p w14:paraId="2D2AF495" w14:textId="77777777" w:rsidR="00FA095B" w:rsidRDefault="00FA095B" w:rsidP="00FA095B"/>
    <w:p w14:paraId="63F5B605" w14:textId="77777777" w:rsidR="00FA095B" w:rsidRDefault="00FA095B" w:rsidP="00FA095B"/>
    <w:p w14:paraId="6454B901" w14:textId="77777777" w:rsidR="00FA095B" w:rsidRDefault="00FA095B" w:rsidP="00FA095B"/>
    <w:p w14:paraId="214A3761" w14:textId="77777777" w:rsidR="00FA095B" w:rsidRDefault="00FA095B" w:rsidP="00FA095B"/>
    <w:p w14:paraId="373B39D0" w14:textId="77777777" w:rsidR="00FA095B" w:rsidRDefault="00FA095B" w:rsidP="00FA095B"/>
    <w:p w14:paraId="7625B587" w14:textId="77777777" w:rsidR="00FA095B" w:rsidRDefault="00FA095B" w:rsidP="00FA095B"/>
    <w:p w14:paraId="1FB1FB80" w14:textId="77777777" w:rsidR="00FA095B" w:rsidRDefault="00FA095B" w:rsidP="00FA095B">
      <w:r w:rsidRPr="007E2331">
        <w:rPr>
          <w:noProof/>
        </w:rPr>
        <w:lastRenderedPageBreak/>
        <w:drawing>
          <wp:inline distT="0" distB="0" distL="0" distR="0" wp14:anchorId="636BDB28" wp14:editId="3BC37EAC">
            <wp:extent cx="5943600" cy="3267075"/>
            <wp:effectExtent l="0" t="0" r="0" b="0"/>
            <wp:docPr id="81679395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93952" name="Picture 1" descr="A screenshot of a computer screen&#10;&#10;Description automatically generated"/>
                    <pic:cNvPicPr/>
                  </pic:nvPicPr>
                  <pic:blipFill>
                    <a:blip r:embed="rId6"/>
                    <a:stretch>
                      <a:fillRect/>
                    </a:stretch>
                  </pic:blipFill>
                  <pic:spPr>
                    <a:xfrm>
                      <a:off x="0" y="0"/>
                      <a:ext cx="5943600" cy="3267075"/>
                    </a:xfrm>
                    <a:prstGeom prst="rect">
                      <a:avLst/>
                    </a:prstGeom>
                  </pic:spPr>
                </pic:pic>
              </a:graphicData>
            </a:graphic>
          </wp:inline>
        </w:drawing>
      </w:r>
    </w:p>
    <w:p w14:paraId="0A0A0FEE" w14:textId="77777777" w:rsidR="00FA095B" w:rsidRDefault="00FA095B" w:rsidP="00FA095B"/>
    <w:p w14:paraId="3F11DA4E" w14:textId="77777777" w:rsidR="00FA095B" w:rsidRPr="0086499D" w:rsidRDefault="00FA095B" w:rsidP="00FA095B">
      <w:pPr>
        <w:jc w:val="both"/>
        <w:rPr>
          <w:rFonts w:ascii="Arial" w:hAnsi="Arial" w:cs="Arial"/>
          <w:b/>
          <w:bCs/>
          <w:color w:val="000000" w:themeColor="text1"/>
          <w:sz w:val="22"/>
          <w:szCs w:val="22"/>
        </w:rPr>
      </w:pPr>
      <w:r w:rsidRPr="0086499D">
        <w:rPr>
          <w:rFonts w:ascii="Arial" w:hAnsi="Arial" w:cs="Arial"/>
          <w:b/>
          <w:bCs/>
          <w:color w:val="000000" w:themeColor="text1"/>
          <w:sz w:val="22"/>
          <w:szCs w:val="22"/>
        </w:rPr>
        <w:t xml:space="preserve">Extended Figure 3: GABA analogs truncates survival in immunocompetent females. a) </w:t>
      </w:r>
      <w:r w:rsidRPr="0086499D">
        <w:rPr>
          <w:rFonts w:ascii="Arial" w:hAnsi="Arial" w:cs="Arial"/>
          <w:color w:val="000000" w:themeColor="text1"/>
          <w:sz w:val="22"/>
          <w:szCs w:val="22"/>
        </w:rPr>
        <w:t xml:space="preserve">Bone marrow-derived cells were stimulated with 50ng/ml M-CSF and polarized into macrophages over a period of 6 days. Macrophages were stimulated overnight with 100 µM GABA or baclofen. Mean fluorescence intensity (MFI) of the pro-inflammatory macrophage markers IA/IE, CD80, and CD86 and the immunosuppressive markers CD163, CD204. Data shown as mean </w:t>
      </w:r>
      <w:r w:rsidRPr="0086499D">
        <w:rPr>
          <w:rFonts w:ascii="Arial" w:hAnsi="Arial" w:cs="Arial"/>
          <w:color w:val="000000" w:themeColor="text1"/>
          <w:sz w:val="22"/>
          <w:szCs w:val="22"/>
          <w:u w:val="single"/>
        </w:rPr>
        <w:t>+</w:t>
      </w:r>
      <w:r w:rsidRPr="0086499D">
        <w:rPr>
          <w:rFonts w:ascii="Arial" w:hAnsi="Arial" w:cs="Arial"/>
          <w:color w:val="000000" w:themeColor="text1"/>
          <w:sz w:val="22"/>
          <w:szCs w:val="22"/>
        </w:rPr>
        <w:t xml:space="preserve"> SEM from n=3. </w:t>
      </w:r>
      <w:r w:rsidRPr="0086499D">
        <w:rPr>
          <w:rFonts w:ascii="Arial" w:hAnsi="Arial" w:cs="Arial"/>
          <w:b/>
          <w:bCs/>
          <w:color w:val="000000" w:themeColor="text1"/>
          <w:sz w:val="22"/>
          <w:szCs w:val="22"/>
        </w:rPr>
        <w:t>b)</w:t>
      </w:r>
      <w:r w:rsidRPr="0086499D">
        <w:rPr>
          <w:rFonts w:ascii="Arial" w:hAnsi="Arial" w:cs="Arial"/>
          <w:color w:val="000000" w:themeColor="text1"/>
          <w:sz w:val="22"/>
          <w:szCs w:val="22"/>
        </w:rPr>
        <w:t xml:space="preserve"> Proliferation rates of the mouse GBM cells SB28 and KR158 (left) and the patient-derived xenograft (PDX) lines L1 and DI318 (right), were analyzed after daily stimulation with 100 µM GABA or Baclofen. Data shown as mean </w:t>
      </w:r>
      <w:r w:rsidRPr="0086499D">
        <w:rPr>
          <w:rFonts w:ascii="Arial" w:hAnsi="Arial" w:cs="Arial"/>
          <w:color w:val="000000" w:themeColor="text1"/>
          <w:sz w:val="22"/>
          <w:szCs w:val="22"/>
          <w:u w:val="single"/>
        </w:rPr>
        <w:t>+</w:t>
      </w:r>
      <w:r w:rsidRPr="0086499D">
        <w:rPr>
          <w:rFonts w:ascii="Arial" w:hAnsi="Arial" w:cs="Arial"/>
          <w:color w:val="000000" w:themeColor="text1"/>
          <w:sz w:val="22"/>
          <w:szCs w:val="22"/>
        </w:rPr>
        <w:t xml:space="preserve"> SEM. </w:t>
      </w:r>
      <w:r w:rsidRPr="0086499D">
        <w:rPr>
          <w:rFonts w:ascii="Arial" w:hAnsi="Arial" w:cs="Arial"/>
          <w:b/>
          <w:bCs/>
          <w:color w:val="000000" w:themeColor="text1"/>
          <w:sz w:val="22"/>
          <w:szCs w:val="22"/>
        </w:rPr>
        <w:t>c)</w:t>
      </w:r>
      <w:r w:rsidRPr="0086499D">
        <w:rPr>
          <w:rFonts w:ascii="Arial" w:hAnsi="Arial" w:cs="Arial"/>
          <w:color w:val="000000" w:themeColor="text1"/>
          <w:sz w:val="22"/>
          <w:szCs w:val="22"/>
        </w:rPr>
        <w:t xml:space="preserve"> Female and male C57BL/6 mice were intracranially implanted with 30,000 (females) and 20,000 (males) SB28 cells, or </w:t>
      </w:r>
      <w:r w:rsidRPr="0086499D">
        <w:rPr>
          <w:rFonts w:ascii="Arial" w:hAnsi="Arial" w:cs="Arial"/>
          <w:b/>
          <w:bCs/>
          <w:color w:val="000000" w:themeColor="text1"/>
          <w:sz w:val="22"/>
          <w:szCs w:val="22"/>
        </w:rPr>
        <w:t>d)</w:t>
      </w:r>
      <w:r w:rsidRPr="0086499D">
        <w:rPr>
          <w:rFonts w:ascii="Arial" w:hAnsi="Arial" w:cs="Arial"/>
          <w:color w:val="000000" w:themeColor="text1"/>
          <w:sz w:val="22"/>
          <w:szCs w:val="22"/>
        </w:rPr>
        <w:t xml:space="preserve"> 50,000 KR158 cells. NSG mice were implanted with </w:t>
      </w:r>
      <w:r w:rsidRPr="0086499D">
        <w:rPr>
          <w:rFonts w:ascii="Arial" w:hAnsi="Arial" w:cs="Arial"/>
          <w:b/>
          <w:bCs/>
          <w:color w:val="000000" w:themeColor="text1"/>
          <w:sz w:val="22"/>
          <w:szCs w:val="22"/>
        </w:rPr>
        <w:t>e)</w:t>
      </w:r>
      <w:r w:rsidRPr="0086499D">
        <w:rPr>
          <w:rFonts w:ascii="Arial" w:hAnsi="Arial" w:cs="Arial"/>
          <w:color w:val="000000" w:themeColor="text1"/>
          <w:sz w:val="22"/>
          <w:szCs w:val="22"/>
        </w:rPr>
        <w:t xml:space="preserve"> 10,000 SB28 or </w:t>
      </w:r>
      <w:r w:rsidRPr="0086499D">
        <w:rPr>
          <w:rFonts w:ascii="Arial" w:hAnsi="Arial" w:cs="Arial"/>
          <w:b/>
          <w:bCs/>
          <w:color w:val="000000" w:themeColor="text1"/>
          <w:sz w:val="22"/>
          <w:szCs w:val="22"/>
        </w:rPr>
        <w:t>f)</w:t>
      </w:r>
      <w:r w:rsidRPr="0086499D">
        <w:rPr>
          <w:rFonts w:ascii="Arial" w:hAnsi="Arial" w:cs="Arial"/>
          <w:color w:val="000000" w:themeColor="text1"/>
          <w:sz w:val="22"/>
          <w:szCs w:val="22"/>
        </w:rPr>
        <w:t xml:space="preserve"> KR158 cells. Seven days post-tumor implantation, the mice were intraperitoneally injected with 25 mg/kg pregabalin daily, following a 5-days-on, 2-days-off schedule. Kaplan-Meier curves depicting the median survival of female (left) and male (right) mice. For each group Data were combined from 2-3 independent experiments. * p&lt;0.05 based on the log-rank test. </w:t>
      </w:r>
    </w:p>
    <w:p w14:paraId="2AF0A8B2" w14:textId="77777777" w:rsidR="00FA095B" w:rsidRDefault="00FA095B" w:rsidP="00FA095B"/>
    <w:p w14:paraId="6D847DA4" w14:textId="77777777" w:rsidR="00FA095B" w:rsidRDefault="00FA095B" w:rsidP="00FA095B"/>
    <w:p w14:paraId="0ED4F9A3" w14:textId="77777777" w:rsidR="00FA095B" w:rsidRDefault="00FA095B" w:rsidP="00FA095B"/>
    <w:p w14:paraId="1B799BD6" w14:textId="77777777" w:rsidR="00FA095B" w:rsidRDefault="00FA095B" w:rsidP="00FA095B"/>
    <w:p w14:paraId="235C2E5F" w14:textId="77777777" w:rsidR="00FA095B" w:rsidRDefault="00FA095B" w:rsidP="00FA095B"/>
    <w:p w14:paraId="226BACE2" w14:textId="77777777" w:rsidR="00FA095B" w:rsidRDefault="00FA095B" w:rsidP="00FA095B"/>
    <w:p w14:paraId="17D420B0" w14:textId="77777777" w:rsidR="00FA095B" w:rsidRDefault="00FA095B" w:rsidP="00FA095B"/>
    <w:p w14:paraId="3FF6B776" w14:textId="77777777" w:rsidR="00FA095B" w:rsidRDefault="00FA095B" w:rsidP="00FA095B"/>
    <w:p w14:paraId="76E8F431" w14:textId="77777777" w:rsidR="00FA095B" w:rsidRDefault="00FA095B" w:rsidP="00FA095B"/>
    <w:p w14:paraId="61ED0332" w14:textId="77777777" w:rsidR="00FA095B" w:rsidRDefault="00FA095B" w:rsidP="00FA095B"/>
    <w:p w14:paraId="5CA077B1" w14:textId="77777777" w:rsidR="00FA095B" w:rsidRDefault="00FA095B" w:rsidP="00FA095B"/>
    <w:p w14:paraId="131CBC09" w14:textId="77777777" w:rsidR="00FA095B" w:rsidRDefault="00FA095B" w:rsidP="00FA095B"/>
    <w:p w14:paraId="50666CFA" w14:textId="77777777" w:rsidR="00FA095B" w:rsidRDefault="00FA095B" w:rsidP="00FA095B"/>
    <w:p w14:paraId="046F8625" w14:textId="77777777" w:rsidR="00FA095B" w:rsidRDefault="00FA095B" w:rsidP="00FA095B">
      <w:r w:rsidRPr="007E2331">
        <w:rPr>
          <w:noProof/>
        </w:rPr>
        <w:lastRenderedPageBreak/>
        <w:drawing>
          <wp:inline distT="0" distB="0" distL="0" distR="0" wp14:anchorId="55DF70F6" wp14:editId="77FD7D75">
            <wp:extent cx="5943600" cy="3799840"/>
            <wp:effectExtent l="0" t="0" r="0" b="0"/>
            <wp:docPr id="38446790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67908" name="Picture 1" descr="A screenshot of a computer screen&#10;&#10;Description automatically generated"/>
                    <pic:cNvPicPr/>
                  </pic:nvPicPr>
                  <pic:blipFill>
                    <a:blip r:embed="rId7"/>
                    <a:stretch>
                      <a:fillRect/>
                    </a:stretch>
                  </pic:blipFill>
                  <pic:spPr>
                    <a:xfrm>
                      <a:off x="0" y="0"/>
                      <a:ext cx="5943600" cy="3799840"/>
                    </a:xfrm>
                    <a:prstGeom prst="rect">
                      <a:avLst/>
                    </a:prstGeom>
                  </pic:spPr>
                </pic:pic>
              </a:graphicData>
            </a:graphic>
          </wp:inline>
        </w:drawing>
      </w:r>
    </w:p>
    <w:p w14:paraId="4579EC51" w14:textId="77777777" w:rsidR="00FA095B" w:rsidRDefault="00FA095B" w:rsidP="00FA095B"/>
    <w:p w14:paraId="716BC613" w14:textId="77777777" w:rsidR="00FA095B" w:rsidRPr="0086499D" w:rsidRDefault="00FA095B" w:rsidP="00FA095B">
      <w:pPr>
        <w:jc w:val="both"/>
        <w:rPr>
          <w:rFonts w:ascii="Arial" w:hAnsi="Arial" w:cs="Arial"/>
          <w:color w:val="000000" w:themeColor="text1"/>
          <w:sz w:val="22"/>
          <w:szCs w:val="22"/>
        </w:rPr>
      </w:pPr>
      <w:r w:rsidRPr="0086499D">
        <w:rPr>
          <w:rFonts w:ascii="Arial" w:hAnsi="Arial" w:cs="Arial"/>
          <w:b/>
          <w:bCs/>
          <w:color w:val="000000" w:themeColor="text1"/>
          <w:sz w:val="22"/>
          <w:szCs w:val="22"/>
        </w:rPr>
        <w:t>Extended Figure 4:</w:t>
      </w:r>
      <w:r w:rsidRPr="0086499D">
        <w:rPr>
          <w:rFonts w:ascii="Arial" w:hAnsi="Arial" w:cs="Arial"/>
          <w:color w:val="000000" w:themeColor="text1"/>
          <w:sz w:val="22"/>
          <w:szCs w:val="22"/>
        </w:rPr>
        <w:t xml:space="preserve"> </w:t>
      </w:r>
      <w:r w:rsidRPr="0086499D">
        <w:rPr>
          <w:rFonts w:ascii="Arial" w:hAnsi="Arial" w:cs="Arial"/>
          <w:b/>
          <w:bCs/>
          <w:color w:val="000000" w:themeColor="text1"/>
          <w:sz w:val="22"/>
          <w:szCs w:val="22"/>
        </w:rPr>
        <w:t>Effect of GABBR modulation on tumor-infiltrating immune populations.</w:t>
      </w:r>
      <w:r w:rsidRPr="0086499D">
        <w:rPr>
          <w:rFonts w:ascii="Arial" w:hAnsi="Arial" w:cs="Arial"/>
          <w:color w:val="000000" w:themeColor="text1"/>
          <w:sz w:val="22"/>
          <w:szCs w:val="22"/>
        </w:rPr>
        <w:t xml:space="preserve"> Tumor-infiltrating immune populations from SB28-bearing male and female mice following CGP 35348 treatment. Percentage of </w:t>
      </w:r>
      <w:r w:rsidRPr="0086499D">
        <w:rPr>
          <w:rFonts w:ascii="Arial" w:hAnsi="Arial" w:cs="Arial"/>
          <w:b/>
          <w:bCs/>
          <w:color w:val="000000" w:themeColor="text1"/>
          <w:sz w:val="22"/>
          <w:szCs w:val="22"/>
        </w:rPr>
        <w:t>a)</w:t>
      </w:r>
      <w:r w:rsidRPr="0086499D">
        <w:rPr>
          <w:rFonts w:ascii="Arial" w:hAnsi="Arial" w:cs="Arial"/>
          <w:color w:val="000000" w:themeColor="text1"/>
          <w:sz w:val="22"/>
          <w:szCs w:val="22"/>
        </w:rPr>
        <w:t xml:space="preserve"> gMDSCs (left) and mMDSCs (right). </w:t>
      </w:r>
      <w:r w:rsidRPr="0086499D">
        <w:rPr>
          <w:rFonts w:ascii="Arial" w:hAnsi="Arial" w:cs="Arial"/>
          <w:b/>
          <w:bCs/>
          <w:color w:val="000000" w:themeColor="text1"/>
          <w:sz w:val="22"/>
          <w:szCs w:val="22"/>
        </w:rPr>
        <w:t>b</w:t>
      </w:r>
      <w:r w:rsidRPr="0086499D">
        <w:rPr>
          <w:rFonts w:ascii="Arial" w:hAnsi="Arial" w:cs="Arial"/>
          <w:color w:val="000000" w:themeColor="text1"/>
          <w:sz w:val="22"/>
          <w:szCs w:val="22"/>
        </w:rPr>
        <w:t xml:space="preserve">) Percentage of macrophages and MFI of IA/IE (left) and CD204 (right) of macrophages. </w:t>
      </w:r>
      <w:r w:rsidRPr="0086499D">
        <w:rPr>
          <w:rFonts w:ascii="Arial" w:hAnsi="Arial" w:cs="Arial"/>
          <w:b/>
          <w:bCs/>
          <w:color w:val="000000" w:themeColor="text1"/>
          <w:sz w:val="22"/>
          <w:szCs w:val="22"/>
        </w:rPr>
        <w:t>c)</w:t>
      </w:r>
      <w:r w:rsidRPr="0086499D">
        <w:rPr>
          <w:rFonts w:ascii="Arial" w:hAnsi="Arial" w:cs="Arial"/>
          <w:color w:val="000000" w:themeColor="text1"/>
          <w:sz w:val="22"/>
          <w:szCs w:val="22"/>
        </w:rPr>
        <w:t xml:space="preserve"> Percentage of monocytes (left) and dendritic cells (right) </w:t>
      </w:r>
      <w:r w:rsidRPr="0086499D">
        <w:rPr>
          <w:rFonts w:ascii="Arial" w:hAnsi="Arial" w:cs="Arial"/>
          <w:b/>
          <w:bCs/>
          <w:color w:val="000000" w:themeColor="text1"/>
          <w:sz w:val="22"/>
          <w:szCs w:val="22"/>
        </w:rPr>
        <w:t>d</w:t>
      </w:r>
      <w:r w:rsidRPr="0086499D">
        <w:rPr>
          <w:rFonts w:ascii="Arial" w:hAnsi="Arial" w:cs="Arial"/>
          <w:color w:val="000000" w:themeColor="text1"/>
          <w:sz w:val="22"/>
          <w:szCs w:val="22"/>
        </w:rPr>
        <w:t xml:space="preserve">) B cells, NK cells, CD3+ T cells, CD4+ T cells, and CD8+ T cells (n= 13-15). Data shown from individual animals from </w:t>
      </w:r>
      <w:r>
        <w:rPr>
          <w:rFonts w:ascii="Arial" w:hAnsi="Arial" w:cs="Arial"/>
          <w:color w:val="000000" w:themeColor="text1"/>
          <w:sz w:val="22"/>
          <w:szCs w:val="22"/>
        </w:rPr>
        <w:t>three</w:t>
      </w:r>
      <w:r w:rsidRPr="0086499D">
        <w:rPr>
          <w:rFonts w:ascii="Arial" w:hAnsi="Arial" w:cs="Arial"/>
          <w:color w:val="000000" w:themeColor="text1"/>
          <w:sz w:val="22"/>
          <w:szCs w:val="22"/>
        </w:rPr>
        <w:t xml:space="preserve"> independent experiments.</w:t>
      </w:r>
    </w:p>
    <w:p w14:paraId="4E9AC142" w14:textId="77777777" w:rsidR="00FA095B" w:rsidRDefault="00FA095B" w:rsidP="00FA095B"/>
    <w:p w14:paraId="21F4F2A5" w14:textId="77777777" w:rsidR="00FA095B" w:rsidRDefault="00FA095B" w:rsidP="00FA095B"/>
    <w:p w14:paraId="4D0D6C79" w14:textId="77777777" w:rsidR="00FA095B" w:rsidRDefault="00FA095B" w:rsidP="00FA095B"/>
    <w:p w14:paraId="17073135" w14:textId="77777777" w:rsidR="00FA095B" w:rsidRDefault="00FA095B" w:rsidP="00FA095B"/>
    <w:p w14:paraId="09F76A2A" w14:textId="77777777" w:rsidR="00FA095B" w:rsidRDefault="00FA095B" w:rsidP="00FA095B"/>
    <w:p w14:paraId="73B091AA" w14:textId="77777777" w:rsidR="00FA095B" w:rsidRDefault="00FA095B" w:rsidP="00FA095B"/>
    <w:p w14:paraId="57D120BD" w14:textId="77777777" w:rsidR="00FA095B" w:rsidRDefault="00FA095B" w:rsidP="00FA095B"/>
    <w:p w14:paraId="0CE1E7C7" w14:textId="77777777" w:rsidR="00FA095B" w:rsidRDefault="00FA095B" w:rsidP="00FA095B"/>
    <w:p w14:paraId="51856D19" w14:textId="77777777" w:rsidR="00FA095B" w:rsidRDefault="00FA095B" w:rsidP="00FA095B"/>
    <w:p w14:paraId="06B72D94" w14:textId="77777777" w:rsidR="00FA095B" w:rsidRDefault="00FA095B" w:rsidP="00FA095B"/>
    <w:p w14:paraId="3C5C43E8" w14:textId="77777777" w:rsidR="00FA095B" w:rsidRDefault="00FA095B" w:rsidP="00FA095B"/>
    <w:p w14:paraId="3AA5FD83" w14:textId="77777777" w:rsidR="00FA095B" w:rsidRDefault="00FA095B" w:rsidP="00FA095B"/>
    <w:p w14:paraId="0CFB6974" w14:textId="77777777" w:rsidR="00FA095B" w:rsidRDefault="00FA095B" w:rsidP="00FA095B"/>
    <w:p w14:paraId="240938F8" w14:textId="77777777" w:rsidR="00FA095B" w:rsidRDefault="00FA095B" w:rsidP="00FA095B"/>
    <w:p w14:paraId="10DB53EB" w14:textId="77777777" w:rsidR="00FA095B" w:rsidRDefault="00FA095B" w:rsidP="00FA095B"/>
    <w:p w14:paraId="492F1F55" w14:textId="77777777" w:rsidR="00FA095B" w:rsidRDefault="00FA095B" w:rsidP="00FA095B"/>
    <w:p w14:paraId="2FD1EC3A" w14:textId="77777777" w:rsidR="00FA095B" w:rsidRDefault="00FA095B" w:rsidP="00FA095B">
      <w:r w:rsidRPr="007E2331">
        <w:rPr>
          <w:noProof/>
        </w:rPr>
        <w:lastRenderedPageBreak/>
        <w:drawing>
          <wp:inline distT="0" distB="0" distL="0" distR="0" wp14:anchorId="52C2E784" wp14:editId="1A389017">
            <wp:extent cx="5943600" cy="7148830"/>
            <wp:effectExtent l="0" t="0" r="0" b="0"/>
            <wp:docPr id="172596902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69027" name="Picture 1" descr="A screenshot of a computer screen&#10;&#10;Description automatically generated"/>
                    <pic:cNvPicPr/>
                  </pic:nvPicPr>
                  <pic:blipFill>
                    <a:blip r:embed="rId8"/>
                    <a:stretch>
                      <a:fillRect/>
                    </a:stretch>
                  </pic:blipFill>
                  <pic:spPr>
                    <a:xfrm>
                      <a:off x="0" y="0"/>
                      <a:ext cx="5943600" cy="7148830"/>
                    </a:xfrm>
                    <a:prstGeom prst="rect">
                      <a:avLst/>
                    </a:prstGeom>
                  </pic:spPr>
                </pic:pic>
              </a:graphicData>
            </a:graphic>
          </wp:inline>
        </w:drawing>
      </w:r>
    </w:p>
    <w:p w14:paraId="23603993" w14:textId="77777777" w:rsidR="00FA095B" w:rsidRDefault="00FA095B" w:rsidP="00FA095B"/>
    <w:p w14:paraId="3D8D8156" w14:textId="77777777" w:rsidR="00FA095B" w:rsidRDefault="00FA095B" w:rsidP="00FA095B">
      <w:pPr>
        <w:jc w:val="both"/>
        <w:rPr>
          <w:rFonts w:ascii="Arial" w:hAnsi="Arial" w:cs="Arial"/>
          <w:color w:val="000000" w:themeColor="text1"/>
          <w:sz w:val="22"/>
          <w:szCs w:val="22"/>
        </w:rPr>
      </w:pPr>
      <w:r w:rsidRPr="0086499D">
        <w:rPr>
          <w:rFonts w:ascii="Arial" w:hAnsi="Arial" w:cs="Arial"/>
          <w:b/>
          <w:bCs/>
          <w:color w:val="000000" w:themeColor="text1"/>
          <w:sz w:val="22"/>
          <w:szCs w:val="22"/>
        </w:rPr>
        <w:t xml:space="preserve">Extended Figure 5: GABBR inhibition does not alter peripheral immune responses. </w:t>
      </w:r>
      <w:r w:rsidRPr="0086499D">
        <w:rPr>
          <w:rFonts w:ascii="Arial" w:hAnsi="Arial" w:cs="Arial"/>
          <w:color w:val="000000" w:themeColor="text1"/>
          <w:sz w:val="22"/>
          <w:szCs w:val="22"/>
        </w:rPr>
        <w:t xml:space="preserve">Peripheral immune populations from SB28-bearing male and female mice following CGP 35348 treatment. Graphs showing percentage of NOS2+ gMDSCs (left) and NOS2+ mMDSCs (right) from </w:t>
      </w:r>
      <w:r w:rsidRPr="0086499D">
        <w:rPr>
          <w:rFonts w:ascii="Arial" w:hAnsi="Arial" w:cs="Arial"/>
          <w:b/>
          <w:bCs/>
          <w:color w:val="000000" w:themeColor="text1"/>
          <w:sz w:val="22"/>
          <w:szCs w:val="22"/>
        </w:rPr>
        <w:t>a)</w:t>
      </w:r>
      <w:r w:rsidRPr="0086499D">
        <w:rPr>
          <w:rFonts w:ascii="Arial" w:hAnsi="Arial" w:cs="Arial"/>
          <w:color w:val="000000" w:themeColor="text1"/>
          <w:sz w:val="22"/>
          <w:szCs w:val="22"/>
        </w:rPr>
        <w:t xml:space="preserve"> blood</w:t>
      </w:r>
      <w:r w:rsidRPr="0086499D">
        <w:rPr>
          <w:rFonts w:ascii="Arial" w:hAnsi="Arial" w:cs="Arial"/>
          <w:color w:val="000000" w:themeColor="text1"/>
          <w:sz w:val="22"/>
          <w:szCs w:val="22"/>
          <w:shd w:val="clear" w:color="auto" w:fill="FFFFFF"/>
        </w:rPr>
        <w:t xml:space="preserve"> </w:t>
      </w:r>
      <w:r w:rsidRPr="0086499D">
        <w:rPr>
          <w:rFonts w:ascii="Arial" w:hAnsi="Arial" w:cs="Arial"/>
          <w:color w:val="000000" w:themeColor="text1"/>
          <w:sz w:val="22"/>
          <w:szCs w:val="22"/>
        </w:rPr>
        <w:t xml:space="preserve">and </w:t>
      </w:r>
      <w:r w:rsidRPr="0086499D">
        <w:rPr>
          <w:rFonts w:ascii="Arial" w:hAnsi="Arial" w:cs="Arial"/>
          <w:b/>
          <w:bCs/>
          <w:color w:val="000000" w:themeColor="text1"/>
          <w:sz w:val="22"/>
          <w:szCs w:val="22"/>
        </w:rPr>
        <w:t>b)</w:t>
      </w:r>
      <w:r w:rsidRPr="0086499D">
        <w:rPr>
          <w:rFonts w:ascii="Arial" w:hAnsi="Arial" w:cs="Arial"/>
          <w:color w:val="000000" w:themeColor="text1"/>
          <w:sz w:val="22"/>
          <w:szCs w:val="22"/>
        </w:rPr>
        <w:t xml:space="preserve"> spleen. </w:t>
      </w:r>
      <w:r w:rsidRPr="0086499D">
        <w:rPr>
          <w:rFonts w:ascii="Arial" w:hAnsi="Arial" w:cs="Arial"/>
          <w:b/>
          <w:bCs/>
          <w:color w:val="000000" w:themeColor="text1"/>
          <w:sz w:val="22"/>
          <w:szCs w:val="22"/>
        </w:rPr>
        <w:t>c)</w:t>
      </w:r>
      <w:r w:rsidRPr="0086499D">
        <w:rPr>
          <w:rFonts w:ascii="Arial" w:hAnsi="Arial" w:cs="Arial"/>
          <w:color w:val="000000" w:themeColor="text1"/>
          <w:sz w:val="22"/>
          <w:szCs w:val="22"/>
        </w:rPr>
        <w:t xml:space="preserve"> Graphs showing the percentage of gMDSCs, mMDSCs, macrophages, monocytes, dendritic cells (left to right, top panel) and B cells, NK, CD3, CD4+, </w:t>
      </w:r>
      <w:r w:rsidRPr="0086499D">
        <w:rPr>
          <w:rFonts w:ascii="Arial" w:hAnsi="Arial" w:cs="Arial"/>
          <w:color w:val="000000" w:themeColor="text1"/>
          <w:sz w:val="22"/>
          <w:szCs w:val="22"/>
        </w:rPr>
        <w:lastRenderedPageBreak/>
        <w:t xml:space="preserve">and CD8+ (left to right, bottom panel) from blood. </w:t>
      </w:r>
      <w:r w:rsidRPr="0086499D">
        <w:rPr>
          <w:rFonts w:ascii="Arial" w:hAnsi="Arial" w:cs="Arial"/>
          <w:b/>
          <w:bCs/>
          <w:color w:val="000000" w:themeColor="text1"/>
          <w:sz w:val="22"/>
          <w:szCs w:val="22"/>
        </w:rPr>
        <w:t>d)</w:t>
      </w:r>
      <w:r w:rsidRPr="0086499D">
        <w:rPr>
          <w:rFonts w:ascii="Arial" w:hAnsi="Arial" w:cs="Arial"/>
          <w:color w:val="000000" w:themeColor="text1"/>
          <w:sz w:val="22"/>
          <w:szCs w:val="22"/>
        </w:rPr>
        <w:t xml:space="preserve"> Graphs showing the percentage of gMDSCs, mMDSCs, macrophages, monocytes, dendritic cells (left to right, top panel) and B cells, NK, CD3, CD4+, and CD8+ (left to right, bottom panel) from spleen. Data shown from individual animals (n= 13-15) from </w:t>
      </w:r>
      <w:r>
        <w:rPr>
          <w:rFonts w:ascii="Arial" w:hAnsi="Arial" w:cs="Arial"/>
          <w:color w:val="000000" w:themeColor="text1"/>
          <w:sz w:val="22"/>
          <w:szCs w:val="22"/>
        </w:rPr>
        <w:t>three</w:t>
      </w:r>
      <w:r w:rsidRPr="0086499D">
        <w:rPr>
          <w:rFonts w:ascii="Arial" w:hAnsi="Arial" w:cs="Arial"/>
          <w:color w:val="000000" w:themeColor="text1"/>
          <w:sz w:val="22"/>
          <w:szCs w:val="22"/>
        </w:rPr>
        <w:t xml:space="preserve"> independent experiments.</w:t>
      </w:r>
    </w:p>
    <w:p w14:paraId="78A79E46" w14:textId="77777777" w:rsidR="00FA095B" w:rsidRDefault="00FA095B" w:rsidP="00FA095B">
      <w:pPr>
        <w:jc w:val="both"/>
        <w:rPr>
          <w:rFonts w:ascii="Arial" w:hAnsi="Arial" w:cs="Arial"/>
          <w:color w:val="000000" w:themeColor="text1"/>
          <w:sz w:val="22"/>
          <w:szCs w:val="22"/>
        </w:rPr>
      </w:pPr>
    </w:p>
    <w:p w14:paraId="516FE20F" w14:textId="77777777" w:rsidR="00FA095B" w:rsidRDefault="00FA095B" w:rsidP="00FA095B">
      <w:pPr>
        <w:jc w:val="both"/>
        <w:rPr>
          <w:rFonts w:ascii="Arial" w:hAnsi="Arial" w:cs="Arial"/>
          <w:color w:val="000000" w:themeColor="text1"/>
          <w:sz w:val="22"/>
          <w:szCs w:val="22"/>
        </w:rPr>
      </w:pPr>
    </w:p>
    <w:p w14:paraId="4C403264" w14:textId="77777777" w:rsidR="00FA095B" w:rsidRDefault="00FA095B" w:rsidP="00FA095B"/>
    <w:p w14:paraId="55D9F11B" w14:textId="77777777" w:rsidR="00FA095B" w:rsidRDefault="00FA095B" w:rsidP="00FA095B"/>
    <w:p w14:paraId="25037D4A" w14:textId="77777777" w:rsidR="00FA095B" w:rsidRDefault="00FA095B" w:rsidP="00FA095B"/>
    <w:p w14:paraId="11EA499E" w14:textId="77777777" w:rsidR="00FA095B" w:rsidRDefault="00FA095B" w:rsidP="00FA095B"/>
    <w:p w14:paraId="6416DBAF" w14:textId="77777777" w:rsidR="00FA095B" w:rsidRDefault="00FA095B" w:rsidP="00FA095B"/>
    <w:p w14:paraId="5BF6A5A2" w14:textId="77777777" w:rsidR="00FA095B" w:rsidRDefault="00FA095B" w:rsidP="00FA095B"/>
    <w:p w14:paraId="203D289F" w14:textId="77777777" w:rsidR="00FA095B" w:rsidRDefault="00FA095B" w:rsidP="00FA095B"/>
    <w:p w14:paraId="654C1D66" w14:textId="77777777" w:rsidR="00FA095B" w:rsidRDefault="00FA095B" w:rsidP="00FA095B"/>
    <w:p w14:paraId="3410B064" w14:textId="77777777" w:rsidR="00FA095B" w:rsidRDefault="00FA095B" w:rsidP="00FA095B"/>
    <w:p w14:paraId="7F4BBA1A" w14:textId="77777777" w:rsidR="00FA095B" w:rsidRDefault="00FA095B" w:rsidP="00FA095B"/>
    <w:p w14:paraId="172F661E" w14:textId="77777777" w:rsidR="00FA095B" w:rsidRDefault="00FA095B" w:rsidP="00FA095B"/>
    <w:p w14:paraId="106D4B51" w14:textId="77777777" w:rsidR="00FA095B" w:rsidRDefault="00FA095B" w:rsidP="00FA095B"/>
    <w:p w14:paraId="4BEF21AA" w14:textId="77777777" w:rsidR="00FA095B" w:rsidRDefault="00FA095B" w:rsidP="00FA095B"/>
    <w:p w14:paraId="2FEB5C49" w14:textId="77777777" w:rsidR="00FA095B" w:rsidRDefault="00FA095B" w:rsidP="00FA095B"/>
    <w:p w14:paraId="73403B14" w14:textId="77777777" w:rsidR="00FA095B" w:rsidRDefault="00FA095B" w:rsidP="00FA095B"/>
    <w:p w14:paraId="022750F3" w14:textId="77777777" w:rsidR="00FA095B" w:rsidRDefault="00FA095B" w:rsidP="00FA095B"/>
    <w:p w14:paraId="3959364C" w14:textId="77777777" w:rsidR="00FA095B" w:rsidRDefault="00FA095B" w:rsidP="00FA095B"/>
    <w:p w14:paraId="2E84C80C" w14:textId="77777777" w:rsidR="00FA095B" w:rsidRDefault="00FA095B" w:rsidP="00FA095B"/>
    <w:p w14:paraId="36FB34F3" w14:textId="77777777" w:rsidR="00FA095B" w:rsidRDefault="00FA095B" w:rsidP="00FA095B"/>
    <w:p w14:paraId="5E2B17C8" w14:textId="77777777" w:rsidR="00FA095B" w:rsidRDefault="00FA095B" w:rsidP="00FA095B"/>
    <w:p w14:paraId="363C34C4" w14:textId="77777777" w:rsidR="00FA095B" w:rsidRDefault="00FA095B" w:rsidP="00FA095B"/>
    <w:p w14:paraId="3EC10644" w14:textId="77777777" w:rsidR="00FA095B" w:rsidRDefault="00FA095B" w:rsidP="00FA095B"/>
    <w:p w14:paraId="0E1A27FD" w14:textId="77777777" w:rsidR="00FA095B" w:rsidRDefault="00FA095B" w:rsidP="00FA095B"/>
    <w:p w14:paraId="1C7CBAC0" w14:textId="77777777" w:rsidR="00FA095B" w:rsidRDefault="00FA095B" w:rsidP="00FA095B">
      <w:r w:rsidRPr="007E2331">
        <w:rPr>
          <w:noProof/>
        </w:rPr>
        <w:lastRenderedPageBreak/>
        <w:drawing>
          <wp:inline distT="0" distB="0" distL="0" distR="0" wp14:anchorId="06FC93BB" wp14:editId="22BC2A74">
            <wp:extent cx="5214551" cy="3875815"/>
            <wp:effectExtent l="0" t="0" r="5715" b="0"/>
            <wp:docPr id="853209906" name="Picture 1" descr="A collage of images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209906" name="Picture 1" descr="A collage of images of different shapes&#10;&#10;Description automatically generated"/>
                    <pic:cNvPicPr/>
                  </pic:nvPicPr>
                  <pic:blipFill>
                    <a:blip r:embed="rId9"/>
                    <a:stretch>
                      <a:fillRect/>
                    </a:stretch>
                  </pic:blipFill>
                  <pic:spPr>
                    <a:xfrm>
                      <a:off x="0" y="0"/>
                      <a:ext cx="5221406" cy="3880910"/>
                    </a:xfrm>
                    <a:prstGeom prst="rect">
                      <a:avLst/>
                    </a:prstGeom>
                  </pic:spPr>
                </pic:pic>
              </a:graphicData>
            </a:graphic>
          </wp:inline>
        </w:drawing>
      </w:r>
    </w:p>
    <w:p w14:paraId="7815272C" w14:textId="77777777" w:rsidR="00FA095B" w:rsidRDefault="00FA095B" w:rsidP="00FA095B"/>
    <w:p w14:paraId="5E8CB181" w14:textId="77777777" w:rsidR="00FA095B" w:rsidRDefault="00FA095B" w:rsidP="00FA095B">
      <w:pPr>
        <w:jc w:val="both"/>
        <w:rPr>
          <w:rFonts w:ascii="Arial" w:hAnsi="Arial" w:cs="Arial"/>
          <w:color w:val="000000" w:themeColor="text1"/>
          <w:sz w:val="22"/>
          <w:szCs w:val="22"/>
        </w:rPr>
      </w:pPr>
      <w:r w:rsidRPr="004B7C15">
        <w:rPr>
          <w:rFonts w:ascii="Arial" w:hAnsi="Arial" w:cs="Arial"/>
          <w:b/>
          <w:bCs/>
          <w:color w:val="000000" w:themeColor="text1"/>
          <w:sz w:val="22"/>
          <w:szCs w:val="22"/>
        </w:rPr>
        <w:t xml:space="preserve">Supplementary Figure 1: </w:t>
      </w:r>
      <w:r>
        <w:rPr>
          <w:rFonts w:ascii="Arial" w:hAnsi="Arial" w:cs="Arial"/>
          <w:b/>
          <w:bCs/>
          <w:color w:val="000000" w:themeColor="text1"/>
          <w:sz w:val="22"/>
          <w:szCs w:val="22"/>
        </w:rPr>
        <w:t>Identification of</w:t>
      </w:r>
      <w:r w:rsidRPr="004B7C15">
        <w:rPr>
          <w:rFonts w:ascii="Arial" w:hAnsi="Arial" w:cs="Arial"/>
          <w:b/>
          <w:bCs/>
          <w:color w:val="000000" w:themeColor="text1"/>
          <w:sz w:val="22"/>
          <w:szCs w:val="22"/>
        </w:rPr>
        <w:t xml:space="preserve"> immune populations from human PBMCs</w:t>
      </w:r>
      <w:r>
        <w:rPr>
          <w:rFonts w:ascii="Arial" w:hAnsi="Arial" w:cs="Arial"/>
          <w:color w:val="000000" w:themeColor="text1"/>
          <w:sz w:val="22"/>
          <w:szCs w:val="22"/>
        </w:rPr>
        <w:t>. Gating strategy of immune populations from healthy human PBMCs.</w:t>
      </w:r>
    </w:p>
    <w:p w14:paraId="568278B4" w14:textId="77777777" w:rsidR="00FA095B" w:rsidRDefault="00FA095B" w:rsidP="00FA095B"/>
    <w:p w14:paraId="665D7F3C" w14:textId="77777777" w:rsidR="00FA095B" w:rsidRDefault="00FA095B" w:rsidP="00FA095B"/>
    <w:p w14:paraId="2BE70594" w14:textId="77777777" w:rsidR="00FA095B" w:rsidRDefault="00FA095B" w:rsidP="00FA095B"/>
    <w:p w14:paraId="58CDBE01" w14:textId="77777777" w:rsidR="00FA095B" w:rsidRDefault="00FA095B" w:rsidP="00FA095B"/>
    <w:p w14:paraId="67FF11E4" w14:textId="77777777" w:rsidR="00FA095B" w:rsidRDefault="00FA095B" w:rsidP="00FA095B"/>
    <w:p w14:paraId="3F5E3663" w14:textId="77777777" w:rsidR="00FA095B" w:rsidRDefault="00FA095B" w:rsidP="00FA095B"/>
    <w:p w14:paraId="1C5956A6" w14:textId="77777777" w:rsidR="00FA095B" w:rsidRDefault="00FA095B" w:rsidP="00FA095B"/>
    <w:p w14:paraId="2A5DDA40" w14:textId="77777777" w:rsidR="00FA095B" w:rsidRDefault="00FA095B" w:rsidP="00FA095B"/>
    <w:p w14:paraId="6D8A88B6" w14:textId="77777777" w:rsidR="00FA095B" w:rsidRDefault="00FA095B" w:rsidP="00FA095B"/>
    <w:p w14:paraId="76ABA88C" w14:textId="77777777" w:rsidR="00FA095B" w:rsidRDefault="00FA095B" w:rsidP="00FA095B"/>
    <w:p w14:paraId="326DFB92" w14:textId="77777777" w:rsidR="00FA095B" w:rsidRDefault="00FA095B" w:rsidP="00FA095B"/>
    <w:p w14:paraId="4058DB7E" w14:textId="77777777" w:rsidR="00FA095B" w:rsidRDefault="00FA095B" w:rsidP="00FA095B"/>
    <w:p w14:paraId="2BE9473E" w14:textId="77777777" w:rsidR="00FA095B" w:rsidRDefault="00FA095B" w:rsidP="00FA095B"/>
    <w:p w14:paraId="2F5EE087" w14:textId="77777777" w:rsidR="00FA095B" w:rsidRDefault="00FA095B" w:rsidP="00FA095B"/>
    <w:p w14:paraId="65D86E10" w14:textId="77777777" w:rsidR="00FA095B" w:rsidRDefault="00FA095B" w:rsidP="00FA095B"/>
    <w:p w14:paraId="3B033F8B" w14:textId="77777777" w:rsidR="00FA095B" w:rsidRDefault="00FA095B" w:rsidP="00FA095B"/>
    <w:p w14:paraId="06A98846" w14:textId="77777777" w:rsidR="00FA095B" w:rsidRDefault="00FA095B" w:rsidP="00FA095B"/>
    <w:p w14:paraId="30DD9190" w14:textId="77777777" w:rsidR="00FA095B" w:rsidRDefault="00FA095B" w:rsidP="00FA095B"/>
    <w:p w14:paraId="3F261AA1" w14:textId="77777777" w:rsidR="00FA095B" w:rsidRDefault="00FA095B" w:rsidP="00FA095B"/>
    <w:p w14:paraId="33D859BF" w14:textId="77777777" w:rsidR="00FA095B" w:rsidRDefault="00FA095B" w:rsidP="00FA095B"/>
    <w:p w14:paraId="0DF7C443" w14:textId="77777777" w:rsidR="00FA095B" w:rsidRDefault="00FA095B" w:rsidP="00FA095B"/>
    <w:p w14:paraId="753109F1" w14:textId="77777777" w:rsidR="00FA095B" w:rsidRDefault="00FA095B" w:rsidP="00FA095B">
      <w:r w:rsidRPr="007E2331">
        <w:rPr>
          <w:noProof/>
        </w:rPr>
        <w:lastRenderedPageBreak/>
        <w:drawing>
          <wp:inline distT="0" distB="0" distL="0" distR="0" wp14:anchorId="27B55C7D" wp14:editId="73A9F1A9">
            <wp:extent cx="5943600" cy="1877695"/>
            <wp:effectExtent l="0" t="0" r="0" b="0"/>
            <wp:docPr id="709517189" name="Picture 1" descr="A collage of images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17189" name="Picture 1" descr="A collage of images of a graph&#10;&#10;Description automatically generated with medium confidence"/>
                    <pic:cNvPicPr/>
                  </pic:nvPicPr>
                  <pic:blipFill>
                    <a:blip r:embed="rId10"/>
                    <a:stretch>
                      <a:fillRect/>
                    </a:stretch>
                  </pic:blipFill>
                  <pic:spPr>
                    <a:xfrm>
                      <a:off x="0" y="0"/>
                      <a:ext cx="5943600" cy="1877695"/>
                    </a:xfrm>
                    <a:prstGeom prst="rect">
                      <a:avLst/>
                    </a:prstGeom>
                  </pic:spPr>
                </pic:pic>
              </a:graphicData>
            </a:graphic>
          </wp:inline>
        </w:drawing>
      </w:r>
    </w:p>
    <w:p w14:paraId="755746F4" w14:textId="77777777" w:rsidR="00FA095B" w:rsidRDefault="00FA095B" w:rsidP="00FA095B">
      <w:pPr>
        <w:jc w:val="both"/>
        <w:rPr>
          <w:rFonts w:ascii="Arial" w:hAnsi="Arial" w:cs="Arial"/>
          <w:color w:val="000000" w:themeColor="text1"/>
          <w:sz w:val="22"/>
          <w:szCs w:val="22"/>
        </w:rPr>
      </w:pPr>
      <w:r w:rsidRPr="00FC462A">
        <w:rPr>
          <w:rFonts w:ascii="Arial" w:hAnsi="Arial" w:cs="Arial"/>
          <w:b/>
          <w:bCs/>
          <w:color w:val="000000" w:themeColor="text1"/>
          <w:sz w:val="22"/>
          <w:szCs w:val="22"/>
        </w:rPr>
        <w:t xml:space="preserve">Supplementary Figure </w:t>
      </w:r>
      <w:r>
        <w:rPr>
          <w:rFonts w:ascii="Arial" w:hAnsi="Arial" w:cs="Arial"/>
          <w:b/>
          <w:bCs/>
          <w:color w:val="000000" w:themeColor="text1"/>
          <w:sz w:val="22"/>
          <w:szCs w:val="22"/>
        </w:rPr>
        <w:t>2</w:t>
      </w:r>
      <w:r w:rsidRPr="00FC462A">
        <w:rPr>
          <w:rFonts w:ascii="Arial" w:hAnsi="Arial" w:cs="Arial"/>
          <w:b/>
          <w:bCs/>
          <w:color w:val="000000" w:themeColor="text1"/>
          <w:sz w:val="22"/>
          <w:szCs w:val="22"/>
        </w:rPr>
        <w:t xml:space="preserve">: </w:t>
      </w:r>
      <w:r>
        <w:rPr>
          <w:rFonts w:ascii="Arial" w:hAnsi="Arial" w:cs="Arial"/>
          <w:b/>
          <w:bCs/>
          <w:color w:val="000000" w:themeColor="text1"/>
          <w:sz w:val="22"/>
          <w:szCs w:val="22"/>
        </w:rPr>
        <w:t>Gating strategy for</w:t>
      </w:r>
      <w:r w:rsidRPr="00FC462A">
        <w:rPr>
          <w:rFonts w:ascii="Arial" w:hAnsi="Arial" w:cs="Arial"/>
          <w:b/>
          <w:bCs/>
          <w:color w:val="000000" w:themeColor="text1"/>
          <w:sz w:val="22"/>
          <w:szCs w:val="22"/>
        </w:rPr>
        <w:t xml:space="preserve"> immune populations from </w:t>
      </w:r>
      <w:r>
        <w:rPr>
          <w:rFonts w:ascii="Arial" w:hAnsi="Arial" w:cs="Arial"/>
          <w:b/>
          <w:bCs/>
          <w:color w:val="000000" w:themeColor="text1"/>
          <w:sz w:val="22"/>
          <w:szCs w:val="22"/>
        </w:rPr>
        <w:t>SB28-bearing mice</w:t>
      </w:r>
      <w:r>
        <w:rPr>
          <w:rFonts w:ascii="Arial" w:hAnsi="Arial" w:cs="Arial"/>
          <w:color w:val="000000" w:themeColor="text1"/>
          <w:sz w:val="22"/>
          <w:szCs w:val="22"/>
        </w:rPr>
        <w:t>. Gating strategy of immune populations and NOS2 expression from vehicle or CGP 35348 treated mice.</w:t>
      </w:r>
    </w:p>
    <w:p w14:paraId="3049E7C4" w14:textId="77777777" w:rsidR="00FA095B" w:rsidRPr="007E2331" w:rsidRDefault="00FA095B" w:rsidP="00FA095B"/>
    <w:p w14:paraId="1C4CECAD" w14:textId="77777777" w:rsidR="00F553FF" w:rsidRDefault="00F553FF"/>
    <w:sectPr w:rsidR="00F553FF" w:rsidSect="00FA095B">
      <w:footerReference w:type="even"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11097843"/>
      <w:docPartObj>
        <w:docPartGallery w:val="Page Numbers (Bottom of Page)"/>
        <w:docPartUnique/>
      </w:docPartObj>
    </w:sdtPr>
    <w:sdtContent>
      <w:p w14:paraId="59A8E0D2" w14:textId="77777777" w:rsidR="00000000" w:rsidRDefault="00000000" w:rsidP="00AF41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C5BF04" w14:textId="77777777" w:rsidR="00000000" w:rsidRDefault="00000000" w:rsidP="000C13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44074218"/>
      <w:docPartObj>
        <w:docPartGallery w:val="Page Numbers (Bottom of Page)"/>
        <w:docPartUnique/>
      </w:docPartObj>
    </w:sdtPr>
    <w:sdtContent>
      <w:p w14:paraId="367DEAFB" w14:textId="77777777" w:rsidR="00000000" w:rsidRDefault="00000000" w:rsidP="00AF41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AC6120" w14:textId="77777777" w:rsidR="00000000" w:rsidRDefault="00000000" w:rsidP="000C13F9">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95B"/>
    <w:rsid w:val="003C2EF4"/>
    <w:rsid w:val="00613C28"/>
    <w:rsid w:val="00B74216"/>
    <w:rsid w:val="00F553FF"/>
    <w:rsid w:val="00FA0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7D34"/>
  <w15:chartTrackingRefBased/>
  <w15:docId w15:val="{72729C0F-F1DC-4E69-9A8A-CF64C5F88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95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FA095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A095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A095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A095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A095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A095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A095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A095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A095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9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9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9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9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9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95B"/>
    <w:rPr>
      <w:rFonts w:eastAsiaTheme="majorEastAsia" w:cstheme="majorBidi"/>
      <w:color w:val="272727" w:themeColor="text1" w:themeTint="D8"/>
    </w:rPr>
  </w:style>
  <w:style w:type="paragraph" w:styleId="Title">
    <w:name w:val="Title"/>
    <w:basedOn w:val="Normal"/>
    <w:next w:val="Normal"/>
    <w:link w:val="TitleChar"/>
    <w:uiPriority w:val="10"/>
    <w:qFormat/>
    <w:rsid w:val="00FA095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A0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95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A0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95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A095B"/>
    <w:rPr>
      <w:i/>
      <w:iCs/>
      <w:color w:val="404040" w:themeColor="text1" w:themeTint="BF"/>
    </w:rPr>
  </w:style>
  <w:style w:type="paragraph" w:styleId="ListParagraph">
    <w:name w:val="List Paragraph"/>
    <w:basedOn w:val="Normal"/>
    <w:uiPriority w:val="34"/>
    <w:qFormat/>
    <w:rsid w:val="00FA095B"/>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A095B"/>
    <w:rPr>
      <w:i/>
      <w:iCs/>
      <w:color w:val="0F4761" w:themeColor="accent1" w:themeShade="BF"/>
    </w:rPr>
  </w:style>
  <w:style w:type="paragraph" w:styleId="IntenseQuote">
    <w:name w:val="Intense Quote"/>
    <w:basedOn w:val="Normal"/>
    <w:next w:val="Normal"/>
    <w:link w:val="IntenseQuoteChar"/>
    <w:uiPriority w:val="30"/>
    <w:qFormat/>
    <w:rsid w:val="00FA095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A095B"/>
    <w:rPr>
      <w:i/>
      <w:iCs/>
      <w:color w:val="0F4761" w:themeColor="accent1" w:themeShade="BF"/>
    </w:rPr>
  </w:style>
  <w:style w:type="character" w:styleId="IntenseReference">
    <w:name w:val="Intense Reference"/>
    <w:basedOn w:val="DefaultParagraphFont"/>
    <w:uiPriority w:val="32"/>
    <w:qFormat/>
    <w:rsid w:val="00FA095B"/>
    <w:rPr>
      <w:b/>
      <w:bCs/>
      <w:smallCaps/>
      <w:color w:val="0F4761" w:themeColor="accent1" w:themeShade="BF"/>
      <w:spacing w:val="5"/>
    </w:rPr>
  </w:style>
  <w:style w:type="paragraph" w:styleId="Footer">
    <w:name w:val="footer"/>
    <w:basedOn w:val="Normal"/>
    <w:link w:val="FooterChar"/>
    <w:uiPriority w:val="99"/>
    <w:unhideWhenUsed/>
    <w:rsid w:val="00FA095B"/>
    <w:pPr>
      <w:tabs>
        <w:tab w:val="center" w:pos="4680"/>
        <w:tab w:val="right" w:pos="9360"/>
      </w:tabs>
    </w:pPr>
  </w:style>
  <w:style w:type="character" w:customStyle="1" w:styleId="FooterChar">
    <w:name w:val="Footer Char"/>
    <w:basedOn w:val="DefaultParagraphFont"/>
    <w:link w:val="Footer"/>
    <w:uiPriority w:val="99"/>
    <w:rsid w:val="00FA095B"/>
    <w:rPr>
      <w:rFonts w:ascii="Times New Roman" w:eastAsia="Times New Roman" w:hAnsi="Times New Roman" w:cs="Times New Roman"/>
      <w:kern w:val="0"/>
      <w:sz w:val="24"/>
      <w:szCs w:val="24"/>
      <w14:ligatures w14:val="none"/>
    </w:rPr>
  </w:style>
  <w:style w:type="character" w:styleId="PageNumber">
    <w:name w:val="page number"/>
    <w:basedOn w:val="DefaultParagraphFont"/>
    <w:uiPriority w:val="99"/>
    <w:semiHidden/>
    <w:unhideWhenUsed/>
    <w:rsid w:val="00FA0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1.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664</Words>
  <Characters>3786</Characters>
  <Application>Microsoft Office Word</Application>
  <DocSecurity>0</DocSecurity>
  <Lines>31</Lines>
  <Paragraphs>8</Paragraphs>
  <ScaleCrop>false</ScaleCrop>
  <Company>Springer Nature</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2024-07-30T07:52:00Z</dcterms:created>
  <dcterms:modified xsi:type="dcterms:W3CDTF">2024-07-30T07:53:00Z</dcterms:modified>
</cp:coreProperties>
</file>