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775100" w14:textId="77777777" w:rsidR="00AC6E1B" w:rsidRPr="00020B61" w:rsidRDefault="00000000">
      <w:pPr>
        <w:spacing w:line="480" w:lineRule="auto"/>
        <w:rPr>
          <w:rFonts w:ascii="Times New Roman" w:eastAsia="Times New Roman" w:hAnsi="Times New Roman" w:cs="Times New Roman"/>
          <w:b/>
          <w:sz w:val="24"/>
          <w:szCs w:val="24"/>
        </w:rPr>
      </w:pPr>
      <w:r w:rsidRPr="00020B61">
        <w:rPr>
          <w:rFonts w:ascii="Times New Roman" w:eastAsia="Times New Roman" w:hAnsi="Times New Roman" w:cs="Times New Roman"/>
          <w:b/>
          <w:sz w:val="28"/>
          <w:szCs w:val="28"/>
          <w:highlight w:val="white"/>
        </w:rPr>
        <w:t xml:space="preserve">Title: </w:t>
      </w:r>
      <w:r w:rsidRPr="00020B61">
        <w:rPr>
          <w:rFonts w:ascii="Times New Roman" w:eastAsia="Times New Roman" w:hAnsi="Times New Roman" w:cs="Times New Roman"/>
          <w:sz w:val="24"/>
          <w:szCs w:val="24"/>
          <w:highlight w:val="white"/>
        </w:rPr>
        <w:t xml:space="preserve">Immunomodulatory Activity of Omadacycline </w:t>
      </w:r>
      <w:r w:rsidRPr="00020B61">
        <w:rPr>
          <w:rFonts w:ascii="Times New Roman" w:eastAsia="Times New Roman" w:hAnsi="Times New Roman" w:cs="Times New Roman"/>
          <w:i/>
          <w:sz w:val="24"/>
          <w:szCs w:val="24"/>
          <w:highlight w:val="white"/>
        </w:rPr>
        <w:t>In Vitro</w:t>
      </w:r>
      <w:r w:rsidRPr="00020B61">
        <w:rPr>
          <w:rFonts w:ascii="Times New Roman" w:eastAsia="Times New Roman" w:hAnsi="Times New Roman" w:cs="Times New Roman"/>
          <w:sz w:val="24"/>
          <w:szCs w:val="24"/>
          <w:highlight w:val="white"/>
        </w:rPr>
        <w:t xml:space="preserve"> and in a Murine Model of Acute Lung Injury</w:t>
      </w:r>
    </w:p>
    <w:p w14:paraId="396B52C1" w14:textId="77777777" w:rsidR="00AC6E1B" w:rsidRPr="00020B61" w:rsidRDefault="00000000">
      <w:pPr>
        <w:spacing w:line="480" w:lineRule="auto"/>
        <w:rPr>
          <w:rFonts w:ascii="Times New Roman" w:eastAsia="Times New Roman" w:hAnsi="Times New Roman" w:cs="Times New Roman"/>
          <w:b/>
          <w:sz w:val="28"/>
          <w:szCs w:val="28"/>
        </w:rPr>
      </w:pPr>
      <w:r w:rsidRPr="00020B61">
        <w:rPr>
          <w:rFonts w:ascii="Times New Roman" w:eastAsia="Times New Roman" w:hAnsi="Times New Roman" w:cs="Times New Roman"/>
          <w:b/>
          <w:sz w:val="28"/>
          <w:szCs w:val="28"/>
          <w:highlight w:val="white"/>
        </w:rPr>
        <w:t xml:space="preserve">Running Title: </w:t>
      </w:r>
      <w:r w:rsidRPr="00020B61">
        <w:rPr>
          <w:rFonts w:ascii="Times New Roman" w:eastAsia="Times New Roman" w:hAnsi="Times New Roman" w:cs="Times New Roman"/>
          <w:sz w:val="24"/>
          <w:szCs w:val="24"/>
          <w:highlight w:val="white"/>
        </w:rPr>
        <w:t>Omadacycline Immunomodulatory Activity in ALI</w:t>
      </w:r>
    </w:p>
    <w:p w14:paraId="65528336" w14:textId="77777777" w:rsidR="00AC6E1B" w:rsidRPr="00020B61" w:rsidRDefault="00000000">
      <w:pPr>
        <w:spacing w:line="480" w:lineRule="auto"/>
        <w:rPr>
          <w:rFonts w:ascii="Times New Roman" w:eastAsia="Times New Roman" w:hAnsi="Times New Roman" w:cs="Times New Roman"/>
          <w:b/>
          <w:sz w:val="28"/>
          <w:szCs w:val="28"/>
        </w:rPr>
      </w:pPr>
      <w:r w:rsidRPr="00020B61">
        <w:rPr>
          <w:rFonts w:ascii="Times New Roman" w:eastAsia="Times New Roman" w:hAnsi="Times New Roman" w:cs="Times New Roman"/>
          <w:b/>
          <w:sz w:val="28"/>
          <w:szCs w:val="28"/>
          <w:highlight w:val="white"/>
        </w:rPr>
        <w:t>Authors:</w:t>
      </w:r>
    </w:p>
    <w:p w14:paraId="2980AB4D" w14:textId="77777777" w:rsidR="00AC6E1B" w:rsidRPr="00020B61" w:rsidRDefault="00000000">
      <w:pPr>
        <w:spacing w:line="480" w:lineRule="auto"/>
        <w:rPr>
          <w:rFonts w:ascii="Times New Roman" w:eastAsia="Times New Roman" w:hAnsi="Times New Roman" w:cs="Times New Roman"/>
          <w:sz w:val="24"/>
          <w:szCs w:val="24"/>
        </w:rPr>
      </w:pPr>
      <w:r w:rsidRPr="00020B61">
        <w:rPr>
          <w:rFonts w:ascii="Times New Roman" w:eastAsia="Times New Roman" w:hAnsi="Times New Roman" w:cs="Times New Roman"/>
          <w:sz w:val="24"/>
          <w:szCs w:val="24"/>
          <w:highlight w:val="white"/>
        </w:rPr>
        <w:t xml:space="preserve">Madeline </w:t>
      </w:r>
      <w:proofErr w:type="spellStart"/>
      <w:r w:rsidRPr="00020B61">
        <w:rPr>
          <w:rFonts w:ascii="Times New Roman" w:eastAsia="Times New Roman" w:hAnsi="Times New Roman" w:cs="Times New Roman"/>
          <w:sz w:val="24"/>
          <w:szCs w:val="24"/>
          <w:highlight w:val="white"/>
        </w:rPr>
        <w:t>Sanders</w:t>
      </w:r>
      <w:r w:rsidRPr="00020B61">
        <w:rPr>
          <w:rFonts w:ascii="Times New Roman" w:eastAsia="Times New Roman" w:hAnsi="Times New Roman" w:cs="Times New Roman"/>
          <w:sz w:val="24"/>
          <w:szCs w:val="24"/>
          <w:highlight w:val="white"/>
          <w:vertAlign w:val="superscript"/>
        </w:rPr>
        <w:t>a</w:t>
      </w:r>
      <w:proofErr w:type="spellEnd"/>
      <w:r w:rsidRPr="00020B61">
        <w:rPr>
          <w:rFonts w:ascii="Times New Roman" w:eastAsia="Times New Roman" w:hAnsi="Times New Roman" w:cs="Times New Roman"/>
          <w:sz w:val="24"/>
          <w:szCs w:val="24"/>
          <w:highlight w:val="white"/>
        </w:rPr>
        <w:t xml:space="preserve">, Paul </w:t>
      </w:r>
      <w:proofErr w:type="spellStart"/>
      <w:r w:rsidRPr="00020B61">
        <w:rPr>
          <w:rFonts w:ascii="Times New Roman" w:eastAsia="Times New Roman" w:hAnsi="Times New Roman" w:cs="Times New Roman"/>
          <w:sz w:val="24"/>
          <w:szCs w:val="24"/>
          <w:highlight w:val="white"/>
        </w:rPr>
        <w:t>Beringer</w:t>
      </w:r>
      <w:r w:rsidRPr="00020B61">
        <w:rPr>
          <w:rFonts w:ascii="Times New Roman" w:eastAsia="Times New Roman" w:hAnsi="Times New Roman" w:cs="Times New Roman"/>
          <w:sz w:val="24"/>
          <w:szCs w:val="24"/>
          <w:highlight w:val="white"/>
          <w:vertAlign w:val="superscript"/>
        </w:rPr>
        <w:t>a</w:t>
      </w:r>
      <w:proofErr w:type="spellEnd"/>
      <w:r w:rsidRPr="00020B61">
        <w:rPr>
          <w:rFonts w:ascii="Times New Roman" w:eastAsia="Times New Roman" w:hAnsi="Times New Roman" w:cs="Times New Roman"/>
          <w:sz w:val="24"/>
          <w:szCs w:val="24"/>
          <w:highlight w:val="white"/>
          <w:vertAlign w:val="superscript"/>
        </w:rPr>
        <w:t>#</w:t>
      </w:r>
    </w:p>
    <w:p w14:paraId="4838660A" w14:textId="77777777" w:rsidR="00AC6E1B" w:rsidRPr="00020B61" w:rsidRDefault="00000000">
      <w:pPr>
        <w:spacing w:line="480" w:lineRule="auto"/>
        <w:rPr>
          <w:rFonts w:ascii="Times New Roman" w:eastAsia="Times New Roman" w:hAnsi="Times New Roman" w:cs="Times New Roman"/>
          <w:sz w:val="24"/>
          <w:szCs w:val="24"/>
          <w:highlight w:val="white"/>
          <w:vertAlign w:val="superscript"/>
        </w:rPr>
      </w:pPr>
      <w:proofErr w:type="spellStart"/>
      <w:r w:rsidRPr="00020B61">
        <w:rPr>
          <w:rFonts w:ascii="Times New Roman" w:eastAsia="Times New Roman" w:hAnsi="Times New Roman" w:cs="Times New Roman"/>
          <w:sz w:val="24"/>
          <w:szCs w:val="24"/>
          <w:highlight w:val="white"/>
          <w:vertAlign w:val="superscript"/>
        </w:rPr>
        <w:t>a</w:t>
      </w:r>
      <w:r w:rsidRPr="00020B61">
        <w:rPr>
          <w:rFonts w:ascii="Times New Roman" w:eastAsia="Times New Roman" w:hAnsi="Times New Roman" w:cs="Times New Roman"/>
          <w:sz w:val="24"/>
          <w:szCs w:val="24"/>
          <w:highlight w:val="white"/>
        </w:rPr>
        <w:t>Alfred</w:t>
      </w:r>
      <w:proofErr w:type="spellEnd"/>
      <w:r w:rsidRPr="00020B61">
        <w:rPr>
          <w:rFonts w:ascii="Times New Roman" w:eastAsia="Times New Roman" w:hAnsi="Times New Roman" w:cs="Times New Roman"/>
          <w:sz w:val="24"/>
          <w:szCs w:val="24"/>
          <w:highlight w:val="white"/>
        </w:rPr>
        <w:t xml:space="preserve"> E. Mann School of Pharmacy and Pharmaceutical Sciences, University of Southern California, Los Angeles, CA, USA</w:t>
      </w:r>
    </w:p>
    <w:p w14:paraId="36AF68E5" w14:textId="77777777" w:rsidR="00AC6E1B" w:rsidRPr="00020B61" w:rsidRDefault="00000000">
      <w:pPr>
        <w:spacing w:line="480" w:lineRule="auto"/>
        <w:rPr>
          <w:rFonts w:ascii="Times New Roman" w:eastAsia="Times New Roman" w:hAnsi="Times New Roman" w:cs="Times New Roman"/>
          <w:sz w:val="24"/>
          <w:szCs w:val="24"/>
        </w:rPr>
      </w:pPr>
      <w:r w:rsidRPr="00020B61">
        <w:rPr>
          <w:rFonts w:ascii="Times New Roman" w:eastAsia="Times New Roman" w:hAnsi="Times New Roman" w:cs="Times New Roman"/>
          <w:sz w:val="24"/>
          <w:szCs w:val="24"/>
          <w:vertAlign w:val="superscript"/>
        </w:rPr>
        <w:t>#</w:t>
      </w:r>
      <w:r w:rsidRPr="00020B61">
        <w:rPr>
          <w:rFonts w:ascii="Times New Roman" w:eastAsia="Times New Roman" w:hAnsi="Times New Roman" w:cs="Times New Roman"/>
          <w:sz w:val="24"/>
          <w:szCs w:val="24"/>
        </w:rPr>
        <w:t>Address correspondence to Dr. Paul Beringer, beringer@usc.edu, 323-442-1402 (telephone), 323-442-1395 (fax)</w:t>
      </w:r>
    </w:p>
    <w:p w14:paraId="0257FC2D" w14:textId="77777777" w:rsidR="00AC6E1B" w:rsidRPr="00020B61" w:rsidRDefault="00AC6E1B">
      <w:pPr>
        <w:spacing w:line="480" w:lineRule="auto"/>
        <w:rPr>
          <w:rFonts w:ascii="Times New Roman" w:eastAsia="Times New Roman" w:hAnsi="Times New Roman" w:cs="Times New Roman"/>
          <w:b/>
          <w:sz w:val="32"/>
          <w:szCs w:val="32"/>
        </w:rPr>
      </w:pPr>
    </w:p>
    <w:p w14:paraId="0471FBCE" w14:textId="77777777" w:rsidR="00AC6E1B" w:rsidRPr="00020B61" w:rsidRDefault="00AC6E1B">
      <w:pPr>
        <w:spacing w:line="480" w:lineRule="auto"/>
        <w:rPr>
          <w:rFonts w:ascii="Times New Roman" w:eastAsia="Times New Roman" w:hAnsi="Times New Roman" w:cs="Times New Roman"/>
          <w:b/>
          <w:sz w:val="32"/>
          <w:szCs w:val="32"/>
        </w:rPr>
      </w:pPr>
    </w:p>
    <w:p w14:paraId="23D5BCD2" w14:textId="77777777" w:rsidR="00AC6E1B" w:rsidRPr="00020B61" w:rsidRDefault="00AC6E1B">
      <w:pPr>
        <w:spacing w:line="480" w:lineRule="auto"/>
        <w:rPr>
          <w:rFonts w:ascii="Times New Roman" w:eastAsia="Times New Roman" w:hAnsi="Times New Roman" w:cs="Times New Roman"/>
          <w:b/>
          <w:sz w:val="32"/>
          <w:szCs w:val="32"/>
        </w:rPr>
      </w:pPr>
    </w:p>
    <w:p w14:paraId="59B98A7C" w14:textId="77777777" w:rsidR="00AC6E1B" w:rsidRPr="00020B61" w:rsidRDefault="00AC6E1B">
      <w:pPr>
        <w:spacing w:line="480" w:lineRule="auto"/>
        <w:rPr>
          <w:rFonts w:ascii="Times New Roman" w:eastAsia="Times New Roman" w:hAnsi="Times New Roman" w:cs="Times New Roman"/>
          <w:b/>
          <w:sz w:val="32"/>
          <w:szCs w:val="32"/>
        </w:rPr>
      </w:pPr>
    </w:p>
    <w:p w14:paraId="3E02AF92" w14:textId="77777777" w:rsidR="00AC6E1B" w:rsidRPr="00020B61" w:rsidRDefault="00AC6E1B">
      <w:pPr>
        <w:spacing w:line="480" w:lineRule="auto"/>
        <w:rPr>
          <w:rFonts w:ascii="Times New Roman" w:eastAsia="Times New Roman" w:hAnsi="Times New Roman" w:cs="Times New Roman"/>
          <w:b/>
          <w:sz w:val="32"/>
          <w:szCs w:val="32"/>
        </w:rPr>
      </w:pPr>
    </w:p>
    <w:p w14:paraId="08164138" w14:textId="77777777" w:rsidR="00AC6E1B" w:rsidRPr="00020B61" w:rsidRDefault="00AC6E1B">
      <w:pPr>
        <w:spacing w:line="480" w:lineRule="auto"/>
        <w:rPr>
          <w:rFonts w:ascii="Times New Roman" w:eastAsia="Times New Roman" w:hAnsi="Times New Roman" w:cs="Times New Roman"/>
          <w:b/>
          <w:sz w:val="32"/>
          <w:szCs w:val="32"/>
        </w:rPr>
      </w:pPr>
    </w:p>
    <w:p w14:paraId="58D0B844" w14:textId="77777777" w:rsidR="00AC6E1B" w:rsidRPr="00020B61" w:rsidRDefault="00AC6E1B">
      <w:pPr>
        <w:spacing w:line="480" w:lineRule="auto"/>
        <w:rPr>
          <w:rFonts w:ascii="Times New Roman" w:eastAsia="Times New Roman" w:hAnsi="Times New Roman" w:cs="Times New Roman"/>
          <w:b/>
          <w:sz w:val="32"/>
          <w:szCs w:val="32"/>
        </w:rPr>
      </w:pPr>
    </w:p>
    <w:p w14:paraId="5A39E803" w14:textId="77777777" w:rsidR="00AC6E1B" w:rsidRPr="00020B61" w:rsidRDefault="00AC6E1B">
      <w:pPr>
        <w:spacing w:line="480" w:lineRule="auto"/>
        <w:rPr>
          <w:rFonts w:ascii="Times New Roman" w:eastAsia="Times New Roman" w:hAnsi="Times New Roman" w:cs="Times New Roman"/>
          <w:b/>
          <w:sz w:val="32"/>
          <w:szCs w:val="32"/>
        </w:rPr>
      </w:pPr>
    </w:p>
    <w:p w14:paraId="7A8696B9" w14:textId="77777777" w:rsidR="00AC6E1B" w:rsidRPr="00020B61" w:rsidRDefault="00AC6E1B">
      <w:pPr>
        <w:spacing w:line="480" w:lineRule="auto"/>
        <w:rPr>
          <w:rFonts w:ascii="Times New Roman" w:eastAsia="Times New Roman" w:hAnsi="Times New Roman" w:cs="Times New Roman"/>
          <w:b/>
          <w:sz w:val="32"/>
          <w:szCs w:val="32"/>
        </w:rPr>
      </w:pPr>
    </w:p>
    <w:p w14:paraId="18513D08" w14:textId="77777777" w:rsidR="00AC6E1B" w:rsidRPr="00020B61" w:rsidRDefault="00AC6E1B">
      <w:pPr>
        <w:spacing w:line="480" w:lineRule="auto"/>
        <w:rPr>
          <w:rFonts w:ascii="Times New Roman" w:eastAsia="Times New Roman" w:hAnsi="Times New Roman" w:cs="Times New Roman"/>
          <w:b/>
          <w:sz w:val="32"/>
          <w:szCs w:val="32"/>
        </w:rPr>
      </w:pPr>
    </w:p>
    <w:p w14:paraId="7F9F1F43" w14:textId="77777777" w:rsidR="00AC6E1B" w:rsidRPr="00020B61" w:rsidRDefault="00AC6E1B">
      <w:pPr>
        <w:spacing w:line="480" w:lineRule="auto"/>
        <w:rPr>
          <w:rFonts w:ascii="Times New Roman" w:eastAsia="Times New Roman" w:hAnsi="Times New Roman" w:cs="Times New Roman"/>
          <w:b/>
          <w:sz w:val="32"/>
          <w:szCs w:val="32"/>
        </w:rPr>
      </w:pPr>
    </w:p>
    <w:p w14:paraId="167F58DC" w14:textId="77777777" w:rsidR="00AC6E1B" w:rsidRPr="00020B61" w:rsidRDefault="00AC6E1B">
      <w:pPr>
        <w:spacing w:line="480" w:lineRule="auto"/>
        <w:rPr>
          <w:rFonts w:ascii="Times New Roman" w:eastAsia="Times New Roman" w:hAnsi="Times New Roman" w:cs="Times New Roman"/>
          <w:b/>
          <w:sz w:val="32"/>
          <w:szCs w:val="32"/>
        </w:rPr>
      </w:pPr>
    </w:p>
    <w:p w14:paraId="2E80ABCA" w14:textId="77777777" w:rsidR="00AC6E1B" w:rsidRPr="00020B61" w:rsidRDefault="00AC6E1B">
      <w:pPr>
        <w:spacing w:line="480" w:lineRule="auto"/>
        <w:rPr>
          <w:rFonts w:ascii="Times New Roman" w:eastAsia="Times New Roman" w:hAnsi="Times New Roman" w:cs="Times New Roman"/>
          <w:b/>
          <w:sz w:val="32"/>
          <w:szCs w:val="32"/>
        </w:rPr>
      </w:pPr>
    </w:p>
    <w:p w14:paraId="194B433F" w14:textId="77777777" w:rsidR="00AC6E1B" w:rsidRPr="00020B61" w:rsidRDefault="00000000">
      <w:pPr>
        <w:spacing w:line="480" w:lineRule="auto"/>
        <w:rPr>
          <w:rFonts w:ascii="Times New Roman" w:eastAsia="Times New Roman" w:hAnsi="Times New Roman" w:cs="Times New Roman"/>
          <w:b/>
          <w:sz w:val="32"/>
          <w:szCs w:val="32"/>
        </w:rPr>
      </w:pPr>
      <w:r w:rsidRPr="00020B61">
        <w:rPr>
          <w:rFonts w:ascii="Times New Roman" w:eastAsia="Times New Roman" w:hAnsi="Times New Roman" w:cs="Times New Roman"/>
          <w:b/>
          <w:sz w:val="32"/>
          <w:szCs w:val="32"/>
        </w:rPr>
        <w:lastRenderedPageBreak/>
        <w:t>Supplementary Information:</w:t>
      </w:r>
    </w:p>
    <w:p w14:paraId="775F79B6" w14:textId="77777777" w:rsidR="00AC6E1B" w:rsidRPr="00020B61" w:rsidRDefault="00000000">
      <w:pPr>
        <w:spacing w:line="480" w:lineRule="auto"/>
        <w:rPr>
          <w:rFonts w:ascii="Times New Roman" w:eastAsia="Times New Roman" w:hAnsi="Times New Roman" w:cs="Times New Roman"/>
          <w:sz w:val="24"/>
          <w:szCs w:val="24"/>
        </w:rPr>
      </w:pPr>
      <w:r w:rsidRPr="00020B61">
        <w:rPr>
          <w:rFonts w:ascii="Times New Roman" w:eastAsia="Times New Roman" w:hAnsi="Times New Roman" w:cs="Times New Roman"/>
          <w:sz w:val="24"/>
          <w:szCs w:val="24"/>
        </w:rPr>
        <w:t>Supplementary Figure A1: THP-1 cell viability after omadacycline treatment and LPS exposure obtained by alamarBlue assay. Cell viability was expressed as the percentage of control</w:t>
      </w:r>
      <w:r w:rsidRPr="00020B61">
        <w:rPr>
          <w:rFonts w:ascii="Times New Roman" w:eastAsia="Times New Roman" w:hAnsi="Times New Roman" w:cs="Times New Roman"/>
          <w:sz w:val="24"/>
          <w:szCs w:val="24"/>
          <w:vertAlign w:val="superscript"/>
        </w:rPr>
        <w:footnoteReference w:id="1"/>
      </w:r>
      <w:r w:rsidRPr="00020B61">
        <w:rPr>
          <w:rFonts w:ascii="Times New Roman" w:eastAsia="Times New Roman" w:hAnsi="Times New Roman" w:cs="Times New Roman"/>
          <w:sz w:val="24"/>
          <w:szCs w:val="24"/>
        </w:rPr>
        <w:t>.</w:t>
      </w:r>
      <w:r w:rsidRPr="00020B61">
        <w:rPr>
          <w:rFonts w:ascii="Times New Roman" w:hAnsi="Times New Roman" w:cs="Times New Roman"/>
          <w:noProof/>
        </w:rPr>
        <w:drawing>
          <wp:anchor distT="0" distB="0" distL="0" distR="0" simplePos="0" relativeHeight="251658240" behindDoc="0" locked="0" layoutInCell="1" hidden="0" allowOverlap="1" wp14:anchorId="6B23979C" wp14:editId="4F7C325C">
            <wp:simplePos x="0" y="0"/>
            <wp:positionH relativeFrom="column">
              <wp:posOffset>1581150</wp:posOffset>
            </wp:positionH>
            <wp:positionV relativeFrom="paragraph">
              <wp:posOffset>581025</wp:posOffset>
            </wp:positionV>
            <wp:extent cx="3690938" cy="2538212"/>
            <wp:effectExtent l="0" t="0" r="0" b="0"/>
            <wp:wrapSquare wrapText="bothSides" distT="0" distB="0" distL="0" distR="0"/>
            <wp:docPr id="3"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6"/>
                    <a:srcRect/>
                    <a:stretch>
                      <a:fillRect/>
                    </a:stretch>
                  </pic:blipFill>
                  <pic:spPr>
                    <a:xfrm>
                      <a:off x="0" y="0"/>
                      <a:ext cx="3690938" cy="2538212"/>
                    </a:xfrm>
                    <a:prstGeom prst="rect">
                      <a:avLst/>
                    </a:prstGeom>
                    <a:ln/>
                  </pic:spPr>
                </pic:pic>
              </a:graphicData>
            </a:graphic>
          </wp:anchor>
        </w:drawing>
      </w:r>
    </w:p>
    <w:p w14:paraId="24CD334E" w14:textId="77777777" w:rsidR="00AC6E1B" w:rsidRPr="00020B61" w:rsidRDefault="00AC6E1B">
      <w:pPr>
        <w:spacing w:line="480" w:lineRule="auto"/>
        <w:jc w:val="center"/>
        <w:rPr>
          <w:rFonts w:ascii="Times New Roman" w:eastAsia="Times New Roman" w:hAnsi="Times New Roman" w:cs="Times New Roman"/>
          <w:sz w:val="24"/>
          <w:szCs w:val="24"/>
        </w:rPr>
      </w:pPr>
    </w:p>
    <w:p w14:paraId="6F35F84C" w14:textId="77777777" w:rsidR="00AC6E1B" w:rsidRPr="00020B61" w:rsidRDefault="00AC6E1B">
      <w:pPr>
        <w:spacing w:line="480" w:lineRule="auto"/>
        <w:jc w:val="center"/>
        <w:rPr>
          <w:rFonts w:ascii="Times New Roman" w:eastAsia="Times New Roman" w:hAnsi="Times New Roman" w:cs="Times New Roman"/>
          <w:sz w:val="24"/>
          <w:szCs w:val="24"/>
        </w:rPr>
      </w:pPr>
    </w:p>
    <w:p w14:paraId="048367F6" w14:textId="77777777" w:rsidR="00AC6E1B" w:rsidRPr="00020B61" w:rsidRDefault="00AC6E1B">
      <w:pPr>
        <w:spacing w:line="480" w:lineRule="auto"/>
        <w:jc w:val="center"/>
        <w:rPr>
          <w:rFonts w:ascii="Times New Roman" w:eastAsia="Times New Roman" w:hAnsi="Times New Roman" w:cs="Times New Roman"/>
          <w:sz w:val="24"/>
          <w:szCs w:val="24"/>
        </w:rPr>
      </w:pPr>
    </w:p>
    <w:p w14:paraId="4037EEA8" w14:textId="77777777" w:rsidR="00AC6E1B" w:rsidRPr="00020B61" w:rsidRDefault="00AC6E1B">
      <w:pPr>
        <w:spacing w:line="480" w:lineRule="auto"/>
        <w:jc w:val="center"/>
        <w:rPr>
          <w:rFonts w:ascii="Times New Roman" w:eastAsia="Times New Roman" w:hAnsi="Times New Roman" w:cs="Times New Roman"/>
          <w:sz w:val="24"/>
          <w:szCs w:val="24"/>
        </w:rPr>
      </w:pPr>
    </w:p>
    <w:p w14:paraId="3CCB75E7" w14:textId="77777777" w:rsidR="00AC6E1B" w:rsidRPr="00020B61" w:rsidRDefault="00AC6E1B">
      <w:pPr>
        <w:spacing w:line="480" w:lineRule="auto"/>
        <w:jc w:val="center"/>
        <w:rPr>
          <w:rFonts w:ascii="Times New Roman" w:eastAsia="Times New Roman" w:hAnsi="Times New Roman" w:cs="Times New Roman"/>
          <w:sz w:val="24"/>
          <w:szCs w:val="24"/>
        </w:rPr>
      </w:pPr>
    </w:p>
    <w:p w14:paraId="6476F4B5" w14:textId="77777777" w:rsidR="00AC6E1B" w:rsidRPr="00020B61" w:rsidRDefault="00AC6E1B">
      <w:pPr>
        <w:spacing w:line="480" w:lineRule="auto"/>
        <w:jc w:val="center"/>
        <w:rPr>
          <w:rFonts w:ascii="Times New Roman" w:eastAsia="Times New Roman" w:hAnsi="Times New Roman" w:cs="Times New Roman"/>
          <w:sz w:val="24"/>
          <w:szCs w:val="24"/>
        </w:rPr>
      </w:pPr>
    </w:p>
    <w:p w14:paraId="4296C322" w14:textId="77777777" w:rsidR="00AC6E1B" w:rsidRPr="00020B61" w:rsidRDefault="00AC6E1B">
      <w:pPr>
        <w:spacing w:line="480" w:lineRule="auto"/>
        <w:rPr>
          <w:rFonts w:ascii="Times New Roman" w:eastAsia="Times New Roman" w:hAnsi="Times New Roman" w:cs="Times New Roman"/>
          <w:sz w:val="24"/>
          <w:szCs w:val="24"/>
        </w:rPr>
      </w:pPr>
    </w:p>
    <w:p w14:paraId="2CC8C11A" w14:textId="77777777" w:rsidR="00AC6E1B" w:rsidRPr="00020B61" w:rsidRDefault="00000000">
      <w:pPr>
        <w:spacing w:line="480" w:lineRule="auto"/>
        <w:rPr>
          <w:rFonts w:ascii="Times New Roman" w:eastAsia="Times New Roman" w:hAnsi="Times New Roman" w:cs="Times New Roman"/>
          <w:sz w:val="24"/>
          <w:szCs w:val="24"/>
        </w:rPr>
      </w:pPr>
      <w:r w:rsidRPr="00020B61">
        <w:rPr>
          <w:rFonts w:ascii="Times New Roman" w:eastAsia="Times New Roman" w:hAnsi="Times New Roman" w:cs="Times New Roman"/>
          <w:sz w:val="24"/>
          <w:szCs w:val="24"/>
        </w:rPr>
        <w:t>Data is represented as mean and standard errors of the mean. Asterisks indicate significant differences from vehicle-treated control cells.</w:t>
      </w:r>
    </w:p>
    <w:p w14:paraId="2CA4BC71" w14:textId="77777777" w:rsidR="00AC6E1B" w:rsidRPr="00020B61" w:rsidRDefault="00000000">
      <w:pPr>
        <w:spacing w:line="480" w:lineRule="auto"/>
        <w:rPr>
          <w:rFonts w:ascii="Times New Roman" w:eastAsia="Times New Roman" w:hAnsi="Times New Roman" w:cs="Times New Roman"/>
          <w:sz w:val="24"/>
          <w:szCs w:val="24"/>
        </w:rPr>
      </w:pPr>
      <w:r w:rsidRPr="00020B61">
        <w:rPr>
          <w:rFonts w:ascii="Times New Roman" w:eastAsia="Times New Roman" w:hAnsi="Times New Roman" w:cs="Times New Roman"/>
          <w:sz w:val="24"/>
          <w:szCs w:val="24"/>
        </w:rPr>
        <w:t xml:space="preserve">(*P&lt;0.05, post-hoc Tukey's HSD test) </w:t>
      </w:r>
    </w:p>
    <w:p w14:paraId="46DE0528" w14:textId="77777777" w:rsidR="00AC6E1B" w:rsidRPr="00020B61" w:rsidRDefault="00AC6E1B">
      <w:pPr>
        <w:spacing w:line="480" w:lineRule="auto"/>
        <w:rPr>
          <w:rFonts w:ascii="Times New Roman" w:eastAsia="Times New Roman" w:hAnsi="Times New Roman" w:cs="Times New Roman"/>
          <w:sz w:val="24"/>
          <w:szCs w:val="24"/>
        </w:rPr>
      </w:pPr>
    </w:p>
    <w:p w14:paraId="4E789BA8" w14:textId="77777777" w:rsidR="00AC6E1B" w:rsidRPr="00020B61" w:rsidRDefault="00000000">
      <w:pPr>
        <w:spacing w:line="480" w:lineRule="auto"/>
        <w:rPr>
          <w:rFonts w:ascii="Times New Roman" w:eastAsia="Times New Roman" w:hAnsi="Times New Roman" w:cs="Times New Roman"/>
          <w:sz w:val="24"/>
          <w:szCs w:val="24"/>
        </w:rPr>
      </w:pPr>
      <w:r w:rsidRPr="00020B61">
        <w:rPr>
          <w:rFonts w:ascii="Times New Roman" w:eastAsia="Times New Roman" w:hAnsi="Times New Roman" w:cs="Times New Roman"/>
          <w:sz w:val="24"/>
          <w:szCs w:val="24"/>
        </w:rPr>
        <w:t>Supplementary Table A1: Primers for human cytokines and housekeeping genes used for qualitative RT-PCR.</w:t>
      </w:r>
    </w:p>
    <w:tbl>
      <w:tblPr>
        <w:tblStyle w:val="a"/>
        <w:tblW w:w="10980" w:type="dxa"/>
        <w:tblInd w:w="-67" w:type="dxa"/>
        <w:tblBorders>
          <w:top w:val="nil"/>
          <w:left w:val="nil"/>
          <w:bottom w:val="nil"/>
          <w:right w:val="nil"/>
        </w:tblBorders>
        <w:tblLayout w:type="fixed"/>
        <w:tblLook w:val="0400" w:firstRow="0" w:lastRow="0" w:firstColumn="0" w:lastColumn="0" w:noHBand="0" w:noVBand="1"/>
      </w:tblPr>
      <w:tblGrid>
        <w:gridCol w:w="833"/>
        <w:gridCol w:w="1312"/>
        <w:gridCol w:w="2415"/>
        <w:gridCol w:w="3120"/>
        <w:gridCol w:w="3300"/>
      </w:tblGrid>
      <w:tr w:rsidR="00AC6E1B" w:rsidRPr="00020B61" w14:paraId="0404D027" w14:textId="77777777">
        <w:tc>
          <w:tcPr>
            <w:tcW w:w="833" w:type="dxa"/>
            <w:tcBorders>
              <w:top w:val="single" w:sz="4" w:space="0" w:color="000000"/>
              <w:left w:val="single" w:sz="4" w:space="0" w:color="000000"/>
              <w:bottom w:val="single" w:sz="4" w:space="0" w:color="000000"/>
              <w:right w:val="single" w:sz="4" w:space="0" w:color="000000"/>
            </w:tcBorders>
            <w:shd w:val="clear" w:color="auto" w:fill="D9D9D9"/>
            <w:tcMar>
              <w:top w:w="40" w:type="dxa"/>
              <w:left w:w="40" w:type="dxa"/>
              <w:bottom w:w="40" w:type="dxa"/>
              <w:right w:w="40" w:type="dxa"/>
            </w:tcMar>
          </w:tcPr>
          <w:p w14:paraId="03F86ADB" w14:textId="77777777" w:rsidR="00AC6E1B" w:rsidRPr="00020B61" w:rsidRDefault="00000000">
            <w:pPr>
              <w:widowControl w:val="0"/>
              <w:spacing w:line="240" w:lineRule="auto"/>
              <w:jc w:val="center"/>
              <w:rPr>
                <w:rFonts w:ascii="Times New Roman" w:eastAsia="Times New Roman" w:hAnsi="Times New Roman" w:cs="Times New Roman"/>
                <w:sz w:val="24"/>
                <w:szCs w:val="24"/>
              </w:rPr>
            </w:pPr>
            <w:r w:rsidRPr="00020B61">
              <w:rPr>
                <w:rFonts w:ascii="Times New Roman" w:eastAsia="Times New Roman" w:hAnsi="Times New Roman" w:cs="Times New Roman"/>
                <w:b/>
                <w:sz w:val="24"/>
                <w:szCs w:val="24"/>
              </w:rPr>
              <w:t>Gene</w:t>
            </w:r>
          </w:p>
        </w:tc>
        <w:tc>
          <w:tcPr>
            <w:tcW w:w="1312" w:type="dxa"/>
            <w:tcBorders>
              <w:top w:val="single" w:sz="4" w:space="0" w:color="000000"/>
              <w:left w:val="single" w:sz="4" w:space="0" w:color="CCCCCC"/>
              <w:bottom w:val="single" w:sz="4" w:space="0" w:color="000000"/>
              <w:right w:val="single" w:sz="4" w:space="0" w:color="000000"/>
            </w:tcBorders>
            <w:shd w:val="clear" w:color="auto" w:fill="D9D9D9"/>
            <w:tcMar>
              <w:top w:w="40" w:type="dxa"/>
              <w:left w:w="40" w:type="dxa"/>
              <w:bottom w:w="40" w:type="dxa"/>
              <w:right w:w="40" w:type="dxa"/>
            </w:tcMar>
          </w:tcPr>
          <w:p w14:paraId="6C27F978" w14:textId="77777777" w:rsidR="00AC6E1B" w:rsidRPr="00020B61" w:rsidRDefault="00000000">
            <w:pPr>
              <w:widowControl w:val="0"/>
              <w:spacing w:line="240" w:lineRule="auto"/>
              <w:jc w:val="center"/>
              <w:rPr>
                <w:rFonts w:ascii="Times New Roman" w:eastAsia="Times New Roman" w:hAnsi="Times New Roman" w:cs="Times New Roman"/>
                <w:sz w:val="24"/>
                <w:szCs w:val="24"/>
              </w:rPr>
            </w:pPr>
            <w:r w:rsidRPr="00020B61">
              <w:rPr>
                <w:rFonts w:ascii="Times New Roman" w:eastAsia="Times New Roman" w:hAnsi="Times New Roman" w:cs="Times New Roman"/>
                <w:b/>
                <w:sz w:val="24"/>
                <w:szCs w:val="24"/>
              </w:rPr>
              <w:t>RefSeq</w:t>
            </w:r>
          </w:p>
        </w:tc>
        <w:tc>
          <w:tcPr>
            <w:tcW w:w="2415" w:type="dxa"/>
            <w:tcBorders>
              <w:top w:val="single" w:sz="4" w:space="0" w:color="000000"/>
              <w:left w:val="single" w:sz="4" w:space="0" w:color="CCCCCC"/>
              <w:bottom w:val="single" w:sz="4" w:space="0" w:color="000000"/>
              <w:right w:val="single" w:sz="4" w:space="0" w:color="000000"/>
            </w:tcBorders>
            <w:shd w:val="clear" w:color="auto" w:fill="D9D9D9"/>
            <w:tcMar>
              <w:top w:w="40" w:type="dxa"/>
              <w:left w:w="40" w:type="dxa"/>
              <w:bottom w:w="40" w:type="dxa"/>
              <w:right w:w="40" w:type="dxa"/>
            </w:tcMar>
          </w:tcPr>
          <w:p w14:paraId="549A6D59" w14:textId="77777777" w:rsidR="00AC6E1B" w:rsidRPr="00020B61" w:rsidRDefault="00000000">
            <w:pPr>
              <w:widowControl w:val="0"/>
              <w:spacing w:line="240" w:lineRule="auto"/>
              <w:jc w:val="center"/>
              <w:rPr>
                <w:rFonts w:ascii="Times New Roman" w:eastAsia="Times New Roman" w:hAnsi="Times New Roman" w:cs="Times New Roman"/>
                <w:sz w:val="24"/>
                <w:szCs w:val="24"/>
              </w:rPr>
            </w:pPr>
            <w:r w:rsidRPr="00020B61">
              <w:rPr>
                <w:rFonts w:ascii="Times New Roman" w:eastAsia="Times New Roman" w:hAnsi="Times New Roman" w:cs="Times New Roman"/>
                <w:b/>
                <w:sz w:val="24"/>
                <w:szCs w:val="24"/>
              </w:rPr>
              <w:t>Gene name</w:t>
            </w:r>
          </w:p>
        </w:tc>
        <w:tc>
          <w:tcPr>
            <w:tcW w:w="3120" w:type="dxa"/>
            <w:tcBorders>
              <w:top w:val="single" w:sz="4" w:space="0" w:color="000000"/>
              <w:left w:val="single" w:sz="4" w:space="0" w:color="CCCCCC"/>
              <w:bottom w:val="single" w:sz="4" w:space="0" w:color="000000"/>
              <w:right w:val="single" w:sz="4" w:space="0" w:color="000000"/>
            </w:tcBorders>
            <w:shd w:val="clear" w:color="auto" w:fill="D9D9D9"/>
            <w:tcMar>
              <w:top w:w="40" w:type="dxa"/>
              <w:left w:w="40" w:type="dxa"/>
              <w:bottom w:w="40" w:type="dxa"/>
              <w:right w:w="40" w:type="dxa"/>
            </w:tcMar>
          </w:tcPr>
          <w:p w14:paraId="4361D9CE" w14:textId="77777777" w:rsidR="00AC6E1B" w:rsidRPr="00020B61" w:rsidRDefault="00000000">
            <w:pPr>
              <w:widowControl w:val="0"/>
              <w:spacing w:line="240" w:lineRule="auto"/>
              <w:jc w:val="center"/>
              <w:rPr>
                <w:rFonts w:ascii="Times New Roman" w:eastAsia="Times New Roman" w:hAnsi="Times New Roman" w:cs="Times New Roman"/>
                <w:sz w:val="24"/>
                <w:szCs w:val="24"/>
              </w:rPr>
            </w:pPr>
            <w:r w:rsidRPr="00020B61">
              <w:rPr>
                <w:rFonts w:ascii="Times New Roman" w:eastAsia="Times New Roman" w:hAnsi="Times New Roman" w:cs="Times New Roman"/>
                <w:b/>
                <w:sz w:val="24"/>
                <w:szCs w:val="24"/>
              </w:rPr>
              <w:t>Forward Primer (5′-3′)</w:t>
            </w:r>
          </w:p>
        </w:tc>
        <w:tc>
          <w:tcPr>
            <w:tcW w:w="3300" w:type="dxa"/>
            <w:tcBorders>
              <w:top w:val="single" w:sz="4" w:space="0" w:color="000000"/>
              <w:left w:val="single" w:sz="4" w:space="0" w:color="CCCCCC"/>
              <w:bottom w:val="single" w:sz="4" w:space="0" w:color="000000"/>
              <w:right w:val="single" w:sz="4" w:space="0" w:color="000000"/>
            </w:tcBorders>
            <w:shd w:val="clear" w:color="auto" w:fill="D9D9D9"/>
            <w:tcMar>
              <w:top w:w="40" w:type="dxa"/>
              <w:left w:w="40" w:type="dxa"/>
              <w:bottom w:w="40" w:type="dxa"/>
              <w:right w:w="40" w:type="dxa"/>
            </w:tcMar>
          </w:tcPr>
          <w:p w14:paraId="1BED91F3" w14:textId="77777777" w:rsidR="00AC6E1B" w:rsidRPr="00020B61" w:rsidRDefault="00000000">
            <w:pPr>
              <w:widowControl w:val="0"/>
              <w:spacing w:line="240" w:lineRule="auto"/>
              <w:jc w:val="center"/>
              <w:rPr>
                <w:rFonts w:ascii="Times New Roman" w:eastAsia="Times New Roman" w:hAnsi="Times New Roman" w:cs="Times New Roman"/>
                <w:sz w:val="24"/>
                <w:szCs w:val="24"/>
              </w:rPr>
            </w:pPr>
            <w:r w:rsidRPr="00020B61">
              <w:rPr>
                <w:rFonts w:ascii="Times New Roman" w:eastAsia="Times New Roman" w:hAnsi="Times New Roman" w:cs="Times New Roman"/>
                <w:b/>
                <w:sz w:val="24"/>
                <w:szCs w:val="24"/>
              </w:rPr>
              <w:t>Reverse Primer (5′-3′)</w:t>
            </w:r>
          </w:p>
        </w:tc>
      </w:tr>
      <w:tr w:rsidR="00AC6E1B" w:rsidRPr="00020B61" w14:paraId="3522B037" w14:textId="77777777">
        <w:trPr>
          <w:trHeight w:val="94"/>
        </w:trPr>
        <w:tc>
          <w:tcPr>
            <w:tcW w:w="833" w:type="dxa"/>
            <w:tcBorders>
              <w:top w:val="single" w:sz="4" w:space="0" w:color="CCCCCC"/>
              <w:left w:val="single" w:sz="4" w:space="0" w:color="000000"/>
              <w:bottom w:val="single" w:sz="4" w:space="0" w:color="000000"/>
              <w:right w:val="single" w:sz="4" w:space="0" w:color="000000"/>
            </w:tcBorders>
            <w:tcMar>
              <w:top w:w="40" w:type="dxa"/>
              <w:left w:w="40" w:type="dxa"/>
              <w:bottom w:w="40" w:type="dxa"/>
              <w:right w:w="40" w:type="dxa"/>
            </w:tcMar>
            <w:vAlign w:val="bottom"/>
          </w:tcPr>
          <w:p w14:paraId="47B21679" w14:textId="77777777" w:rsidR="00AC6E1B" w:rsidRPr="00020B61" w:rsidRDefault="00000000">
            <w:pPr>
              <w:widowControl w:val="0"/>
              <w:spacing w:line="240" w:lineRule="auto"/>
              <w:jc w:val="center"/>
              <w:rPr>
                <w:rFonts w:ascii="Times New Roman" w:eastAsia="Times New Roman" w:hAnsi="Times New Roman" w:cs="Times New Roman"/>
                <w:sz w:val="20"/>
                <w:szCs w:val="20"/>
              </w:rPr>
            </w:pPr>
            <w:r w:rsidRPr="00020B61">
              <w:rPr>
                <w:rFonts w:ascii="Times New Roman" w:eastAsia="Times New Roman" w:hAnsi="Times New Roman" w:cs="Times New Roman"/>
                <w:sz w:val="20"/>
                <w:szCs w:val="20"/>
              </w:rPr>
              <w:t>TNF-α</w:t>
            </w:r>
          </w:p>
        </w:tc>
        <w:tc>
          <w:tcPr>
            <w:tcW w:w="1312"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1615038A" w14:textId="77777777" w:rsidR="00AC6E1B" w:rsidRPr="00020B61" w:rsidRDefault="00000000">
            <w:pPr>
              <w:widowControl w:val="0"/>
              <w:spacing w:line="240" w:lineRule="auto"/>
              <w:jc w:val="center"/>
              <w:rPr>
                <w:rFonts w:ascii="Times New Roman" w:eastAsia="Times New Roman" w:hAnsi="Times New Roman" w:cs="Times New Roman"/>
                <w:sz w:val="20"/>
                <w:szCs w:val="20"/>
              </w:rPr>
            </w:pPr>
            <w:r w:rsidRPr="00020B61">
              <w:rPr>
                <w:rFonts w:ascii="Times New Roman" w:eastAsia="Times New Roman" w:hAnsi="Times New Roman" w:cs="Times New Roman"/>
                <w:sz w:val="20"/>
                <w:szCs w:val="20"/>
              </w:rPr>
              <w:t>NM_000594.4</w:t>
            </w:r>
          </w:p>
        </w:tc>
        <w:tc>
          <w:tcPr>
            <w:tcW w:w="241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3F3587F8" w14:textId="77777777" w:rsidR="00AC6E1B" w:rsidRPr="00020B61" w:rsidRDefault="00000000">
            <w:pPr>
              <w:widowControl w:val="0"/>
              <w:spacing w:line="240" w:lineRule="auto"/>
              <w:jc w:val="center"/>
              <w:rPr>
                <w:rFonts w:ascii="Times New Roman" w:eastAsia="Times New Roman" w:hAnsi="Times New Roman" w:cs="Times New Roman"/>
                <w:sz w:val="20"/>
                <w:szCs w:val="20"/>
              </w:rPr>
            </w:pPr>
            <w:r w:rsidRPr="00020B61">
              <w:rPr>
                <w:rFonts w:ascii="Times New Roman" w:eastAsia="Times New Roman" w:hAnsi="Times New Roman" w:cs="Times New Roman"/>
                <w:sz w:val="20"/>
                <w:szCs w:val="20"/>
              </w:rPr>
              <w:t>Tumor necrosis factor-alpha</w:t>
            </w:r>
          </w:p>
        </w:tc>
        <w:tc>
          <w:tcPr>
            <w:tcW w:w="312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03AE0FD6" w14:textId="77777777" w:rsidR="00AC6E1B" w:rsidRPr="00020B61" w:rsidRDefault="00000000">
            <w:pPr>
              <w:widowControl w:val="0"/>
              <w:spacing w:line="240" w:lineRule="auto"/>
              <w:jc w:val="center"/>
              <w:rPr>
                <w:rFonts w:ascii="Times New Roman" w:eastAsia="Times New Roman" w:hAnsi="Times New Roman" w:cs="Times New Roman"/>
                <w:sz w:val="20"/>
                <w:szCs w:val="20"/>
              </w:rPr>
            </w:pPr>
            <w:r w:rsidRPr="00020B61">
              <w:rPr>
                <w:rFonts w:ascii="Times New Roman" w:eastAsia="Times New Roman" w:hAnsi="Times New Roman" w:cs="Times New Roman"/>
                <w:sz w:val="20"/>
                <w:szCs w:val="20"/>
              </w:rPr>
              <w:t>GCTGCACTTTGGAGTGATCG</w:t>
            </w:r>
          </w:p>
        </w:tc>
        <w:tc>
          <w:tcPr>
            <w:tcW w:w="330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47A236F2" w14:textId="77777777" w:rsidR="00AC6E1B" w:rsidRPr="00020B61" w:rsidRDefault="00000000">
            <w:pPr>
              <w:widowControl w:val="0"/>
              <w:spacing w:line="240" w:lineRule="auto"/>
              <w:jc w:val="center"/>
              <w:rPr>
                <w:rFonts w:ascii="Times New Roman" w:eastAsia="Times New Roman" w:hAnsi="Times New Roman" w:cs="Times New Roman"/>
                <w:sz w:val="20"/>
                <w:szCs w:val="20"/>
              </w:rPr>
            </w:pPr>
            <w:r w:rsidRPr="00020B61">
              <w:rPr>
                <w:rFonts w:ascii="Times New Roman" w:eastAsia="Times New Roman" w:hAnsi="Times New Roman" w:cs="Times New Roman"/>
                <w:sz w:val="20"/>
                <w:szCs w:val="20"/>
              </w:rPr>
              <w:t>GCTTGAGGGTTTGCTACAACA</w:t>
            </w:r>
          </w:p>
        </w:tc>
      </w:tr>
      <w:tr w:rsidR="00AC6E1B" w:rsidRPr="00020B61" w14:paraId="618D964E" w14:textId="77777777">
        <w:trPr>
          <w:trHeight w:val="75"/>
        </w:trPr>
        <w:tc>
          <w:tcPr>
            <w:tcW w:w="833" w:type="dxa"/>
            <w:tcBorders>
              <w:top w:val="single" w:sz="4" w:space="0" w:color="CCCCCC"/>
              <w:left w:val="single" w:sz="4" w:space="0" w:color="000000"/>
              <w:bottom w:val="single" w:sz="4" w:space="0" w:color="000000"/>
              <w:right w:val="single" w:sz="4" w:space="0" w:color="000000"/>
            </w:tcBorders>
            <w:tcMar>
              <w:top w:w="40" w:type="dxa"/>
              <w:left w:w="40" w:type="dxa"/>
              <w:bottom w:w="40" w:type="dxa"/>
              <w:right w:w="40" w:type="dxa"/>
            </w:tcMar>
            <w:vAlign w:val="bottom"/>
          </w:tcPr>
          <w:p w14:paraId="0ECF00B4" w14:textId="77777777" w:rsidR="00AC6E1B" w:rsidRPr="00020B61" w:rsidRDefault="00000000">
            <w:pPr>
              <w:widowControl w:val="0"/>
              <w:spacing w:line="240" w:lineRule="auto"/>
              <w:jc w:val="center"/>
              <w:rPr>
                <w:rFonts w:ascii="Times New Roman" w:eastAsia="Times New Roman" w:hAnsi="Times New Roman" w:cs="Times New Roman"/>
                <w:sz w:val="20"/>
                <w:szCs w:val="20"/>
              </w:rPr>
            </w:pPr>
            <w:r w:rsidRPr="00020B61">
              <w:rPr>
                <w:rFonts w:ascii="Times New Roman" w:eastAsia="Times New Roman" w:hAnsi="Times New Roman" w:cs="Times New Roman"/>
                <w:sz w:val="20"/>
                <w:szCs w:val="20"/>
              </w:rPr>
              <w:t>IL-1β</w:t>
            </w:r>
          </w:p>
        </w:tc>
        <w:tc>
          <w:tcPr>
            <w:tcW w:w="1312"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365AC13F" w14:textId="77777777" w:rsidR="00AC6E1B" w:rsidRPr="00020B61" w:rsidRDefault="00000000">
            <w:pPr>
              <w:widowControl w:val="0"/>
              <w:spacing w:line="240" w:lineRule="auto"/>
              <w:jc w:val="center"/>
              <w:rPr>
                <w:rFonts w:ascii="Times New Roman" w:eastAsia="Times New Roman" w:hAnsi="Times New Roman" w:cs="Times New Roman"/>
                <w:sz w:val="20"/>
                <w:szCs w:val="20"/>
              </w:rPr>
            </w:pPr>
            <w:r w:rsidRPr="00020B61">
              <w:rPr>
                <w:rFonts w:ascii="Times New Roman" w:eastAsia="Times New Roman" w:hAnsi="Times New Roman" w:cs="Times New Roman"/>
                <w:sz w:val="20"/>
                <w:szCs w:val="20"/>
              </w:rPr>
              <w:t>NM_000576.3</w:t>
            </w:r>
          </w:p>
        </w:tc>
        <w:tc>
          <w:tcPr>
            <w:tcW w:w="241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52B46F25" w14:textId="77777777" w:rsidR="00AC6E1B" w:rsidRPr="00020B61" w:rsidRDefault="00000000">
            <w:pPr>
              <w:widowControl w:val="0"/>
              <w:spacing w:line="240" w:lineRule="auto"/>
              <w:jc w:val="center"/>
              <w:rPr>
                <w:rFonts w:ascii="Times New Roman" w:eastAsia="Times New Roman" w:hAnsi="Times New Roman" w:cs="Times New Roman"/>
                <w:sz w:val="20"/>
                <w:szCs w:val="20"/>
              </w:rPr>
            </w:pPr>
            <w:r w:rsidRPr="00020B61">
              <w:rPr>
                <w:rFonts w:ascii="Times New Roman" w:eastAsia="Times New Roman" w:hAnsi="Times New Roman" w:cs="Times New Roman"/>
                <w:sz w:val="20"/>
                <w:szCs w:val="20"/>
              </w:rPr>
              <w:t>Interleukin-1 beta</w:t>
            </w:r>
          </w:p>
        </w:tc>
        <w:tc>
          <w:tcPr>
            <w:tcW w:w="312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6F18AF70" w14:textId="77777777" w:rsidR="00AC6E1B" w:rsidRPr="00020B61" w:rsidRDefault="00000000">
            <w:pPr>
              <w:widowControl w:val="0"/>
              <w:spacing w:line="240" w:lineRule="auto"/>
              <w:jc w:val="center"/>
              <w:rPr>
                <w:rFonts w:ascii="Times New Roman" w:eastAsia="Times New Roman" w:hAnsi="Times New Roman" w:cs="Times New Roman"/>
                <w:sz w:val="20"/>
                <w:szCs w:val="20"/>
              </w:rPr>
            </w:pPr>
            <w:r w:rsidRPr="00020B61">
              <w:rPr>
                <w:rFonts w:ascii="Times New Roman" w:eastAsia="Times New Roman" w:hAnsi="Times New Roman" w:cs="Times New Roman"/>
                <w:sz w:val="20"/>
                <w:szCs w:val="20"/>
              </w:rPr>
              <w:t>GCTCGCCAGTGAAATGATGG</w:t>
            </w:r>
          </w:p>
        </w:tc>
        <w:tc>
          <w:tcPr>
            <w:tcW w:w="330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210F4317" w14:textId="77777777" w:rsidR="00AC6E1B" w:rsidRPr="00020B61" w:rsidRDefault="00000000">
            <w:pPr>
              <w:widowControl w:val="0"/>
              <w:spacing w:line="240" w:lineRule="auto"/>
              <w:jc w:val="center"/>
              <w:rPr>
                <w:rFonts w:ascii="Times New Roman" w:eastAsia="Times New Roman" w:hAnsi="Times New Roman" w:cs="Times New Roman"/>
                <w:sz w:val="20"/>
                <w:szCs w:val="20"/>
              </w:rPr>
            </w:pPr>
            <w:r w:rsidRPr="00020B61">
              <w:rPr>
                <w:rFonts w:ascii="Times New Roman" w:eastAsia="Times New Roman" w:hAnsi="Times New Roman" w:cs="Times New Roman"/>
                <w:sz w:val="20"/>
                <w:szCs w:val="20"/>
              </w:rPr>
              <w:t>ATGGAGAACACCACTTGTTGC</w:t>
            </w:r>
          </w:p>
        </w:tc>
      </w:tr>
      <w:tr w:rsidR="00AC6E1B" w:rsidRPr="00020B61" w14:paraId="36497DB6" w14:textId="77777777">
        <w:trPr>
          <w:trHeight w:val="60"/>
        </w:trPr>
        <w:tc>
          <w:tcPr>
            <w:tcW w:w="833" w:type="dxa"/>
            <w:tcBorders>
              <w:top w:val="single" w:sz="4" w:space="0" w:color="CCCCCC"/>
              <w:left w:val="single" w:sz="4" w:space="0" w:color="000000"/>
              <w:bottom w:val="single" w:sz="4" w:space="0" w:color="000000"/>
              <w:right w:val="single" w:sz="4" w:space="0" w:color="000000"/>
            </w:tcBorders>
            <w:tcMar>
              <w:top w:w="40" w:type="dxa"/>
              <w:left w:w="40" w:type="dxa"/>
              <w:bottom w:w="40" w:type="dxa"/>
              <w:right w:w="40" w:type="dxa"/>
            </w:tcMar>
            <w:vAlign w:val="bottom"/>
          </w:tcPr>
          <w:p w14:paraId="0FCC1D15" w14:textId="77777777" w:rsidR="00AC6E1B" w:rsidRPr="00020B61" w:rsidRDefault="00000000">
            <w:pPr>
              <w:widowControl w:val="0"/>
              <w:spacing w:line="240" w:lineRule="auto"/>
              <w:jc w:val="center"/>
              <w:rPr>
                <w:rFonts w:ascii="Times New Roman" w:eastAsia="Times New Roman" w:hAnsi="Times New Roman" w:cs="Times New Roman"/>
                <w:sz w:val="20"/>
                <w:szCs w:val="20"/>
              </w:rPr>
            </w:pPr>
            <w:r w:rsidRPr="00020B61">
              <w:rPr>
                <w:rFonts w:ascii="Times New Roman" w:eastAsia="Times New Roman" w:hAnsi="Times New Roman" w:cs="Times New Roman"/>
                <w:sz w:val="20"/>
                <w:szCs w:val="20"/>
              </w:rPr>
              <w:t>IL-6</w:t>
            </w:r>
          </w:p>
        </w:tc>
        <w:tc>
          <w:tcPr>
            <w:tcW w:w="1312"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248473F1" w14:textId="77777777" w:rsidR="00AC6E1B" w:rsidRPr="00020B61" w:rsidRDefault="00000000">
            <w:pPr>
              <w:widowControl w:val="0"/>
              <w:spacing w:line="240" w:lineRule="auto"/>
              <w:jc w:val="center"/>
              <w:rPr>
                <w:rFonts w:ascii="Times New Roman" w:eastAsia="Times New Roman" w:hAnsi="Times New Roman" w:cs="Times New Roman"/>
                <w:sz w:val="20"/>
                <w:szCs w:val="20"/>
              </w:rPr>
            </w:pPr>
            <w:r w:rsidRPr="00020B61">
              <w:rPr>
                <w:rFonts w:ascii="Times New Roman" w:eastAsia="Times New Roman" w:hAnsi="Times New Roman" w:cs="Times New Roman"/>
                <w:sz w:val="20"/>
                <w:szCs w:val="20"/>
              </w:rPr>
              <w:t>NM_000600.5</w:t>
            </w:r>
          </w:p>
        </w:tc>
        <w:tc>
          <w:tcPr>
            <w:tcW w:w="241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086098B4" w14:textId="77777777" w:rsidR="00AC6E1B" w:rsidRPr="00020B61" w:rsidRDefault="00000000">
            <w:pPr>
              <w:widowControl w:val="0"/>
              <w:spacing w:line="240" w:lineRule="auto"/>
              <w:jc w:val="center"/>
              <w:rPr>
                <w:rFonts w:ascii="Times New Roman" w:eastAsia="Times New Roman" w:hAnsi="Times New Roman" w:cs="Times New Roman"/>
                <w:sz w:val="20"/>
                <w:szCs w:val="20"/>
              </w:rPr>
            </w:pPr>
            <w:r w:rsidRPr="00020B61">
              <w:rPr>
                <w:rFonts w:ascii="Times New Roman" w:eastAsia="Times New Roman" w:hAnsi="Times New Roman" w:cs="Times New Roman"/>
                <w:sz w:val="20"/>
                <w:szCs w:val="20"/>
              </w:rPr>
              <w:t>Interleukin-6</w:t>
            </w:r>
          </w:p>
        </w:tc>
        <w:tc>
          <w:tcPr>
            <w:tcW w:w="312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7CCEF50C" w14:textId="77777777" w:rsidR="00AC6E1B" w:rsidRPr="00020B61" w:rsidRDefault="00000000">
            <w:pPr>
              <w:widowControl w:val="0"/>
              <w:spacing w:line="240" w:lineRule="auto"/>
              <w:jc w:val="center"/>
              <w:rPr>
                <w:rFonts w:ascii="Times New Roman" w:eastAsia="Times New Roman" w:hAnsi="Times New Roman" w:cs="Times New Roman"/>
                <w:sz w:val="20"/>
                <w:szCs w:val="20"/>
              </w:rPr>
            </w:pPr>
            <w:r w:rsidRPr="00020B61">
              <w:rPr>
                <w:rFonts w:ascii="Times New Roman" w:eastAsia="Times New Roman" w:hAnsi="Times New Roman" w:cs="Times New Roman"/>
                <w:sz w:val="20"/>
                <w:szCs w:val="20"/>
              </w:rPr>
              <w:t>GCCCACCGGGAACGAAAG</w:t>
            </w:r>
          </w:p>
        </w:tc>
        <w:tc>
          <w:tcPr>
            <w:tcW w:w="330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2A9BCE63" w14:textId="77777777" w:rsidR="00AC6E1B" w:rsidRPr="00020B61" w:rsidRDefault="00000000">
            <w:pPr>
              <w:widowControl w:val="0"/>
              <w:spacing w:line="240" w:lineRule="auto"/>
              <w:jc w:val="center"/>
              <w:rPr>
                <w:rFonts w:ascii="Times New Roman" w:eastAsia="Times New Roman" w:hAnsi="Times New Roman" w:cs="Times New Roman"/>
                <w:sz w:val="20"/>
                <w:szCs w:val="20"/>
              </w:rPr>
            </w:pPr>
            <w:r w:rsidRPr="00020B61">
              <w:rPr>
                <w:rFonts w:ascii="Times New Roman" w:eastAsia="Times New Roman" w:hAnsi="Times New Roman" w:cs="Times New Roman"/>
                <w:sz w:val="20"/>
                <w:szCs w:val="20"/>
              </w:rPr>
              <w:t>CGAAGGCGCTTGTGGAG</w:t>
            </w:r>
          </w:p>
        </w:tc>
      </w:tr>
      <w:tr w:rsidR="00AC6E1B" w:rsidRPr="00020B61" w14:paraId="74FD68AE" w14:textId="77777777">
        <w:tc>
          <w:tcPr>
            <w:tcW w:w="833" w:type="dxa"/>
            <w:tcBorders>
              <w:top w:val="single" w:sz="4" w:space="0" w:color="CCCCCC"/>
              <w:left w:val="single" w:sz="4" w:space="0" w:color="000000"/>
              <w:bottom w:val="single" w:sz="4" w:space="0" w:color="000000"/>
              <w:right w:val="single" w:sz="4" w:space="0" w:color="000000"/>
            </w:tcBorders>
            <w:tcMar>
              <w:top w:w="40" w:type="dxa"/>
              <w:left w:w="40" w:type="dxa"/>
              <w:bottom w:w="40" w:type="dxa"/>
              <w:right w:w="40" w:type="dxa"/>
            </w:tcMar>
            <w:vAlign w:val="bottom"/>
          </w:tcPr>
          <w:p w14:paraId="3C688F7A" w14:textId="77777777" w:rsidR="00AC6E1B" w:rsidRPr="00020B61" w:rsidRDefault="00000000">
            <w:pPr>
              <w:widowControl w:val="0"/>
              <w:spacing w:line="240" w:lineRule="auto"/>
              <w:jc w:val="center"/>
              <w:rPr>
                <w:rFonts w:ascii="Times New Roman" w:eastAsia="Times New Roman" w:hAnsi="Times New Roman" w:cs="Times New Roman"/>
                <w:sz w:val="20"/>
                <w:szCs w:val="20"/>
              </w:rPr>
            </w:pPr>
            <w:r w:rsidRPr="00020B61">
              <w:rPr>
                <w:rFonts w:ascii="Times New Roman" w:eastAsia="Times New Roman" w:hAnsi="Times New Roman" w:cs="Times New Roman"/>
                <w:sz w:val="20"/>
                <w:szCs w:val="20"/>
              </w:rPr>
              <w:t>CXCL-1</w:t>
            </w:r>
          </w:p>
        </w:tc>
        <w:tc>
          <w:tcPr>
            <w:tcW w:w="1312"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1255056D" w14:textId="77777777" w:rsidR="00AC6E1B" w:rsidRPr="00020B61" w:rsidRDefault="00000000">
            <w:pPr>
              <w:widowControl w:val="0"/>
              <w:spacing w:line="240" w:lineRule="auto"/>
              <w:jc w:val="center"/>
              <w:rPr>
                <w:rFonts w:ascii="Times New Roman" w:eastAsia="Times New Roman" w:hAnsi="Times New Roman" w:cs="Times New Roman"/>
                <w:sz w:val="20"/>
                <w:szCs w:val="20"/>
              </w:rPr>
            </w:pPr>
            <w:r w:rsidRPr="00020B61">
              <w:rPr>
                <w:rFonts w:ascii="Times New Roman" w:eastAsia="Times New Roman" w:hAnsi="Times New Roman" w:cs="Times New Roman"/>
                <w:sz w:val="20"/>
                <w:szCs w:val="20"/>
              </w:rPr>
              <w:t>NM_001511.4</w:t>
            </w:r>
          </w:p>
        </w:tc>
        <w:tc>
          <w:tcPr>
            <w:tcW w:w="241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62BDF2B9" w14:textId="77777777" w:rsidR="00AC6E1B" w:rsidRPr="00020B61" w:rsidRDefault="00000000">
            <w:pPr>
              <w:widowControl w:val="0"/>
              <w:spacing w:line="240" w:lineRule="auto"/>
              <w:jc w:val="center"/>
              <w:rPr>
                <w:rFonts w:ascii="Times New Roman" w:eastAsia="Times New Roman" w:hAnsi="Times New Roman" w:cs="Times New Roman"/>
                <w:sz w:val="20"/>
                <w:szCs w:val="20"/>
              </w:rPr>
            </w:pPr>
            <w:r w:rsidRPr="00020B61">
              <w:rPr>
                <w:rFonts w:ascii="Times New Roman" w:eastAsia="Times New Roman" w:hAnsi="Times New Roman" w:cs="Times New Roman"/>
                <w:sz w:val="20"/>
                <w:szCs w:val="20"/>
              </w:rPr>
              <w:t>Chemokine ligand 1</w:t>
            </w:r>
          </w:p>
        </w:tc>
        <w:tc>
          <w:tcPr>
            <w:tcW w:w="312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2C159207" w14:textId="77777777" w:rsidR="00AC6E1B" w:rsidRPr="00020B61" w:rsidRDefault="00000000">
            <w:pPr>
              <w:widowControl w:val="0"/>
              <w:spacing w:line="240" w:lineRule="auto"/>
              <w:jc w:val="center"/>
              <w:rPr>
                <w:rFonts w:ascii="Times New Roman" w:eastAsia="Times New Roman" w:hAnsi="Times New Roman" w:cs="Times New Roman"/>
                <w:sz w:val="20"/>
                <w:szCs w:val="20"/>
              </w:rPr>
            </w:pPr>
            <w:r w:rsidRPr="00020B61">
              <w:rPr>
                <w:rFonts w:ascii="Times New Roman" w:eastAsia="Times New Roman" w:hAnsi="Times New Roman" w:cs="Times New Roman"/>
                <w:sz w:val="20"/>
                <w:szCs w:val="20"/>
              </w:rPr>
              <w:t>CCCAAACCGAAGTCATAGCCA</w:t>
            </w:r>
          </w:p>
        </w:tc>
        <w:tc>
          <w:tcPr>
            <w:tcW w:w="330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528FE2D2" w14:textId="77777777" w:rsidR="00AC6E1B" w:rsidRPr="00020B61" w:rsidRDefault="00000000">
            <w:pPr>
              <w:widowControl w:val="0"/>
              <w:spacing w:line="240" w:lineRule="auto"/>
              <w:jc w:val="center"/>
              <w:rPr>
                <w:rFonts w:ascii="Times New Roman" w:eastAsia="Times New Roman" w:hAnsi="Times New Roman" w:cs="Times New Roman"/>
                <w:sz w:val="20"/>
                <w:szCs w:val="20"/>
              </w:rPr>
            </w:pPr>
            <w:r w:rsidRPr="00020B61">
              <w:rPr>
                <w:rFonts w:ascii="Times New Roman" w:eastAsia="Times New Roman" w:hAnsi="Times New Roman" w:cs="Times New Roman"/>
                <w:sz w:val="20"/>
                <w:szCs w:val="20"/>
              </w:rPr>
              <w:t>AAGCCCCTTTGTTCTAAGCCA</w:t>
            </w:r>
          </w:p>
        </w:tc>
      </w:tr>
      <w:tr w:rsidR="00AC6E1B" w:rsidRPr="00020B61" w14:paraId="5BD7E05D" w14:textId="77777777">
        <w:tc>
          <w:tcPr>
            <w:tcW w:w="833" w:type="dxa"/>
            <w:tcBorders>
              <w:top w:val="single" w:sz="4" w:space="0" w:color="CCCCCC"/>
              <w:left w:val="single" w:sz="4" w:space="0" w:color="000000"/>
              <w:bottom w:val="single" w:sz="4" w:space="0" w:color="000000"/>
              <w:right w:val="single" w:sz="4" w:space="0" w:color="000000"/>
            </w:tcBorders>
            <w:tcMar>
              <w:top w:w="40" w:type="dxa"/>
              <w:left w:w="40" w:type="dxa"/>
              <w:bottom w:w="40" w:type="dxa"/>
              <w:right w:w="40" w:type="dxa"/>
            </w:tcMar>
            <w:vAlign w:val="bottom"/>
          </w:tcPr>
          <w:p w14:paraId="38A5C59C" w14:textId="77777777" w:rsidR="00AC6E1B" w:rsidRPr="00020B61" w:rsidRDefault="00000000">
            <w:pPr>
              <w:widowControl w:val="0"/>
              <w:spacing w:line="240" w:lineRule="auto"/>
              <w:jc w:val="center"/>
              <w:rPr>
                <w:rFonts w:ascii="Times New Roman" w:eastAsia="Times New Roman" w:hAnsi="Times New Roman" w:cs="Times New Roman"/>
                <w:sz w:val="20"/>
                <w:szCs w:val="20"/>
              </w:rPr>
            </w:pPr>
            <w:r w:rsidRPr="00020B61">
              <w:rPr>
                <w:rFonts w:ascii="Times New Roman" w:eastAsia="Times New Roman" w:hAnsi="Times New Roman" w:cs="Times New Roman"/>
                <w:sz w:val="20"/>
                <w:szCs w:val="20"/>
              </w:rPr>
              <w:t>CXCL-2</w:t>
            </w:r>
          </w:p>
        </w:tc>
        <w:tc>
          <w:tcPr>
            <w:tcW w:w="1312"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4A9AC8D0" w14:textId="77777777" w:rsidR="00AC6E1B" w:rsidRPr="00020B61" w:rsidRDefault="00000000">
            <w:pPr>
              <w:widowControl w:val="0"/>
              <w:spacing w:line="240" w:lineRule="auto"/>
              <w:jc w:val="center"/>
              <w:rPr>
                <w:rFonts w:ascii="Times New Roman" w:eastAsia="Times New Roman" w:hAnsi="Times New Roman" w:cs="Times New Roman"/>
                <w:sz w:val="20"/>
                <w:szCs w:val="20"/>
              </w:rPr>
            </w:pPr>
            <w:r w:rsidRPr="00020B61">
              <w:rPr>
                <w:rFonts w:ascii="Times New Roman" w:eastAsia="Times New Roman" w:hAnsi="Times New Roman" w:cs="Times New Roman"/>
                <w:sz w:val="20"/>
                <w:szCs w:val="20"/>
              </w:rPr>
              <w:t>NM_002089.4</w:t>
            </w:r>
          </w:p>
        </w:tc>
        <w:tc>
          <w:tcPr>
            <w:tcW w:w="241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2F16B6EB" w14:textId="77777777" w:rsidR="00AC6E1B" w:rsidRPr="00020B61" w:rsidRDefault="00000000">
            <w:pPr>
              <w:widowControl w:val="0"/>
              <w:spacing w:line="240" w:lineRule="auto"/>
              <w:jc w:val="center"/>
              <w:rPr>
                <w:rFonts w:ascii="Times New Roman" w:eastAsia="Times New Roman" w:hAnsi="Times New Roman" w:cs="Times New Roman"/>
                <w:sz w:val="20"/>
                <w:szCs w:val="20"/>
              </w:rPr>
            </w:pPr>
            <w:r w:rsidRPr="00020B61">
              <w:rPr>
                <w:rFonts w:ascii="Times New Roman" w:eastAsia="Times New Roman" w:hAnsi="Times New Roman" w:cs="Times New Roman"/>
                <w:sz w:val="20"/>
                <w:szCs w:val="20"/>
              </w:rPr>
              <w:t>Chemokine ligand 2</w:t>
            </w:r>
          </w:p>
        </w:tc>
        <w:tc>
          <w:tcPr>
            <w:tcW w:w="312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157429AB" w14:textId="77777777" w:rsidR="00AC6E1B" w:rsidRPr="00020B61" w:rsidRDefault="00000000">
            <w:pPr>
              <w:widowControl w:val="0"/>
              <w:spacing w:line="240" w:lineRule="auto"/>
              <w:jc w:val="center"/>
              <w:rPr>
                <w:rFonts w:ascii="Times New Roman" w:eastAsia="Times New Roman" w:hAnsi="Times New Roman" w:cs="Times New Roman"/>
                <w:sz w:val="20"/>
                <w:szCs w:val="20"/>
              </w:rPr>
            </w:pPr>
            <w:r w:rsidRPr="00020B61">
              <w:rPr>
                <w:rFonts w:ascii="Times New Roman" w:eastAsia="Times New Roman" w:hAnsi="Times New Roman" w:cs="Times New Roman"/>
                <w:sz w:val="20"/>
                <w:szCs w:val="20"/>
              </w:rPr>
              <w:t>CAAACCGAAGTCATAGCCACA</w:t>
            </w:r>
          </w:p>
        </w:tc>
        <w:tc>
          <w:tcPr>
            <w:tcW w:w="330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246F45DC" w14:textId="77777777" w:rsidR="00AC6E1B" w:rsidRPr="00020B61" w:rsidRDefault="00000000">
            <w:pPr>
              <w:widowControl w:val="0"/>
              <w:spacing w:line="240" w:lineRule="auto"/>
              <w:jc w:val="center"/>
              <w:rPr>
                <w:rFonts w:ascii="Times New Roman" w:eastAsia="Times New Roman" w:hAnsi="Times New Roman" w:cs="Times New Roman"/>
                <w:sz w:val="20"/>
                <w:szCs w:val="20"/>
              </w:rPr>
            </w:pPr>
            <w:r w:rsidRPr="00020B61">
              <w:rPr>
                <w:rFonts w:ascii="Times New Roman" w:eastAsia="Times New Roman" w:hAnsi="Times New Roman" w:cs="Times New Roman"/>
                <w:sz w:val="20"/>
                <w:szCs w:val="20"/>
              </w:rPr>
              <w:t>TCGAAACCTCTCTGCTCTAACA</w:t>
            </w:r>
          </w:p>
        </w:tc>
      </w:tr>
      <w:tr w:rsidR="00AC6E1B" w:rsidRPr="00020B61" w14:paraId="5CE07837" w14:textId="77777777">
        <w:trPr>
          <w:trHeight w:val="75"/>
        </w:trPr>
        <w:tc>
          <w:tcPr>
            <w:tcW w:w="833" w:type="dxa"/>
            <w:tcBorders>
              <w:top w:val="single" w:sz="4" w:space="0" w:color="CCCCCC"/>
              <w:left w:val="single" w:sz="4" w:space="0" w:color="000000"/>
              <w:bottom w:val="single" w:sz="4" w:space="0" w:color="000000"/>
              <w:right w:val="single" w:sz="4" w:space="0" w:color="000000"/>
            </w:tcBorders>
            <w:tcMar>
              <w:top w:w="40" w:type="dxa"/>
              <w:left w:w="40" w:type="dxa"/>
              <w:bottom w:w="40" w:type="dxa"/>
              <w:right w:w="40" w:type="dxa"/>
            </w:tcMar>
            <w:vAlign w:val="bottom"/>
          </w:tcPr>
          <w:p w14:paraId="03C728A7" w14:textId="77777777" w:rsidR="00AC6E1B" w:rsidRPr="00020B61" w:rsidRDefault="00000000">
            <w:pPr>
              <w:widowControl w:val="0"/>
              <w:spacing w:line="240" w:lineRule="auto"/>
              <w:jc w:val="center"/>
              <w:rPr>
                <w:rFonts w:ascii="Times New Roman" w:eastAsia="Times New Roman" w:hAnsi="Times New Roman" w:cs="Times New Roman"/>
                <w:sz w:val="20"/>
                <w:szCs w:val="20"/>
              </w:rPr>
            </w:pPr>
            <w:r w:rsidRPr="00020B61">
              <w:rPr>
                <w:rFonts w:ascii="Times New Roman" w:eastAsia="Times New Roman" w:hAnsi="Times New Roman" w:cs="Times New Roman"/>
                <w:sz w:val="20"/>
                <w:szCs w:val="20"/>
              </w:rPr>
              <w:t>MMP-9</w:t>
            </w:r>
          </w:p>
        </w:tc>
        <w:tc>
          <w:tcPr>
            <w:tcW w:w="1312"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0A6F527B" w14:textId="77777777" w:rsidR="00AC6E1B" w:rsidRPr="00020B61" w:rsidRDefault="00000000">
            <w:pPr>
              <w:widowControl w:val="0"/>
              <w:spacing w:line="240" w:lineRule="auto"/>
              <w:jc w:val="center"/>
              <w:rPr>
                <w:rFonts w:ascii="Times New Roman" w:eastAsia="Times New Roman" w:hAnsi="Times New Roman" w:cs="Times New Roman"/>
                <w:sz w:val="20"/>
                <w:szCs w:val="20"/>
              </w:rPr>
            </w:pPr>
            <w:r w:rsidRPr="00020B61">
              <w:rPr>
                <w:rFonts w:ascii="Times New Roman" w:eastAsia="Times New Roman" w:hAnsi="Times New Roman" w:cs="Times New Roman"/>
                <w:sz w:val="20"/>
                <w:szCs w:val="20"/>
              </w:rPr>
              <w:t>NM_004994.3</w:t>
            </w:r>
          </w:p>
        </w:tc>
        <w:tc>
          <w:tcPr>
            <w:tcW w:w="241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6BBBFAEB" w14:textId="77777777" w:rsidR="00AC6E1B" w:rsidRPr="00020B61" w:rsidRDefault="00000000">
            <w:pPr>
              <w:widowControl w:val="0"/>
              <w:spacing w:line="240" w:lineRule="auto"/>
              <w:jc w:val="center"/>
              <w:rPr>
                <w:rFonts w:ascii="Times New Roman" w:eastAsia="Times New Roman" w:hAnsi="Times New Roman" w:cs="Times New Roman"/>
                <w:sz w:val="20"/>
                <w:szCs w:val="20"/>
              </w:rPr>
            </w:pPr>
            <w:r w:rsidRPr="00020B61">
              <w:rPr>
                <w:rFonts w:ascii="Times New Roman" w:eastAsia="Times New Roman" w:hAnsi="Times New Roman" w:cs="Times New Roman"/>
                <w:sz w:val="20"/>
                <w:szCs w:val="20"/>
              </w:rPr>
              <w:t>Matrix metalloproteinase-9</w:t>
            </w:r>
          </w:p>
        </w:tc>
        <w:tc>
          <w:tcPr>
            <w:tcW w:w="312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2595F917" w14:textId="77777777" w:rsidR="00AC6E1B" w:rsidRPr="00020B61" w:rsidRDefault="00000000">
            <w:pPr>
              <w:widowControl w:val="0"/>
              <w:spacing w:line="240" w:lineRule="auto"/>
              <w:jc w:val="center"/>
              <w:rPr>
                <w:rFonts w:ascii="Times New Roman" w:eastAsia="Times New Roman" w:hAnsi="Times New Roman" w:cs="Times New Roman"/>
                <w:sz w:val="20"/>
                <w:szCs w:val="20"/>
              </w:rPr>
            </w:pPr>
            <w:r w:rsidRPr="00020B61">
              <w:rPr>
                <w:rFonts w:ascii="Times New Roman" w:eastAsia="Times New Roman" w:hAnsi="Times New Roman" w:cs="Times New Roman"/>
                <w:sz w:val="20"/>
                <w:szCs w:val="20"/>
              </w:rPr>
              <w:t>CCTGGGCAGATTCCAAACCT</w:t>
            </w:r>
          </w:p>
        </w:tc>
        <w:tc>
          <w:tcPr>
            <w:tcW w:w="330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0581BA9B" w14:textId="77777777" w:rsidR="00AC6E1B" w:rsidRPr="00020B61" w:rsidRDefault="00000000">
            <w:pPr>
              <w:widowControl w:val="0"/>
              <w:spacing w:line="240" w:lineRule="auto"/>
              <w:jc w:val="center"/>
              <w:rPr>
                <w:rFonts w:ascii="Times New Roman" w:eastAsia="Times New Roman" w:hAnsi="Times New Roman" w:cs="Times New Roman"/>
                <w:sz w:val="20"/>
                <w:szCs w:val="20"/>
              </w:rPr>
            </w:pPr>
            <w:r w:rsidRPr="00020B61">
              <w:rPr>
                <w:rFonts w:ascii="Times New Roman" w:eastAsia="Times New Roman" w:hAnsi="Times New Roman" w:cs="Times New Roman"/>
                <w:sz w:val="20"/>
                <w:szCs w:val="20"/>
              </w:rPr>
              <w:t>AACCGAGTTGGAACCACGAC</w:t>
            </w:r>
          </w:p>
        </w:tc>
      </w:tr>
      <w:tr w:rsidR="00AC6E1B" w:rsidRPr="00020B61" w14:paraId="25D5C304" w14:textId="77777777">
        <w:trPr>
          <w:trHeight w:val="75"/>
        </w:trPr>
        <w:tc>
          <w:tcPr>
            <w:tcW w:w="833" w:type="dxa"/>
            <w:tcBorders>
              <w:top w:val="single" w:sz="4" w:space="0" w:color="CCCCCC"/>
              <w:left w:val="single" w:sz="4" w:space="0" w:color="000000"/>
              <w:bottom w:val="single" w:sz="4" w:space="0" w:color="000000"/>
              <w:right w:val="single" w:sz="4" w:space="0" w:color="000000"/>
            </w:tcBorders>
            <w:tcMar>
              <w:top w:w="40" w:type="dxa"/>
              <w:left w:w="40" w:type="dxa"/>
              <w:bottom w:w="40" w:type="dxa"/>
              <w:right w:w="40" w:type="dxa"/>
            </w:tcMar>
            <w:vAlign w:val="bottom"/>
          </w:tcPr>
          <w:p w14:paraId="2A70C0C1" w14:textId="77777777" w:rsidR="00AC6E1B" w:rsidRPr="00020B61" w:rsidRDefault="00000000">
            <w:pPr>
              <w:widowControl w:val="0"/>
              <w:spacing w:line="240" w:lineRule="auto"/>
              <w:jc w:val="center"/>
              <w:rPr>
                <w:rFonts w:ascii="Times New Roman" w:eastAsia="Times New Roman" w:hAnsi="Times New Roman" w:cs="Times New Roman"/>
                <w:sz w:val="20"/>
                <w:szCs w:val="20"/>
              </w:rPr>
            </w:pPr>
            <w:r w:rsidRPr="00020B61">
              <w:rPr>
                <w:rFonts w:ascii="Times New Roman" w:eastAsia="Times New Roman" w:hAnsi="Times New Roman" w:cs="Times New Roman"/>
                <w:sz w:val="20"/>
                <w:szCs w:val="20"/>
              </w:rPr>
              <w:t>UBC</w:t>
            </w:r>
          </w:p>
        </w:tc>
        <w:tc>
          <w:tcPr>
            <w:tcW w:w="1312"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429F7FBC" w14:textId="77777777" w:rsidR="00AC6E1B" w:rsidRPr="00020B61" w:rsidRDefault="00000000">
            <w:pPr>
              <w:widowControl w:val="0"/>
              <w:spacing w:line="240" w:lineRule="auto"/>
              <w:jc w:val="center"/>
              <w:rPr>
                <w:rFonts w:ascii="Times New Roman" w:eastAsia="Times New Roman" w:hAnsi="Times New Roman" w:cs="Times New Roman"/>
                <w:sz w:val="20"/>
                <w:szCs w:val="20"/>
              </w:rPr>
            </w:pPr>
            <w:r w:rsidRPr="00020B61">
              <w:rPr>
                <w:rFonts w:ascii="Times New Roman" w:eastAsia="Times New Roman" w:hAnsi="Times New Roman" w:cs="Times New Roman"/>
                <w:sz w:val="20"/>
                <w:szCs w:val="20"/>
              </w:rPr>
              <w:t>NM_021009.7</w:t>
            </w:r>
          </w:p>
        </w:tc>
        <w:tc>
          <w:tcPr>
            <w:tcW w:w="241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7BF41E0B" w14:textId="77777777" w:rsidR="00AC6E1B" w:rsidRPr="00020B61" w:rsidRDefault="00000000">
            <w:pPr>
              <w:widowControl w:val="0"/>
              <w:spacing w:line="240" w:lineRule="auto"/>
              <w:jc w:val="center"/>
              <w:rPr>
                <w:rFonts w:ascii="Times New Roman" w:eastAsia="Times New Roman" w:hAnsi="Times New Roman" w:cs="Times New Roman"/>
                <w:sz w:val="20"/>
                <w:szCs w:val="20"/>
              </w:rPr>
            </w:pPr>
            <w:r w:rsidRPr="00020B61">
              <w:rPr>
                <w:rFonts w:ascii="Times New Roman" w:eastAsia="Times New Roman" w:hAnsi="Times New Roman" w:cs="Times New Roman"/>
                <w:sz w:val="20"/>
                <w:szCs w:val="20"/>
              </w:rPr>
              <w:t>Polyubiquitin-C</w:t>
            </w:r>
          </w:p>
        </w:tc>
        <w:tc>
          <w:tcPr>
            <w:tcW w:w="312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5F318886" w14:textId="77777777" w:rsidR="00AC6E1B" w:rsidRPr="00020B61" w:rsidRDefault="00000000">
            <w:pPr>
              <w:widowControl w:val="0"/>
              <w:spacing w:line="240" w:lineRule="auto"/>
              <w:jc w:val="center"/>
              <w:rPr>
                <w:rFonts w:ascii="Times New Roman" w:eastAsia="Times New Roman" w:hAnsi="Times New Roman" w:cs="Times New Roman"/>
                <w:sz w:val="20"/>
                <w:szCs w:val="20"/>
              </w:rPr>
            </w:pPr>
            <w:r w:rsidRPr="00020B61">
              <w:rPr>
                <w:rFonts w:ascii="Times New Roman" w:eastAsia="Times New Roman" w:hAnsi="Times New Roman" w:cs="Times New Roman"/>
                <w:sz w:val="20"/>
                <w:szCs w:val="20"/>
              </w:rPr>
              <w:t>CAGCCGGGATTTGGGTCG</w:t>
            </w:r>
          </w:p>
        </w:tc>
        <w:tc>
          <w:tcPr>
            <w:tcW w:w="330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0A4F78B1" w14:textId="77777777" w:rsidR="00AC6E1B" w:rsidRPr="00020B61" w:rsidRDefault="00000000">
            <w:pPr>
              <w:widowControl w:val="0"/>
              <w:spacing w:line="240" w:lineRule="auto"/>
              <w:jc w:val="center"/>
              <w:rPr>
                <w:rFonts w:ascii="Times New Roman" w:eastAsia="Times New Roman" w:hAnsi="Times New Roman" w:cs="Times New Roman"/>
                <w:sz w:val="20"/>
                <w:szCs w:val="20"/>
              </w:rPr>
            </w:pPr>
            <w:r w:rsidRPr="00020B61">
              <w:rPr>
                <w:rFonts w:ascii="Times New Roman" w:eastAsia="Times New Roman" w:hAnsi="Times New Roman" w:cs="Times New Roman"/>
                <w:sz w:val="20"/>
                <w:szCs w:val="20"/>
              </w:rPr>
              <w:t>CACGAAGATCTGCATTGTCAAGT</w:t>
            </w:r>
          </w:p>
        </w:tc>
      </w:tr>
    </w:tbl>
    <w:p w14:paraId="14A74A72" w14:textId="77777777" w:rsidR="00AC6E1B" w:rsidRPr="00020B61" w:rsidRDefault="00AC6E1B">
      <w:pPr>
        <w:spacing w:line="480" w:lineRule="auto"/>
        <w:rPr>
          <w:rFonts w:ascii="Times New Roman" w:eastAsia="Times New Roman" w:hAnsi="Times New Roman" w:cs="Times New Roman"/>
          <w:sz w:val="24"/>
          <w:szCs w:val="24"/>
        </w:rPr>
      </w:pPr>
    </w:p>
    <w:p w14:paraId="70DFB0A8" w14:textId="77777777" w:rsidR="00AC6E1B" w:rsidRPr="00020B61" w:rsidRDefault="00000000">
      <w:pPr>
        <w:spacing w:line="480" w:lineRule="auto"/>
        <w:rPr>
          <w:rFonts w:ascii="Times New Roman" w:eastAsia="Times New Roman" w:hAnsi="Times New Roman" w:cs="Times New Roman"/>
          <w:sz w:val="24"/>
          <w:szCs w:val="24"/>
        </w:rPr>
      </w:pPr>
      <w:r w:rsidRPr="00020B61">
        <w:rPr>
          <w:rFonts w:ascii="Times New Roman" w:eastAsia="Times New Roman" w:hAnsi="Times New Roman" w:cs="Times New Roman"/>
          <w:sz w:val="24"/>
          <w:szCs w:val="24"/>
        </w:rPr>
        <w:lastRenderedPageBreak/>
        <w:t xml:space="preserve">Supplementary Figure A2: Effects of omadacycline on mRNA expression levels of cytokines and chemokines from LPS-stimulated THP-1- derived macrophages. Gene expression was evaluated for (A) TNF-α, (B) IL-1β, (C) IL-6, (D) CXCL-1, (E) CXCL-2, (F) MMP-9. </w:t>
      </w:r>
      <w:r w:rsidRPr="00020B61">
        <w:rPr>
          <w:rFonts w:ascii="Times New Roman" w:hAnsi="Times New Roman" w:cs="Times New Roman"/>
          <w:noProof/>
        </w:rPr>
        <w:drawing>
          <wp:anchor distT="0" distB="0" distL="0" distR="0" simplePos="0" relativeHeight="251659264" behindDoc="0" locked="0" layoutInCell="1" hidden="0" allowOverlap="1" wp14:anchorId="6AA4C278" wp14:editId="4DC567A2">
            <wp:simplePos x="0" y="0"/>
            <wp:positionH relativeFrom="column">
              <wp:posOffset>-238124</wp:posOffset>
            </wp:positionH>
            <wp:positionV relativeFrom="paragraph">
              <wp:posOffset>952500</wp:posOffset>
            </wp:positionV>
            <wp:extent cx="7329488" cy="3277910"/>
            <wp:effectExtent l="0" t="0" r="0" b="0"/>
            <wp:wrapSquare wrapText="bothSides" distT="0" distB="0" distL="0" distR="0"/>
            <wp:docPr id="2"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7"/>
                    <a:srcRect t="2446" b="2566"/>
                    <a:stretch>
                      <a:fillRect/>
                    </a:stretch>
                  </pic:blipFill>
                  <pic:spPr>
                    <a:xfrm>
                      <a:off x="0" y="0"/>
                      <a:ext cx="7329488" cy="3277910"/>
                    </a:xfrm>
                    <a:prstGeom prst="rect">
                      <a:avLst/>
                    </a:prstGeom>
                    <a:ln/>
                  </pic:spPr>
                </pic:pic>
              </a:graphicData>
            </a:graphic>
          </wp:anchor>
        </w:drawing>
      </w:r>
    </w:p>
    <w:p w14:paraId="5089148B" w14:textId="77777777" w:rsidR="00AC6E1B" w:rsidRPr="00020B61" w:rsidRDefault="00000000">
      <w:pPr>
        <w:spacing w:line="480" w:lineRule="auto"/>
        <w:rPr>
          <w:rFonts w:ascii="Times New Roman" w:eastAsia="Times New Roman" w:hAnsi="Times New Roman" w:cs="Times New Roman"/>
          <w:sz w:val="24"/>
          <w:szCs w:val="24"/>
        </w:rPr>
      </w:pPr>
      <w:r w:rsidRPr="00020B61">
        <w:rPr>
          <w:rFonts w:ascii="Times New Roman" w:eastAsia="Times New Roman" w:hAnsi="Times New Roman" w:cs="Times New Roman"/>
          <w:sz w:val="24"/>
          <w:szCs w:val="24"/>
        </w:rPr>
        <w:t>Data is represented as mean and standard errors of the mean. The horizontal line represents a fold change of 1, indicating no difference in the transcription level compared to untreated control cells.</w:t>
      </w:r>
    </w:p>
    <w:p w14:paraId="35E5E78C" w14:textId="77777777" w:rsidR="00AC6E1B" w:rsidRPr="00020B61" w:rsidRDefault="00AC6E1B">
      <w:pPr>
        <w:spacing w:line="480" w:lineRule="auto"/>
        <w:rPr>
          <w:rFonts w:ascii="Times New Roman" w:eastAsia="Times New Roman" w:hAnsi="Times New Roman" w:cs="Times New Roman"/>
          <w:sz w:val="24"/>
          <w:szCs w:val="24"/>
        </w:rPr>
      </w:pPr>
    </w:p>
    <w:p w14:paraId="4FF0B189" w14:textId="77777777" w:rsidR="00AC6E1B" w:rsidRPr="00020B61" w:rsidRDefault="00AC6E1B">
      <w:pPr>
        <w:spacing w:line="480" w:lineRule="auto"/>
        <w:rPr>
          <w:rFonts w:ascii="Times New Roman" w:eastAsia="Times New Roman" w:hAnsi="Times New Roman" w:cs="Times New Roman"/>
          <w:sz w:val="24"/>
          <w:szCs w:val="24"/>
        </w:rPr>
      </w:pPr>
    </w:p>
    <w:p w14:paraId="5FD7C024" w14:textId="77777777" w:rsidR="00AC6E1B" w:rsidRPr="00020B61" w:rsidRDefault="00AC6E1B">
      <w:pPr>
        <w:spacing w:line="480" w:lineRule="auto"/>
        <w:rPr>
          <w:rFonts w:ascii="Times New Roman" w:eastAsia="Times New Roman" w:hAnsi="Times New Roman" w:cs="Times New Roman"/>
          <w:sz w:val="24"/>
          <w:szCs w:val="24"/>
        </w:rPr>
      </w:pPr>
    </w:p>
    <w:p w14:paraId="72F30A14" w14:textId="77777777" w:rsidR="00AC6E1B" w:rsidRPr="00020B61" w:rsidRDefault="00AC6E1B">
      <w:pPr>
        <w:spacing w:line="480" w:lineRule="auto"/>
        <w:rPr>
          <w:rFonts w:ascii="Times New Roman" w:eastAsia="Times New Roman" w:hAnsi="Times New Roman" w:cs="Times New Roman"/>
          <w:sz w:val="24"/>
          <w:szCs w:val="24"/>
        </w:rPr>
      </w:pPr>
    </w:p>
    <w:p w14:paraId="70D69BC5" w14:textId="77777777" w:rsidR="00AC6E1B" w:rsidRPr="00020B61" w:rsidRDefault="00AC6E1B">
      <w:pPr>
        <w:spacing w:line="480" w:lineRule="auto"/>
        <w:rPr>
          <w:rFonts w:ascii="Times New Roman" w:eastAsia="Times New Roman" w:hAnsi="Times New Roman" w:cs="Times New Roman"/>
          <w:sz w:val="24"/>
          <w:szCs w:val="24"/>
        </w:rPr>
      </w:pPr>
    </w:p>
    <w:p w14:paraId="7422D42B" w14:textId="77777777" w:rsidR="00AC6E1B" w:rsidRPr="00020B61" w:rsidRDefault="00AC6E1B">
      <w:pPr>
        <w:spacing w:line="480" w:lineRule="auto"/>
        <w:rPr>
          <w:rFonts w:ascii="Times New Roman" w:eastAsia="Times New Roman" w:hAnsi="Times New Roman" w:cs="Times New Roman"/>
          <w:sz w:val="24"/>
          <w:szCs w:val="24"/>
        </w:rPr>
      </w:pPr>
    </w:p>
    <w:p w14:paraId="77325C58" w14:textId="77777777" w:rsidR="00AC6E1B" w:rsidRPr="00020B61" w:rsidRDefault="00AC6E1B">
      <w:pPr>
        <w:spacing w:line="480" w:lineRule="auto"/>
        <w:rPr>
          <w:rFonts w:ascii="Times New Roman" w:eastAsia="Times New Roman" w:hAnsi="Times New Roman" w:cs="Times New Roman"/>
          <w:sz w:val="24"/>
          <w:szCs w:val="24"/>
        </w:rPr>
      </w:pPr>
    </w:p>
    <w:p w14:paraId="620D9D5E" w14:textId="77777777" w:rsidR="00AC6E1B" w:rsidRPr="00020B61" w:rsidRDefault="00AC6E1B">
      <w:pPr>
        <w:spacing w:line="480" w:lineRule="auto"/>
        <w:rPr>
          <w:rFonts w:ascii="Times New Roman" w:eastAsia="Times New Roman" w:hAnsi="Times New Roman" w:cs="Times New Roman"/>
          <w:sz w:val="24"/>
          <w:szCs w:val="24"/>
        </w:rPr>
      </w:pPr>
    </w:p>
    <w:p w14:paraId="3F5B13AA" w14:textId="77777777" w:rsidR="00AC6E1B" w:rsidRPr="00020B61" w:rsidRDefault="00AC6E1B">
      <w:pPr>
        <w:spacing w:line="480" w:lineRule="auto"/>
        <w:rPr>
          <w:rFonts w:ascii="Times New Roman" w:eastAsia="Times New Roman" w:hAnsi="Times New Roman" w:cs="Times New Roman"/>
          <w:sz w:val="24"/>
          <w:szCs w:val="24"/>
        </w:rPr>
      </w:pPr>
    </w:p>
    <w:p w14:paraId="240E258B" w14:textId="77777777" w:rsidR="00AC6E1B" w:rsidRPr="00020B61" w:rsidRDefault="00AC6E1B">
      <w:pPr>
        <w:spacing w:line="480" w:lineRule="auto"/>
        <w:rPr>
          <w:rFonts w:ascii="Times New Roman" w:eastAsia="Times New Roman" w:hAnsi="Times New Roman" w:cs="Times New Roman"/>
          <w:sz w:val="24"/>
          <w:szCs w:val="24"/>
        </w:rPr>
      </w:pPr>
    </w:p>
    <w:p w14:paraId="4DC31598" w14:textId="77777777" w:rsidR="00AC6E1B" w:rsidRPr="00020B61" w:rsidRDefault="00AC6E1B">
      <w:pPr>
        <w:spacing w:line="480" w:lineRule="auto"/>
        <w:rPr>
          <w:rFonts w:ascii="Times New Roman" w:eastAsia="Times New Roman" w:hAnsi="Times New Roman" w:cs="Times New Roman"/>
          <w:sz w:val="24"/>
          <w:szCs w:val="24"/>
        </w:rPr>
      </w:pPr>
    </w:p>
    <w:p w14:paraId="502048BA" w14:textId="77777777" w:rsidR="00AC6E1B" w:rsidRPr="00020B61" w:rsidRDefault="00AC6E1B">
      <w:pPr>
        <w:spacing w:line="480" w:lineRule="auto"/>
        <w:rPr>
          <w:rFonts w:ascii="Times New Roman" w:eastAsia="Times New Roman" w:hAnsi="Times New Roman" w:cs="Times New Roman"/>
          <w:sz w:val="24"/>
          <w:szCs w:val="24"/>
        </w:rPr>
      </w:pPr>
    </w:p>
    <w:p w14:paraId="0192DF9D" w14:textId="77777777" w:rsidR="00AC6E1B" w:rsidRPr="00020B61" w:rsidRDefault="00000000">
      <w:pPr>
        <w:spacing w:line="480" w:lineRule="auto"/>
        <w:rPr>
          <w:rFonts w:ascii="Times New Roman" w:eastAsia="Times New Roman" w:hAnsi="Times New Roman" w:cs="Times New Roman"/>
          <w:sz w:val="24"/>
          <w:szCs w:val="24"/>
        </w:rPr>
      </w:pPr>
      <w:r w:rsidRPr="00020B61">
        <w:rPr>
          <w:rFonts w:ascii="Times New Roman" w:eastAsia="Times New Roman" w:hAnsi="Times New Roman" w:cs="Times New Roman"/>
          <w:sz w:val="24"/>
          <w:szCs w:val="24"/>
        </w:rPr>
        <w:lastRenderedPageBreak/>
        <w:t>Supplementary Figure A3: (A) Total and (B) neutrophil cell counts in BALF after treatment of omadacycline and controls six hours after LPS challenge</w:t>
      </w:r>
      <w:r w:rsidRPr="00020B61">
        <w:rPr>
          <w:rFonts w:ascii="Times New Roman" w:eastAsia="Times New Roman" w:hAnsi="Times New Roman" w:cs="Times New Roman"/>
          <w:sz w:val="24"/>
          <w:szCs w:val="24"/>
          <w:vertAlign w:val="superscript"/>
        </w:rPr>
        <w:footnoteReference w:id="2"/>
      </w:r>
      <w:r w:rsidRPr="00020B61">
        <w:rPr>
          <w:rFonts w:ascii="Times New Roman" w:eastAsia="Times New Roman" w:hAnsi="Times New Roman" w:cs="Times New Roman"/>
          <w:sz w:val="24"/>
          <w:szCs w:val="24"/>
        </w:rPr>
        <w:t>.</w:t>
      </w:r>
      <w:r w:rsidRPr="00020B61">
        <w:rPr>
          <w:rFonts w:ascii="Times New Roman" w:hAnsi="Times New Roman" w:cs="Times New Roman"/>
          <w:noProof/>
        </w:rPr>
        <w:drawing>
          <wp:anchor distT="0" distB="0" distL="0" distR="0" simplePos="0" relativeHeight="251660288" behindDoc="0" locked="0" layoutInCell="1" hidden="0" allowOverlap="1" wp14:anchorId="29259D3A" wp14:editId="230D78B6">
            <wp:simplePos x="0" y="0"/>
            <wp:positionH relativeFrom="column">
              <wp:posOffset>28575</wp:posOffset>
            </wp:positionH>
            <wp:positionV relativeFrom="paragraph">
              <wp:posOffset>548580</wp:posOffset>
            </wp:positionV>
            <wp:extent cx="6796088" cy="2587984"/>
            <wp:effectExtent l="0" t="0" r="0" b="0"/>
            <wp:wrapSquare wrapText="bothSides" distT="0" distB="0" distL="0" distR="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8"/>
                    <a:srcRect t="3298" b="3800"/>
                    <a:stretch>
                      <a:fillRect/>
                    </a:stretch>
                  </pic:blipFill>
                  <pic:spPr>
                    <a:xfrm>
                      <a:off x="0" y="0"/>
                      <a:ext cx="6796088" cy="2587984"/>
                    </a:xfrm>
                    <a:prstGeom prst="rect">
                      <a:avLst/>
                    </a:prstGeom>
                    <a:ln/>
                  </pic:spPr>
                </pic:pic>
              </a:graphicData>
            </a:graphic>
          </wp:anchor>
        </w:drawing>
      </w:r>
    </w:p>
    <w:p w14:paraId="7B5116CE" w14:textId="77777777" w:rsidR="00AC6E1B" w:rsidRPr="00020B61" w:rsidRDefault="00000000">
      <w:pPr>
        <w:spacing w:line="480" w:lineRule="auto"/>
        <w:rPr>
          <w:rFonts w:ascii="Times New Roman" w:eastAsia="Times New Roman" w:hAnsi="Times New Roman" w:cs="Times New Roman"/>
          <w:sz w:val="24"/>
          <w:szCs w:val="24"/>
        </w:rPr>
      </w:pPr>
      <w:r w:rsidRPr="00020B61">
        <w:rPr>
          <w:rFonts w:ascii="Times New Roman" w:eastAsia="Times New Roman" w:hAnsi="Times New Roman" w:cs="Times New Roman"/>
          <w:sz w:val="24"/>
          <w:szCs w:val="24"/>
        </w:rPr>
        <w:t>Box and whisker plots show 25% percentile, median, and 75% percentile in box, with minimum and maximum values shown with whiskers. Asterisks indicate significant differences from untreated control animals.</w:t>
      </w:r>
    </w:p>
    <w:p w14:paraId="70E4E979" w14:textId="77777777" w:rsidR="00AC6E1B" w:rsidRPr="00020B61" w:rsidRDefault="00000000">
      <w:pPr>
        <w:spacing w:line="480" w:lineRule="auto"/>
        <w:rPr>
          <w:rFonts w:ascii="Times New Roman" w:eastAsia="Times New Roman" w:hAnsi="Times New Roman" w:cs="Times New Roman"/>
          <w:sz w:val="24"/>
          <w:szCs w:val="24"/>
        </w:rPr>
      </w:pPr>
      <w:r w:rsidRPr="00020B61">
        <w:rPr>
          <w:rFonts w:ascii="Times New Roman" w:eastAsia="Times New Roman" w:hAnsi="Times New Roman" w:cs="Times New Roman"/>
          <w:sz w:val="24"/>
          <w:szCs w:val="24"/>
        </w:rPr>
        <w:t>(*P&lt;0.05, **P&lt;0.01, post-hoc Tukey's HSD test)</w:t>
      </w:r>
    </w:p>
    <w:p w14:paraId="18DDC4EA" w14:textId="77777777" w:rsidR="00AC6E1B" w:rsidRPr="00020B61" w:rsidRDefault="00000000">
      <w:pPr>
        <w:spacing w:line="480" w:lineRule="auto"/>
        <w:rPr>
          <w:rFonts w:ascii="Times New Roman" w:eastAsia="Times New Roman" w:hAnsi="Times New Roman" w:cs="Times New Roman"/>
          <w:sz w:val="24"/>
          <w:szCs w:val="24"/>
        </w:rPr>
      </w:pPr>
      <w:r w:rsidRPr="00020B61">
        <w:rPr>
          <w:rFonts w:ascii="Times New Roman" w:eastAsia="Times New Roman" w:hAnsi="Times New Roman" w:cs="Times New Roman"/>
          <w:sz w:val="24"/>
          <w:szCs w:val="24"/>
        </w:rPr>
        <w:t xml:space="preserve">PMN = polymorphonuclear neutrophil, </w:t>
      </w:r>
      <w:proofErr w:type="spellStart"/>
      <w:r w:rsidRPr="00020B61">
        <w:rPr>
          <w:rFonts w:ascii="Times New Roman" w:eastAsia="Times New Roman" w:hAnsi="Times New Roman" w:cs="Times New Roman"/>
          <w:sz w:val="24"/>
          <w:szCs w:val="24"/>
        </w:rPr>
        <w:t>Mφ</w:t>
      </w:r>
      <w:proofErr w:type="spellEnd"/>
      <w:r w:rsidRPr="00020B61">
        <w:rPr>
          <w:rFonts w:ascii="Times New Roman" w:eastAsia="Times New Roman" w:hAnsi="Times New Roman" w:cs="Times New Roman"/>
          <w:sz w:val="24"/>
          <w:szCs w:val="24"/>
        </w:rPr>
        <w:t>= macrophage, DEX = dexamethasone, AZM = azithromycin</w:t>
      </w:r>
    </w:p>
    <w:p w14:paraId="0ED80586" w14:textId="77777777" w:rsidR="00AC6E1B" w:rsidRPr="00020B61" w:rsidRDefault="00AC6E1B">
      <w:pPr>
        <w:spacing w:line="480" w:lineRule="auto"/>
        <w:rPr>
          <w:rFonts w:ascii="Times New Roman" w:eastAsia="Times New Roman" w:hAnsi="Times New Roman" w:cs="Times New Roman"/>
          <w:sz w:val="24"/>
          <w:szCs w:val="24"/>
        </w:rPr>
      </w:pPr>
    </w:p>
    <w:p w14:paraId="1058A838" w14:textId="77777777" w:rsidR="00AC6E1B" w:rsidRPr="00020B61" w:rsidRDefault="00AC6E1B">
      <w:pPr>
        <w:spacing w:line="480" w:lineRule="auto"/>
        <w:rPr>
          <w:rFonts w:ascii="Times New Roman" w:eastAsia="Times New Roman" w:hAnsi="Times New Roman" w:cs="Times New Roman"/>
          <w:sz w:val="24"/>
          <w:szCs w:val="24"/>
        </w:rPr>
      </w:pPr>
    </w:p>
    <w:p w14:paraId="343A2B36" w14:textId="77777777" w:rsidR="00AC6E1B" w:rsidRPr="00020B61" w:rsidRDefault="00AC6E1B">
      <w:pPr>
        <w:spacing w:line="480" w:lineRule="auto"/>
        <w:rPr>
          <w:rFonts w:ascii="Times New Roman" w:eastAsia="Times New Roman" w:hAnsi="Times New Roman" w:cs="Times New Roman"/>
          <w:sz w:val="24"/>
          <w:szCs w:val="24"/>
        </w:rPr>
      </w:pPr>
    </w:p>
    <w:p w14:paraId="3698794E" w14:textId="77777777" w:rsidR="00AC6E1B" w:rsidRPr="00020B61" w:rsidRDefault="00AC6E1B">
      <w:pPr>
        <w:spacing w:line="480" w:lineRule="auto"/>
        <w:rPr>
          <w:rFonts w:ascii="Times New Roman" w:eastAsia="Times New Roman" w:hAnsi="Times New Roman" w:cs="Times New Roman"/>
          <w:sz w:val="24"/>
          <w:szCs w:val="24"/>
        </w:rPr>
      </w:pPr>
    </w:p>
    <w:p w14:paraId="12727224" w14:textId="77777777" w:rsidR="00AC6E1B" w:rsidRPr="00020B61" w:rsidRDefault="00AC6E1B">
      <w:pPr>
        <w:spacing w:line="480" w:lineRule="auto"/>
        <w:rPr>
          <w:rFonts w:ascii="Times New Roman" w:eastAsia="Times New Roman" w:hAnsi="Times New Roman" w:cs="Times New Roman"/>
          <w:sz w:val="24"/>
          <w:szCs w:val="24"/>
        </w:rPr>
      </w:pPr>
    </w:p>
    <w:p w14:paraId="4B918986" w14:textId="77777777" w:rsidR="00AC6E1B" w:rsidRPr="00020B61" w:rsidRDefault="00AC6E1B">
      <w:pPr>
        <w:spacing w:line="480" w:lineRule="auto"/>
        <w:rPr>
          <w:rFonts w:ascii="Times New Roman" w:eastAsia="Times New Roman" w:hAnsi="Times New Roman" w:cs="Times New Roman"/>
          <w:sz w:val="24"/>
          <w:szCs w:val="24"/>
        </w:rPr>
      </w:pPr>
    </w:p>
    <w:p w14:paraId="2955A73B" w14:textId="77777777" w:rsidR="00AC6E1B" w:rsidRPr="00020B61" w:rsidRDefault="00AC6E1B">
      <w:pPr>
        <w:spacing w:line="480" w:lineRule="auto"/>
        <w:rPr>
          <w:rFonts w:ascii="Times New Roman" w:eastAsia="Times New Roman" w:hAnsi="Times New Roman" w:cs="Times New Roman"/>
          <w:sz w:val="24"/>
          <w:szCs w:val="24"/>
        </w:rPr>
      </w:pPr>
    </w:p>
    <w:p w14:paraId="55FD5C32" w14:textId="77777777" w:rsidR="00AC6E1B" w:rsidRPr="00020B61" w:rsidRDefault="00AC6E1B">
      <w:pPr>
        <w:spacing w:line="480" w:lineRule="auto"/>
        <w:rPr>
          <w:rFonts w:ascii="Times New Roman" w:eastAsia="Times New Roman" w:hAnsi="Times New Roman" w:cs="Times New Roman"/>
          <w:sz w:val="24"/>
          <w:szCs w:val="24"/>
        </w:rPr>
      </w:pPr>
    </w:p>
    <w:p w14:paraId="73C6DB3A" w14:textId="77777777" w:rsidR="00AC6E1B" w:rsidRPr="00020B61" w:rsidRDefault="00000000">
      <w:pPr>
        <w:spacing w:line="480" w:lineRule="auto"/>
        <w:rPr>
          <w:rFonts w:ascii="Times New Roman" w:eastAsia="Times New Roman" w:hAnsi="Times New Roman" w:cs="Times New Roman"/>
          <w:sz w:val="24"/>
          <w:szCs w:val="24"/>
        </w:rPr>
      </w:pPr>
      <w:r w:rsidRPr="00020B61">
        <w:rPr>
          <w:rFonts w:ascii="Times New Roman" w:eastAsia="Times New Roman" w:hAnsi="Times New Roman" w:cs="Times New Roman"/>
          <w:sz w:val="24"/>
          <w:szCs w:val="24"/>
        </w:rPr>
        <w:lastRenderedPageBreak/>
        <w:t>Supplementary Figure A4: Dose effects of therapeutic omadacycline on lung homogenate cytokines and chemokines. Lung homogenate supernatant was evaluated for (A) TNF-α, (B) IL-1β, (C) IL-6, (D) CXCL-1, (E) CXCL-2, (F) MMP-9</w:t>
      </w:r>
      <w:r w:rsidRPr="00020B61">
        <w:rPr>
          <w:rFonts w:ascii="Times New Roman" w:eastAsia="Times New Roman" w:hAnsi="Times New Roman" w:cs="Times New Roman"/>
          <w:sz w:val="24"/>
          <w:szCs w:val="24"/>
          <w:vertAlign w:val="superscript"/>
        </w:rPr>
        <w:footnoteReference w:id="3"/>
      </w:r>
      <w:r w:rsidRPr="00020B61">
        <w:rPr>
          <w:rFonts w:ascii="Times New Roman" w:eastAsia="Times New Roman" w:hAnsi="Times New Roman" w:cs="Times New Roman"/>
          <w:sz w:val="24"/>
          <w:szCs w:val="24"/>
        </w:rPr>
        <w:t>.</w:t>
      </w:r>
      <w:r w:rsidRPr="00020B61">
        <w:rPr>
          <w:rFonts w:ascii="Times New Roman" w:hAnsi="Times New Roman" w:cs="Times New Roman"/>
          <w:noProof/>
        </w:rPr>
        <w:drawing>
          <wp:anchor distT="0" distB="0" distL="0" distR="0" simplePos="0" relativeHeight="251661312" behindDoc="0" locked="0" layoutInCell="1" hidden="0" allowOverlap="1" wp14:anchorId="56DCB243" wp14:editId="6BAF8D81">
            <wp:simplePos x="0" y="0"/>
            <wp:positionH relativeFrom="column">
              <wp:posOffset>-171449</wp:posOffset>
            </wp:positionH>
            <wp:positionV relativeFrom="paragraph">
              <wp:posOffset>914400</wp:posOffset>
            </wp:positionV>
            <wp:extent cx="7196138" cy="3830828"/>
            <wp:effectExtent l="0" t="0" r="0" b="0"/>
            <wp:wrapSquare wrapText="bothSides" distT="0" distB="0" distL="0" distR="0"/>
            <wp:docPr id="4"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9"/>
                    <a:srcRect t="1971"/>
                    <a:stretch>
                      <a:fillRect/>
                    </a:stretch>
                  </pic:blipFill>
                  <pic:spPr>
                    <a:xfrm>
                      <a:off x="0" y="0"/>
                      <a:ext cx="7196138" cy="3830828"/>
                    </a:xfrm>
                    <a:prstGeom prst="rect">
                      <a:avLst/>
                    </a:prstGeom>
                    <a:ln/>
                  </pic:spPr>
                </pic:pic>
              </a:graphicData>
            </a:graphic>
          </wp:anchor>
        </w:drawing>
      </w:r>
    </w:p>
    <w:p w14:paraId="2ED543F2" w14:textId="77777777" w:rsidR="00AC6E1B" w:rsidRPr="00020B61" w:rsidRDefault="00000000">
      <w:pPr>
        <w:spacing w:line="480" w:lineRule="auto"/>
        <w:rPr>
          <w:rFonts w:ascii="Times New Roman" w:eastAsia="Times New Roman" w:hAnsi="Times New Roman" w:cs="Times New Roman"/>
          <w:sz w:val="24"/>
          <w:szCs w:val="24"/>
        </w:rPr>
      </w:pPr>
      <w:r w:rsidRPr="00020B61">
        <w:rPr>
          <w:rFonts w:ascii="Times New Roman" w:eastAsia="Times New Roman" w:hAnsi="Times New Roman" w:cs="Times New Roman"/>
          <w:sz w:val="24"/>
          <w:szCs w:val="24"/>
        </w:rPr>
        <w:t>Data is represented as mean and standard errors of the mean. Asterisks indicate significant differences from untreated control animals.</w:t>
      </w:r>
    </w:p>
    <w:p w14:paraId="469C68C4" w14:textId="77777777" w:rsidR="00AC6E1B" w:rsidRPr="00020B61" w:rsidRDefault="00000000">
      <w:pPr>
        <w:spacing w:line="480" w:lineRule="auto"/>
        <w:rPr>
          <w:rFonts w:ascii="Times New Roman" w:eastAsia="Times New Roman" w:hAnsi="Times New Roman" w:cs="Times New Roman"/>
          <w:sz w:val="24"/>
          <w:szCs w:val="24"/>
        </w:rPr>
      </w:pPr>
      <w:r w:rsidRPr="00020B61">
        <w:rPr>
          <w:rFonts w:ascii="Times New Roman" w:eastAsia="Times New Roman" w:hAnsi="Times New Roman" w:cs="Times New Roman"/>
          <w:sz w:val="24"/>
          <w:szCs w:val="24"/>
        </w:rPr>
        <w:t>(*P&lt;0.05, **P&lt;0.01, post-hoc Tukey's HSD test)</w:t>
      </w:r>
    </w:p>
    <w:p w14:paraId="796BF679" w14:textId="77777777" w:rsidR="00AC6E1B" w:rsidRPr="00020B61" w:rsidRDefault="00000000">
      <w:pPr>
        <w:spacing w:line="480" w:lineRule="auto"/>
        <w:rPr>
          <w:rFonts w:ascii="Times New Roman" w:eastAsia="Times New Roman" w:hAnsi="Times New Roman" w:cs="Times New Roman"/>
          <w:sz w:val="24"/>
          <w:szCs w:val="24"/>
        </w:rPr>
      </w:pPr>
      <w:r w:rsidRPr="00020B61">
        <w:rPr>
          <w:rFonts w:ascii="Times New Roman" w:eastAsia="Times New Roman" w:hAnsi="Times New Roman" w:cs="Times New Roman"/>
          <w:sz w:val="24"/>
          <w:szCs w:val="24"/>
        </w:rPr>
        <w:t>DEX = dexamethasone, AZM = azithromycin</w:t>
      </w:r>
    </w:p>
    <w:p w14:paraId="3DDB86E7" w14:textId="77777777" w:rsidR="00AC6E1B" w:rsidRPr="00020B61" w:rsidRDefault="00AC6E1B">
      <w:pPr>
        <w:spacing w:line="480" w:lineRule="auto"/>
        <w:rPr>
          <w:rFonts w:ascii="Times New Roman" w:eastAsia="Times New Roman" w:hAnsi="Times New Roman" w:cs="Times New Roman"/>
          <w:sz w:val="24"/>
          <w:szCs w:val="24"/>
        </w:rPr>
      </w:pPr>
    </w:p>
    <w:p w14:paraId="29D32B01" w14:textId="77777777" w:rsidR="00AC6E1B" w:rsidRPr="00020B61" w:rsidRDefault="00AC6E1B">
      <w:pPr>
        <w:spacing w:line="480" w:lineRule="auto"/>
        <w:rPr>
          <w:rFonts w:ascii="Times New Roman" w:eastAsia="Times New Roman" w:hAnsi="Times New Roman" w:cs="Times New Roman"/>
          <w:sz w:val="24"/>
          <w:szCs w:val="24"/>
        </w:rPr>
      </w:pPr>
    </w:p>
    <w:p w14:paraId="25258C19" w14:textId="77777777" w:rsidR="00AC6E1B" w:rsidRPr="00020B61" w:rsidRDefault="00AC6E1B">
      <w:pPr>
        <w:spacing w:line="480" w:lineRule="auto"/>
        <w:rPr>
          <w:rFonts w:ascii="Times New Roman" w:eastAsia="Times New Roman" w:hAnsi="Times New Roman" w:cs="Times New Roman"/>
          <w:sz w:val="24"/>
          <w:szCs w:val="24"/>
        </w:rPr>
      </w:pPr>
    </w:p>
    <w:p w14:paraId="2C7C608B" w14:textId="77777777" w:rsidR="00AC6E1B" w:rsidRPr="00020B61" w:rsidRDefault="00AC6E1B">
      <w:pPr>
        <w:spacing w:line="480" w:lineRule="auto"/>
        <w:rPr>
          <w:rFonts w:ascii="Times New Roman" w:eastAsia="Times New Roman" w:hAnsi="Times New Roman" w:cs="Times New Roman"/>
          <w:sz w:val="24"/>
          <w:szCs w:val="24"/>
        </w:rPr>
      </w:pPr>
    </w:p>
    <w:p w14:paraId="3A907695" w14:textId="77777777" w:rsidR="00AC6E1B" w:rsidRPr="00020B61" w:rsidRDefault="00AC6E1B">
      <w:pPr>
        <w:spacing w:line="480" w:lineRule="auto"/>
        <w:rPr>
          <w:rFonts w:ascii="Times New Roman" w:eastAsia="Times New Roman" w:hAnsi="Times New Roman" w:cs="Times New Roman"/>
          <w:sz w:val="24"/>
          <w:szCs w:val="24"/>
        </w:rPr>
      </w:pPr>
    </w:p>
    <w:p w14:paraId="532213E9" w14:textId="77777777" w:rsidR="00AC6E1B" w:rsidRPr="00020B61" w:rsidRDefault="00000000">
      <w:pPr>
        <w:spacing w:line="480" w:lineRule="auto"/>
        <w:rPr>
          <w:rFonts w:ascii="Times New Roman" w:eastAsia="Times New Roman" w:hAnsi="Times New Roman" w:cs="Times New Roman"/>
          <w:sz w:val="24"/>
          <w:szCs w:val="24"/>
        </w:rPr>
      </w:pPr>
      <w:r w:rsidRPr="00020B61">
        <w:rPr>
          <w:rFonts w:ascii="Times New Roman" w:eastAsia="Times New Roman" w:hAnsi="Times New Roman" w:cs="Times New Roman"/>
          <w:sz w:val="24"/>
          <w:szCs w:val="24"/>
        </w:rPr>
        <w:lastRenderedPageBreak/>
        <w:t>Supplementary Figure A5: Dose effects of therapeutic omadacycline on ELF cytokines and chemokines. BAL fluid was evaluated for (A) TNF-α, (B) IL-1β, (C) IL-6, (D) CXCL-1, (E) CXCL-2, (F) MMP-9</w:t>
      </w:r>
      <w:r w:rsidRPr="00020B61">
        <w:rPr>
          <w:rFonts w:ascii="Times New Roman" w:eastAsia="Times New Roman" w:hAnsi="Times New Roman" w:cs="Times New Roman"/>
          <w:sz w:val="24"/>
          <w:szCs w:val="24"/>
          <w:vertAlign w:val="superscript"/>
        </w:rPr>
        <w:footnoteReference w:id="4"/>
      </w:r>
      <w:r w:rsidRPr="00020B61">
        <w:rPr>
          <w:rFonts w:ascii="Times New Roman" w:eastAsia="Times New Roman" w:hAnsi="Times New Roman" w:cs="Times New Roman"/>
          <w:sz w:val="24"/>
          <w:szCs w:val="24"/>
        </w:rPr>
        <w:t>.</w:t>
      </w:r>
      <w:r w:rsidRPr="00020B61">
        <w:rPr>
          <w:rFonts w:ascii="Times New Roman" w:hAnsi="Times New Roman" w:cs="Times New Roman"/>
          <w:noProof/>
        </w:rPr>
        <w:drawing>
          <wp:anchor distT="0" distB="0" distL="0" distR="0" simplePos="0" relativeHeight="251662336" behindDoc="0" locked="0" layoutInCell="1" hidden="0" allowOverlap="1" wp14:anchorId="48D46D8C" wp14:editId="187B6C0D">
            <wp:simplePos x="0" y="0"/>
            <wp:positionH relativeFrom="column">
              <wp:posOffset>-171449</wp:posOffset>
            </wp:positionH>
            <wp:positionV relativeFrom="paragraph">
              <wp:posOffset>542925</wp:posOffset>
            </wp:positionV>
            <wp:extent cx="7196138" cy="3814456"/>
            <wp:effectExtent l="0" t="0" r="0" b="0"/>
            <wp:wrapSquare wrapText="bothSides" distT="0" distB="0" distL="0" distR="0"/>
            <wp:docPr id="7"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0"/>
                    <a:srcRect t="1918"/>
                    <a:stretch>
                      <a:fillRect/>
                    </a:stretch>
                  </pic:blipFill>
                  <pic:spPr>
                    <a:xfrm>
                      <a:off x="0" y="0"/>
                      <a:ext cx="7196138" cy="3814456"/>
                    </a:xfrm>
                    <a:prstGeom prst="rect">
                      <a:avLst/>
                    </a:prstGeom>
                    <a:ln/>
                  </pic:spPr>
                </pic:pic>
              </a:graphicData>
            </a:graphic>
          </wp:anchor>
        </w:drawing>
      </w:r>
    </w:p>
    <w:p w14:paraId="5D62AD0E" w14:textId="77777777" w:rsidR="00AC6E1B" w:rsidRPr="00020B61" w:rsidRDefault="00000000">
      <w:pPr>
        <w:spacing w:line="480" w:lineRule="auto"/>
        <w:rPr>
          <w:rFonts w:ascii="Times New Roman" w:eastAsia="Times New Roman" w:hAnsi="Times New Roman" w:cs="Times New Roman"/>
          <w:sz w:val="24"/>
          <w:szCs w:val="24"/>
        </w:rPr>
      </w:pPr>
      <w:r w:rsidRPr="00020B61">
        <w:rPr>
          <w:rFonts w:ascii="Times New Roman" w:eastAsia="Times New Roman" w:hAnsi="Times New Roman" w:cs="Times New Roman"/>
          <w:sz w:val="24"/>
          <w:szCs w:val="24"/>
        </w:rPr>
        <w:t>Data is represented as mean and standard errors of the mean.</w:t>
      </w:r>
    </w:p>
    <w:p w14:paraId="2D95E301" w14:textId="77777777" w:rsidR="00AC6E1B" w:rsidRPr="00020B61" w:rsidRDefault="00000000">
      <w:pPr>
        <w:spacing w:line="480" w:lineRule="auto"/>
        <w:rPr>
          <w:rFonts w:ascii="Times New Roman" w:eastAsia="Times New Roman" w:hAnsi="Times New Roman" w:cs="Times New Roman"/>
          <w:sz w:val="24"/>
          <w:szCs w:val="24"/>
        </w:rPr>
      </w:pPr>
      <w:r w:rsidRPr="00020B61">
        <w:rPr>
          <w:rFonts w:ascii="Times New Roman" w:eastAsia="Times New Roman" w:hAnsi="Times New Roman" w:cs="Times New Roman"/>
          <w:sz w:val="24"/>
          <w:szCs w:val="24"/>
        </w:rPr>
        <w:t>DEX = dexamethasone, AZM = azithromycin</w:t>
      </w:r>
    </w:p>
    <w:p w14:paraId="6A326CEF" w14:textId="77777777" w:rsidR="00AC6E1B" w:rsidRPr="00020B61" w:rsidRDefault="00AC6E1B">
      <w:pPr>
        <w:spacing w:line="480" w:lineRule="auto"/>
        <w:rPr>
          <w:rFonts w:ascii="Times New Roman" w:eastAsia="Times New Roman" w:hAnsi="Times New Roman" w:cs="Times New Roman"/>
          <w:sz w:val="24"/>
          <w:szCs w:val="24"/>
        </w:rPr>
      </w:pPr>
    </w:p>
    <w:p w14:paraId="2B8A0948" w14:textId="77777777" w:rsidR="00AC6E1B" w:rsidRPr="00020B61" w:rsidRDefault="00AC6E1B">
      <w:pPr>
        <w:spacing w:line="480" w:lineRule="auto"/>
        <w:rPr>
          <w:rFonts w:ascii="Times New Roman" w:eastAsia="Times New Roman" w:hAnsi="Times New Roman" w:cs="Times New Roman"/>
          <w:sz w:val="24"/>
          <w:szCs w:val="24"/>
        </w:rPr>
      </w:pPr>
    </w:p>
    <w:p w14:paraId="6992DDAE" w14:textId="77777777" w:rsidR="00AC6E1B" w:rsidRPr="00020B61" w:rsidRDefault="00AC6E1B">
      <w:pPr>
        <w:spacing w:line="480" w:lineRule="auto"/>
        <w:rPr>
          <w:rFonts w:ascii="Times New Roman" w:eastAsia="Times New Roman" w:hAnsi="Times New Roman" w:cs="Times New Roman"/>
          <w:sz w:val="24"/>
          <w:szCs w:val="24"/>
        </w:rPr>
      </w:pPr>
    </w:p>
    <w:p w14:paraId="424F43D6" w14:textId="77777777" w:rsidR="00AC6E1B" w:rsidRPr="00020B61" w:rsidRDefault="00AC6E1B">
      <w:pPr>
        <w:spacing w:line="480" w:lineRule="auto"/>
        <w:rPr>
          <w:rFonts w:ascii="Times New Roman" w:eastAsia="Times New Roman" w:hAnsi="Times New Roman" w:cs="Times New Roman"/>
          <w:sz w:val="24"/>
          <w:szCs w:val="24"/>
        </w:rPr>
      </w:pPr>
    </w:p>
    <w:p w14:paraId="75EA4A98" w14:textId="77777777" w:rsidR="00AC6E1B" w:rsidRPr="00020B61" w:rsidRDefault="00AC6E1B">
      <w:pPr>
        <w:spacing w:line="480" w:lineRule="auto"/>
        <w:rPr>
          <w:rFonts w:ascii="Times New Roman" w:eastAsia="Times New Roman" w:hAnsi="Times New Roman" w:cs="Times New Roman"/>
          <w:sz w:val="24"/>
          <w:szCs w:val="24"/>
        </w:rPr>
      </w:pPr>
    </w:p>
    <w:p w14:paraId="383CB1F7" w14:textId="77777777" w:rsidR="00AC6E1B" w:rsidRPr="00020B61" w:rsidRDefault="00AC6E1B">
      <w:pPr>
        <w:spacing w:line="480" w:lineRule="auto"/>
        <w:rPr>
          <w:rFonts w:ascii="Times New Roman" w:eastAsia="Times New Roman" w:hAnsi="Times New Roman" w:cs="Times New Roman"/>
          <w:sz w:val="24"/>
          <w:szCs w:val="24"/>
        </w:rPr>
      </w:pPr>
    </w:p>
    <w:p w14:paraId="0B84173E" w14:textId="77777777" w:rsidR="00AC6E1B" w:rsidRPr="00020B61" w:rsidRDefault="00AC6E1B">
      <w:pPr>
        <w:spacing w:line="480" w:lineRule="auto"/>
        <w:rPr>
          <w:rFonts w:ascii="Times New Roman" w:eastAsia="Times New Roman" w:hAnsi="Times New Roman" w:cs="Times New Roman"/>
          <w:sz w:val="24"/>
          <w:szCs w:val="24"/>
        </w:rPr>
      </w:pPr>
    </w:p>
    <w:p w14:paraId="657C5613" w14:textId="77777777" w:rsidR="00AC6E1B" w:rsidRPr="00020B61" w:rsidRDefault="00AC6E1B">
      <w:pPr>
        <w:spacing w:line="480" w:lineRule="auto"/>
        <w:rPr>
          <w:rFonts w:ascii="Times New Roman" w:eastAsia="Times New Roman" w:hAnsi="Times New Roman" w:cs="Times New Roman"/>
          <w:sz w:val="24"/>
          <w:szCs w:val="24"/>
        </w:rPr>
      </w:pPr>
    </w:p>
    <w:p w14:paraId="6DFF0BB7" w14:textId="77777777" w:rsidR="00AC6E1B" w:rsidRPr="00020B61" w:rsidRDefault="00000000">
      <w:pPr>
        <w:spacing w:line="480" w:lineRule="auto"/>
        <w:rPr>
          <w:rFonts w:ascii="Times New Roman" w:eastAsia="Times New Roman" w:hAnsi="Times New Roman" w:cs="Times New Roman"/>
          <w:sz w:val="24"/>
          <w:szCs w:val="24"/>
        </w:rPr>
      </w:pPr>
      <w:r w:rsidRPr="00020B61">
        <w:rPr>
          <w:rFonts w:ascii="Times New Roman" w:eastAsia="Times New Roman" w:hAnsi="Times New Roman" w:cs="Times New Roman"/>
          <w:sz w:val="24"/>
          <w:szCs w:val="24"/>
        </w:rPr>
        <w:t>Supplementary Figure A6: Dose effects of therapeutic omadacycline on (A) total protein content in ELF and (B) lung wet-to-dry ratios.</w:t>
      </w:r>
      <w:r w:rsidRPr="00020B61">
        <w:rPr>
          <w:rFonts w:ascii="Times New Roman" w:hAnsi="Times New Roman" w:cs="Times New Roman"/>
          <w:noProof/>
        </w:rPr>
        <w:drawing>
          <wp:anchor distT="0" distB="0" distL="0" distR="0" simplePos="0" relativeHeight="251663360" behindDoc="0" locked="0" layoutInCell="1" hidden="0" allowOverlap="1" wp14:anchorId="51ED008B" wp14:editId="0C3ABBD3">
            <wp:simplePos x="0" y="0"/>
            <wp:positionH relativeFrom="column">
              <wp:posOffset>0</wp:posOffset>
            </wp:positionH>
            <wp:positionV relativeFrom="paragraph">
              <wp:posOffset>596205</wp:posOffset>
            </wp:positionV>
            <wp:extent cx="6858000" cy="2693142"/>
            <wp:effectExtent l="0" t="0" r="0" b="0"/>
            <wp:wrapSquare wrapText="bothSides" distT="0" distB="0" distL="0" distR="0"/>
            <wp:docPr id="5"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1"/>
                    <a:srcRect t="2948" b="2899"/>
                    <a:stretch>
                      <a:fillRect/>
                    </a:stretch>
                  </pic:blipFill>
                  <pic:spPr>
                    <a:xfrm>
                      <a:off x="0" y="0"/>
                      <a:ext cx="6858000" cy="2693142"/>
                    </a:xfrm>
                    <a:prstGeom prst="rect">
                      <a:avLst/>
                    </a:prstGeom>
                    <a:ln/>
                  </pic:spPr>
                </pic:pic>
              </a:graphicData>
            </a:graphic>
          </wp:anchor>
        </w:drawing>
      </w:r>
    </w:p>
    <w:p w14:paraId="6C714C23" w14:textId="77777777" w:rsidR="00AC6E1B" w:rsidRPr="00020B61" w:rsidRDefault="00000000">
      <w:pPr>
        <w:spacing w:line="480" w:lineRule="auto"/>
        <w:rPr>
          <w:rFonts w:ascii="Times New Roman" w:eastAsia="Times New Roman" w:hAnsi="Times New Roman" w:cs="Times New Roman"/>
          <w:sz w:val="24"/>
          <w:szCs w:val="24"/>
        </w:rPr>
      </w:pPr>
      <w:r w:rsidRPr="00020B61">
        <w:rPr>
          <w:rFonts w:ascii="Times New Roman" w:eastAsia="Times New Roman" w:hAnsi="Times New Roman" w:cs="Times New Roman"/>
          <w:sz w:val="24"/>
          <w:szCs w:val="24"/>
        </w:rPr>
        <w:t>Data is represented as mean and standard errors of the mean.</w:t>
      </w:r>
    </w:p>
    <w:p w14:paraId="5182C0D7" w14:textId="77777777" w:rsidR="00AC6E1B" w:rsidRPr="00020B61" w:rsidRDefault="00000000">
      <w:pPr>
        <w:spacing w:line="480" w:lineRule="auto"/>
        <w:rPr>
          <w:rFonts w:ascii="Times New Roman" w:eastAsia="Times New Roman" w:hAnsi="Times New Roman" w:cs="Times New Roman"/>
          <w:sz w:val="24"/>
          <w:szCs w:val="24"/>
        </w:rPr>
      </w:pPr>
      <w:r w:rsidRPr="00020B61">
        <w:rPr>
          <w:rFonts w:ascii="Times New Roman" w:eastAsia="Times New Roman" w:hAnsi="Times New Roman" w:cs="Times New Roman"/>
          <w:sz w:val="24"/>
          <w:szCs w:val="24"/>
        </w:rPr>
        <w:t>DEX = dexamethasone, AZM = azithromycin</w:t>
      </w:r>
    </w:p>
    <w:p w14:paraId="202CE820" w14:textId="77777777" w:rsidR="00AC6E1B" w:rsidRPr="00020B61" w:rsidRDefault="00AC6E1B">
      <w:pPr>
        <w:spacing w:line="480" w:lineRule="auto"/>
        <w:rPr>
          <w:rFonts w:ascii="Times New Roman" w:eastAsia="Times New Roman" w:hAnsi="Times New Roman" w:cs="Times New Roman"/>
          <w:sz w:val="24"/>
          <w:szCs w:val="24"/>
        </w:rPr>
      </w:pPr>
    </w:p>
    <w:p w14:paraId="75D1DC4D" w14:textId="77777777" w:rsidR="00AC6E1B" w:rsidRPr="00020B61" w:rsidRDefault="00000000">
      <w:pPr>
        <w:spacing w:line="480" w:lineRule="auto"/>
        <w:rPr>
          <w:rFonts w:ascii="Times New Roman" w:eastAsia="Times New Roman" w:hAnsi="Times New Roman" w:cs="Times New Roman"/>
          <w:b/>
          <w:sz w:val="26"/>
          <w:szCs w:val="26"/>
        </w:rPr>
      </w:pPr>
      <w:r w:rsidRPr="00020B61">
        <w:rPr>
          <w:rFonts w:ascii="Times New Roman" w:eastAsia="Times New Roman" w:hAnsi="Times New Roman" w:cs="Times New Roman"/>
          <w:sz w:val="24"/>
          <w:szCs w:val="24"/>
        </w:rPr>
        <w:t>Supplementary Figure A7: Dose effects of preventative omadacycline on acute lung injury severity using a semiquantitative histopathological scoring system.</w:t>
      </w:r>
      <w:r w:rsidRPr="00020B61">
        <w:rPr>
          <w:rFonts w:ascii="Times New Roman" w:hAnsi="Times New Roman" w:cs="Times New Roman"/>
          <w:noProof/>
        </w:rPr>
        <w:drawing>
          <wp:anchor distT="0" distB="0" distL="0" distR="0" simplePos="0" relativeHeight="251664384" behindDoc="0" locked="0" layoutInCell="1" hidden="0" allowOverlap="1" wp14:anchorId="444453A3" wp14:editId="0C4960B8">
            <wp:simplePos x="0" y="0"/>
            <wp:positionH relativeFrom="column">
              <wp:posOffset>1081088</wp:posOffset>
            </wp:positionH>
            <wp:positionV relativeFrom="paragraph">
              <wp:posOffset>542925</wp:posOffset>
            </wp:positionV>
            <wp:extent cx="4691063" cy="2954931"/>
            <wp:effectExtent l="0" t="0" r="0" b="0"/>
            <wp:wrapSquare wrapText="bothSides" distT="0" distB="0" distL="0" distR="0"/>
            <wp:docPr id="6"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2"/>
                    <a:srcRect t="1810"/>
                    <a:stretch>
                      <a:fillRect/>
                    </a:stretch>
                  </pic:blipFill>
                  <pic:spPr>
                    <a:xfrm>
                      <a:off x="0" y="0"/>
                      <a:ext cx="4691063" cy="2954931"/>
                    </a:xfrm>
                    <a:prstGeom prst="rect">
                      <a:avLst/>
                    </a:prstGeom>
                    <a:ln/>
                  </pic:spPr>
                </pic:pic>
              </a:graphicData>
            </a:graphic>
          </wp:anchor>
        </w:drawing>
      </w:r>
    </w:p>
    <w:p w14:paraId="0EFD7D85" w14:textId="77777777" w:rsidR="00AC6E1B" w:rsidRPr="00020B61" w:rsidRDefault="00AC6E1B">
      <w:pPr>
        <w:spacing w:line="480" w:lineRule="auto"/>
        <w:jc w:val="center"/>
        <w:rPr>
          <w:rFonts w:ascii="Times New Roman" w:eastAsia="Times New Roman" w:hAnsi="Times New Roman" w:cs="Times New Roman"/>
          <w:sz w:val="24"/>
          <w:szCs w:val="24"/>
        </w:rPr>
      </w:pPr>
    </w:p>
    <w:p w14:paraId="2DC5216C" w14:textId="77777777" w:rsidR="00AC6E1B" w:rsidRPr="00020B61" w:rsidRDefault="00AC6E1B">
      <w:pPr>
        <w:spacing w:line="480" w:lineRule="auto"/>
        <w:jc w:val="center"/>
        <w:rPr>
          <w:rFonts w:ascii="Times New Roman" w:eastAsia="Times New Roman" w:hAnsi="Times New Roman" w:cs="Times New Roman"/>
          <w:sz w:val="24"/>
          <w:szCs w:val="24"/>
        </w:rPr>
      </w:pPr>
    </w:p>
    <w:p w14:paraId="7E9FF85C" w14:textId="77777777" w:rsidR="00AC6E1B" w:rsidRPr="00020B61" w:rsidRDefault="00AC6E1B">
      <w:pPr>
        <w:spacing w:line="480" w:lineRule="auto"/>
        <w:jc w:val="center"/>
        <w:rPr>
          <w:rFonts w:ascii="Times New Roman" w:eastAsia="Times New Roman" w:hAnsi="Times New Roman" w:cs="Times New Roman"/>
          <w:sz w:val="24"/>
          <w:szCs w:val="24"/>
        </w:rPr>
      </w:pPr>
    </w:p>
    <w:p w14:paraId="5A07D03D" w14:textId="77777777" w:rsidR="00AC6E1B" w:rsidRPr="00020B61" w:rsidRDefault="00AC6E1B">
      <w:pPr>
        <w:spacing w:line="480" w:lineRule="auto"/>
        <w:jc w:val="center"/>
        <w:rPr>
          <w:rFonts w:ascii="Times New Roman" w:eastAsia="Times New Roman" w:hAnsi="Times New Roman" w:cs="Times New Roman"/>
          <w:sz w:val="24"/>
          <w:szCs w:val="24"/>
        </w:rPr>
      </w:pPr>
    </w:p>
    <w:p w14:paraId="78CCA6DF" w14:textId="77777777" w:rsidR="00AC6E1B" w:rsidRPr="00020B61" w:rsidRDefault="00AC6E1B">
      <w:pPr>
        <w:spacing w:line="480" w:lineRule="auto"/>
        <w:jc w:val="center"/>
        <w:rPr>
          <w:rFonts w:ascii="Times New Roman" w:eastAsia="Times New Roman" w:hAnsi="Times New Roman" w:cs="Times New Roman"/>
          <w:sz w:val="24"/>
          <w:szCs w:val="24"/>
        </w:rPr>
      </w:pPr>
    </w:p>
    <w:p w14:paraId="5E2ABCBC" w14:textId="77777777" w:rsidR="00AC6E1B" w:rsidRPr="00020B61" w:rsidRDefault="00AC6E1B">
      <w:pPr>
        <w:spacing w:line="480" w:lineRule="auto"/>
        <w:jc w:val="center"/>
        <w:rPr>
          <w:rFonts w:ascii="Times New Roman" w:eastAsia="Times New Roman" w:hAnsi="Times New Roman" w:cs="Times New Roman"/>
          <w:sz w:val="24"/>
          <w:szCs w:val="24"/>
        </w:rPr>
      </w:pPr>
    </w:p>
    <w:p w14:paraId="28975EBA" w14:textId="77777777" w:rsidR="00AC6E1B" w:rsidRPr="00020B61" w:rsidRDefault="00AC6E1B">
      <w:pPr>
        <w:spacing w:line="480" w:lineRule="auto"/>
        <w:jc w:val="center"/>
        <w:rPr>
          <w:rFonts w:ascii="Times New Roman" w:eastAsia="Times New Roman" w:hAnsi="Times New Roman" w:cs="Times New Roman"/>
          <w:sz w:val="24"/>
          <w:szCs w:val="24"/>
        </w:rPr>
      </w:pPr>
    </w:p>
    <w:p w14:paraId="5219C4A9" w14:textId="77777777" w:rsidR="00AC6E1B" w:rsidRPr="00020B61" w:rsidRDefault="00AC6E1B">
      <w:pPr>
        <w:spacing w:line="480" w:lineRule="auto"/>
        <w:jc w:val="center"/>
        <w:rPr>
          <w:rFonts w:ascii="Times New Roman" w:eastAsia="Times New Roman" w:hAnsi="Times New Roman" w:cs="Times New Roman"/>
          <w:sz w:val="24"/>
          <w:szCs w:val="24"/>
        </w:rPr>
      </w:pPr>
    </w:p>
    <w:p w14:paraId="419A5EFC" w14:textId="77777777" w:rsidR="00AC6E1B" w:rsidRPr="00020B61" w:rsidRDefault="00000000">
      <w:pPr>
        <w:spacing w:line="480" w:lineRule="auto"/>
        <w:rPr>
          <w:rFonts w:ascii="Times New Roman" w:eastAsia="Times New Roman" w:hAnsi="Times New Roman" w:cs="Times New Roman"/>
          <w:sz w:val="24"/>
          <w:szCs w:val="24"/>
        </w:rPr>
      </w:pPr>
      <w:r w:rsidRPr="00020B61">
        <w:rPr>
          <w:rFonts w:ascii="Times New Roman" w:eastAsia="Times New Roman" w:hAnsi="Times New Roman" w:cs="Times New Roman"/>
          <w:sz w:val="24"/>
          <w:szCs w:val="24"/>
        </w:rPr>
        <w:t xml:space="preserve">Data is represented as mean and standard errors of the mean. N=3 per treatment group. </w:t>
      </w:r>
    </w:p>
    <w:p w14:paraId="5A3AD059" w14:textId="77777777" w:rsidR="00AC6E1B" w:rsidRPr="00020B61" w:rsidRDefault="00000000">
      <w:pPr>
        <w:spacing w:line="480" w:lineRule="auto"/>
        <w:rPr>
          <w:rFonts w:ascii="Times New Roman" w:eastAsia="Times New Roman" w:hAnsi="Times New Roman" w:cs="Times New Roman"/>
          <w:sz w:val="24"/>
          <w:szCs w:val="24"/>
        </w:rPr>
      </w:pPr>
      <w:r w:rsidRPr="00020B61">
        <w:rPr>
          <w:rFonts w:ascii="Times New Roman" w:eastAsia="Times New Roman" w:hAnsi="Times New Roman" w:cs="Times New Roman"/>
          <w:sz w:val="24"/>
          <w:szCs w:val="24"/>
        </w:rPr>
        <w:t>DEX = dexamethasone, AZM = azithromycin</w:t>
      </w:r>
    </w:p>
    <w:p w14:paraId="4BAA9BB0" w14:textId="77777777" w:rsidR="00AC6E1B" w:rsidRPr="00020B61" w:rsidRDefault="00AC6E1B">
      <w:pPr>
        <w:rPr>
          <w:rFonts w:ascii="Times New Roman" w:hAnsi="Times New Roman" w:cs="Times New Roman"/>
        </w:rPr>
      </w:pPr>
    </w:p>
    <w:sectPr w:rsidR="00AC6E1B" w:rsidRPr="00020B61">
      <w:pgSz w:w="12240" w:h="15840"/>
      <w:pgMar w:top="72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3FB2DB5" w14:textId="77777777" w:rsidR="00F325C8" w:rsidRDefault="00F325C8">
      <w:pPr>
        <w:spacing w:line="240" w:lineRule="auto"/>
      </w:pPr>
      <w:r>
        <w:separator/>
      </w:r>
    </w:p>
  </w:endnote>
  <w:endnote w:type="continuationSeparator" w:id="0">
    <w:p w14:paraId="6C8F918F" w14:textId="77777777" w:rsidR="00F325C8" w:rsidRDefault="00F325C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A7E279" w14:textId="77777777" w:rsidR="00F325C8" w:rsidRDefault="00F325C8">
      <w:pPr>
        <w:spacing w:line="240" w:lineRule="auto"/>
      </w:pPr>
      <w:r>
        <w:separator/>
      </w:r>
    </w:p>
  </w:footnote>
  <w:footnote w:type="continuationSeparator" w:id="0">
    <w:p w14:paraId="3D8B1327" w14:textId="77777777" w:rsidR="00F325C8" w:rsidRDefault="00F325C8">
      <w:pPr>
        <w:spacing w:line="240" w:lineRule="auto"/>
      </w:pPr>
      <w:r>
        <w:continuationSeparator/>
      </w:r>
    </w:p>
  </w:footnote>
  <w:footnote w:id="1">
    <w:p w14:paraId="426BC0B3" w14:textId="77777777" w:rsidR="00AC6E1B" w:rsidRDefault="00000000">
      <w:pPr>
        <w:spacing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The alamarBlue assay was used to investigate the viability of THP-1-derived macrophages treated with omadacycline. As observed, treatment with omadacycline 30 min prior to LPS stimulation reduced THP-1-derived macrophage cell viability in a dose dependent manner. A statistically significant decrease in cell viability was observed at the highest omadacycline concentration (100 µg/mL) (P&lt;0.05; Figure S1).</w:t>
      </w:r>
    </w:p>
  </w:footnote>
  <w:footnote w:id="2">
    <w:p w14:paraId="3ACC62AD" w14:textId="77777777" w:rsidR="00AC6E1B" w:rsidRDefault="00000000">
      <w:pPr>
        <w:spacing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In the dose-ranging treatment study, administering omadacycline at doses of 15 and 30 mg/kg SC six hours after intranasal LPS challenge revealed a dose-dependent reduction in total WBC count and neutrophil recruitment to the lungs, observed in BAL measurements 48h post-challenge compared to the control group treated with PBS only. At both omadacycline doses, total WBC counts and neutrophil to macrophage ratios were significantly reduced compared with PBS control. These reductions were comparable to or more potent than dexamethasone (1 mg/kg IP) and azithromycin (30 mg/kg SC), with a tendency towards more potent inhibition of total cell counts and neutrophil recruitment at the higher 30 mg/kg omadacycline dose (Figure S3).</w:t>
      </w:r>
    </w:p>
  </w:footnote>
  <w:footnote w:id="3">
    <w:p w14:paraId="4DF263E8" w14:textId="77777777" w:rsidR="00AC6E1B" w:rsidRDefault="00000000">
      <w:pPr>
        <w:spacing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To examine the therapeutic effects of omadacycline on pro-inflammatory cytokines, chemokines, and MMP-9 induced by LPS, ELISA analysis was carried out on mouse lung homogenate (Figures S3</w:t>
      </w:r>
      <w:r>
        <w:rPr>
          <w:rFonts w:ascii="Times New Roman" w:eastAsia="Times New Roman" w:hAnsi="Times New Roman" w:cs="Times New Roman"/>
          <w:i/>
          <w:sz w:val="24"/>
          <w:szCs w:val="24"/>
        </w:rPr>
        <w:t>A-F</w:t>
      </w:r>
      <w:r>
        <w:rPr>
          <w:rFonts w:ascii="Times New Roman" w:eastAsia="Times New Roman" w:hAnsi="Times New Roman" w:cs="Times New Roman"/>
          <w:sz w:val="24"/>
          <w:szCs w:val="24"/>
        </w:rPr>
        <w:t>). Significant inhibition of TNF-α (P&lt;0.05), IL-6 (P&lt;0.01), and CXCL-2 (P&lt;0.05) was observed at the 15 mg/kg omadacycline dose compared to PBS control (Figures S4</w:t>
      </w:r>
      <w:r>
        <w:rPr>
          <w:rFonts w:ascii="Times New Roman" w:eastAsia="Times New Roman" w:hAnsi="Times New Roman" w:cs="Times New Roman"/>
          <w:i/>
          <w:sz w:val="24"/>
          <w:szCs w:val="24"/>
        </w:rPr>
        <w:t>A</w:t>
      </w:r>
      <w:r>
        <w:rPr>
          <w:rFonts w:ascii="Times New Roman" w:eastAsia="Times New Roman" w:hAnsi="Times New Roman" w:cs="Times New Roman"/>
          <w:sz w:val="24"/>
          <w:szCs w:val="24"/>
        </w:rPr>
        <w:t>, S4</w:t>
      </w:r>
      <w:r>
        <w:rPr>
          <w:rFonts w:ascii="Times New Roman" w:eastAsia="Times New Roman" w:hAnsi="Times New Roman" w:cs="Times New Roman"/>
          <w:i/>
          <w:sz w:val="24"/>
          <w:szCs w:val="24"/>
        </w:rPr>
        <w:t>C</w:t>
      </w:r>
      <w:r>
        <w:rPr>
          <w:rFonts w:ascii="Times New Roman" w:eastAsia="Times New Roman" w:hAnsi="Times New Roman" w:cs="Times New Roman"/>
          <w:sz w:val="24"/>
          <w:szCs w:val="24"/>
        </w:rPr>
        <w:t>, and S4</w:t>
      </w:r>
      <w:r>
        <w:rPr>
          <w:rFonts w:ascii="Times New Roman" w:eastAsia="Times New Roman" w:hAnsi="Times New Roman" w:cs="Times New Roman"/>
          <w:i/>
          <w:sz w:val="24"/>
          <w:szCs w:val="24"/>
        </w:rPr>
        <w:t>F</w:t>
      </w:r>
      <w:r>
        <w:rPr>
          <w:rFonts w:ascii="Times New Roman" w:eastAsia="Times New Roman" w:hAnsi="Times New Roman" w:cs="Times New Roman"/>
          <w:sz w:val="24"/>
          <w:szCs w:val="24"/>
        </w:rPr>
        <w:t>). No treatment differences were observed in the levels of IL-1β, CXCL-1, or MMP-9 (Figures S4</w:t>
      </w:r>
      <w:r>
        <w:rPr>
          <w:rFonts w:ascii="Times New Roman" w:eastAsia="Times New Roman" w:hAnsi="Times New Roman" w:cs="Times New Roman"/>
          <w:i/>
          <w:sz w:val="24"/>
          <w:szCs w:val="24"/>
        </w:rPr>
        <w:t>B</w:t>
      </w:r>
      <w:r>
        <w:rPr>
          <w:rFonts w:ascii="Times New Roman" w:eastAsia="Times New Roman" w:hAnsi="Times New Roman" w:cs="Times New Roman"/>
          <w:sz w:val="24"/>
          <w:szCs w:val="24"/>
        </w:rPr>
        <w:t>, S4</w:t>
      </w:r>
      <w:r>
        <w:rPr>
          <w:rFonts w:ascii="Times New Roman" w:eastAsia="Times New Roman" w:hAnsi="Times New Roman" w:cs="Times New Roman"/>
          <w:i/>
          <w:sz w:val="24"/>
          <w:szCs w:val="24"/>
        </w:rPr>
        <w:t>D</w:t>
      </w:r>
      <w:r>
        <w:rPr>
          <w:rFonts w:ascii="Times New Roman" w:eastAsia="Times New Roman" w:hAnsi="Times New Roman" w:cs="Times New Roman"/>
          <w:sz w:val="24"/>
          <w:szCs w:val="24"/>
        </w:rPr>
        <w:t>, and S4</w:t>
      </w:r>
      <w:r>
        <w:rPr>
          <w:rFonts w:ascii="Times New Roman" w:eastAsia="Times New Roman" w:hAnsi="Times New Roman" w:cs="Times New Roman"/>
          <w:i/>
          <w:sz w:val="24"/>
          <w:szCs w:val="24"/>
        </w:rPr>
        <w:t>F</w:t>
      </w:r>
      <w:r>
        <w:rPr>
          <w:rFonts w:ascii="Times New Roman" w:eastAsia="Times New Roman" w:hAnsi="Times New Roman" w:cs="Times New Roman"/>
          <w:sz w:val="24"/>
          <w:szCs w:val="24"/>
        </w:rPr>
        <w:t>).</w:t>
      </w:r>
    </w:p>
  </w:footnote>
  <w:footnote w:id="4">
    <w:p w14:paraId="66EFAC0C" w14:textId="77777777" w:rsidR="00AC6E1B" w:rsidRDefault="00000000">
      <w:pPr>
        <w:spacing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xml:space="preserve"> To assess the therapeutic effects of omadacycline on LPS-induced pro-inflammatory cytokines, chemokines, and MMP-9, BALF samples were evaluated by ELISA (Figures S4A-F). Despite the absence of statistically significant differences, treatment with 15 mg/kg omadacycline resulted in substantial reductions in TNF-α, IL-1β, IL-6, CXCL-1, CXCL2, and MMP-9 concentrations. These reductions were comparable to or more potent than dexamethasone (1 mg/kg IP) and azithromycin (30 mg/kg SC). However, no discernible treatment disparities in cytokine, chemokine, or MMP-9 levels were noted for the 30 mg/kg omadacycline doses (Figures S5</w:t>
      </w:r>
      <w:r>
        <w:rPr>
          <w:rFonts w:ascii="Times New Roman" w:eastAsia="Times New Roman" w:hAnsi="Times New Roman" w:cs="Times New Roman"/>
          <w:i/>
          <w:sz w:val="24"/>
          <w:szCs w:val="24"/>
        </w:rPr>
        <w:t>A-F</w:t>
      </w:r>
      <w:r>
        <w:rPr>
          <w:rFonts w:ascii="Times New Roman" w:eastAsia="Times New Roman" w:hAnsi="Times New Roman" w:cs="Times New Roman"/>
          <w:sz w:val="24"/>
          <w:szCs w:val="24"/>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6E1B"/>
    <w:rsid w:val="00020B61"/>
    <w:rsid w:val="004D3E56"/>
    <w:rsid w:val="00AC6E1B"/>
    <w:rsid w:val="00F325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3203B40"/>
  <w15:docId w15:val="{37BDC35F-030C-2F4B-A8FA-4818A8D8B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image" Target="media/image7.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image" Target="media/image6.jpg"/><Relationship Id="rId5" Type="http://schemas.openxmlformats.org/officeDocument/2006/relationships/endnotes" Target="endnotes.xml"/><Relationship Id="rId10" Type="http://schemas.openxmlformats.org/officeDocument/2006/relationships/image" Target="media/image5.jpg"/><Relationship Id="rId4" Type="http://schemas.openxmlformats.org/officeDocument/2006/relationships/footnotes" Target="footnotes.xml"/><Relationship Id="rId9" Type="http://schemas.openxmlformats.org/officeDocument/2006/relationships/image" Target="media/image4.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574</Words>
  <Characters>3276</Characters>
  <Application>Microsoft Office Word</Application>
  <DocSecurity>0</DocSecurity>
  <Lines>27</Lines>
  <Paragraphs>7</Paragraphs>
  <ScaleCrop>false</ScaleCrop>
  <Company/>
  <LinksUpToDate>false</LinksUpToDate>
  <CharactersWithSpaces>3843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Madeline Sanders</cp:lastModifiedBy>
  <cp:revision>2</cp:revision>
  <dcterms:created xsi:type="dcterms:W3CDTF">2024-07-22T22:39:00Z</dcterms:created>
  <dcterms:modified xsi:type="dcterms:W3CDTF">2024-07-22T22:39:00Z</dcterms:modified>
</cp:coreProperties>
</file>