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1C6F9" w14:textId="77777777" w:rsidR="00E5591C" w:rsidRPr="00E5591C" w:rsidRDefault="00E5591C" w:rsidP="00E5591C">
      <w:pPr>
        <w:rPr>
          <w:b/>
        </w:rPr>
      </w:pPr>
      <w:r w:rsidRPr="00E5591C">
        <w:rPr>
          <w:b/>
        </w:rPr>
        <w:t>Supplementary files</w:t>
      </w:r>
    </w:p>
    <w:p w14:paraId="2B3B1500" w14:textId="77777777" w:rsidR="00E5591C" w:rsidRPr="00E5591C" w:rsidRDefault="00E5591C" w:rsidP="00E5591C">
      <w:r w:rsidRPr="00E5591C">
        <w:rPr>
          <w:b/>
        </w:rPr>
        <w:t>Table S1.</w:t>
      </w:r>
      <w:r w:rsidRPr="00E5591C">
        <w:t xml:space="preserve"> RNA-Seq data for different flax stem tissues from control (non-inclined) and </w:t>
      </w:r>
      <w:proofErr w:type="spellStart"/>
      <w:r w:rsidRPr="00E5591C">
        <w:t>gravistimulated</w:t>
      </w:r>
      <w:proofErr w:type="spellEnd"/>
      <w:r w:rsidRPr="00E5591C">
        <w:t xml:space="preserve"> plants</w:t>
      </w:r>
    </w:p>
    <w:p w14:paraId="14A172F9" w14:textId="77777777" w:rsidR="00E5591C" w:rsidRPr="00E5591C" w:rsidRDefault="00E5591C" w:rsidP="00E5591C">
      <w:r w:rsidRPr="00E5591C">
        <w:rPr>
          <w:b/>
        </w:rPr>
        <w:t>Table S2.</w:t>
      </w:r>
      <w:r w:rsidRPr="00E5591C">
        <w:t xml:space="preserve"> RNA-Seq data for analysis of difference between the tissues located at the pulling and opposite stem sides in </w:t>
      </w:r>
      <w:proofErr w:type="spellStart"/>
      <w:r w:rsidRPr="00E5591C">
        <w:t>gravistimulated</w:t>
      </w:r>
      <w:proofErr w:type="spellEnd"/>
      <w:r w:rsidRPr="00E5591C">
        <w:t xml:space="preserve"> flax plants</w:t>
      </w:r>
    </w:p>
    <w:p w14:paraId="10C4895C" w14:textId="77777777" w:rsidR="00E5591C" w:rsidRPr="00E5591C" w:rsidRDefault="00E5591C" w:rsidP="00E5591C">
      <w:r w:rsidRPr="00E5591C">
        <w:rPr>
          <w:b/>
        </w:rPr>
        <w:t>Table S3.</w:t>
      </w:r>
      <w:r w:rsidRPr="00E5591C">
        <w:t xml:space="preserve"> RNA-Seq data for Fig. 8 (hormone-related), Fig. 11 (TCW-related), Fig. 12 (final scheme and Fig. S2)</w:t>
      </w:r>
    </w:p>
    <w:p w14:paraId="5ED64C29" w14:textId="77777777" w:rsidR="00E5591C" w:rsidRPr="00E5591C" w:rsidRDefault="00E5591C" w:rsidP="00E5591C"/>
    <w:p w14:paraId="5E34B482" w14:textId="358D780E" w:rsidR="00E5591C" w:rsidRPr="00E5591C" w:rsidRDefault="00E5591C" w:rsidP="00E5591C">
      <w:r w:rsidRPr="00E5591C">
        <w:rPr>
          <w:lang w:val="ru-RU"/>
        </w:rPr>
        <w:drawing>
          <wp:inline distT="0" distB="0" distL="0" distR="0" wp14:anchorId="65A3D815" wp14:editId="48EC8A96">
            <wp:extent cx="3762375" cy="5267325"/>
            <wp:effectExtent l="0" t="0" r="9525" b="9525"/>
            <wp:docPr id="8793578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DC37C" w14:textId="77777777" w:rsidR="00E5591C" w:rsidRPr="00E5591C" w:rsidRDefault="00E5591C" w:rsidP="00E5591C">
      <w:r w:rsidRPr="00E5591C">
        <w:rPr>
          <w:b/>
        </w:rPr>
        <w:t xml:space="preserve">Fig. S1 </w:t>
      </w:r>
      <w:r w:rsidRPr="00E5591C">
        <w:t xml:space="preserve">BCAA biosynthetic pathway. Visualization of the flax DEGs profile from cluster 1 (mean FC value for each gene across all comparison pairs of </w:t>
      </w:r>
      <w:proofErr w:type="gramStart"/>
      <w:r w:rsidRPr="00E5591C">
        <w:t>cluster</w:t>
      </w:r>
      <w:proofErr w:type="gramEnd"/>
      <w:r w:rsidRPr="00E5591C">
        <w:t xml:space="preserve"> 1 is less than or greater than 2, padj≤0.01) with the KEGG Mapper Color tool. The pathway "Valine, leucine and </w:t>
      </w:r>
      <w:proofErr w:type="spellStart"/>
      <w:r w:rsidRPr="00E5591C">
        <w:t>isoleucin</w:t>
      </w:r>
      <w:proofErr w:type="spellEnd"/>
      <w:r w:rsidRPr="00E5591C">
        <w:t xml:space="preserve"> biosynthesis" for the corresponding Arabidopsis homologs is shown. “Red color” – activation of the </w:t>
      </w:r>
      <w:r w:rsidRPr="00E5591C">
        <w:lastRenderedPageBreak/>
        <w:t>steps of BCAA synthesis by up-regulation of the expression of genes encoding the corresponding proteins.</w:t>
      </w:r>
    </w:p>
    <w:p w14:paraId="704120DE" w14:textId="77777777" w:rsidR="00E5591C" w:rsidRPr="00E5591C" w:rsidRDefault="00E5591C" w:rsidP="00E5591C">
      <w:pPr>
        <w:rPr>
          <w:b/>
        </w:rPr>
      </w:pPr>
      <w:r w:rsidRPr="00E5591C">
        <w:rPr>
          <w:b/>
        </w:rPr>
        <w:br w:type="page"/>
      </w:r>
    </w:p>
    <w:p w14:paraId="0D96E707" w14:textId="6CF87ECB" w:rsidR="00E5591C" w:rsidRPr="00E5591C" w:rsidRDefault="00E5591C" w:rsidP="00E5591C">
      <w:pPr>
        <w:rPr>
          <w:lang w:val="ru-RU"/>
        </w:rPr>
      </w:pPr>
      <w:r w:rsidRPr="00E5591C">
        <w:rPr>
          <w:lang w:val="ru-RU"/>
        </w:rPr>
        <w:lastRenderedPageBreak/>
        <w:drawing>
          <wp:inline distT="0" distB="0" distL="0" distR="0" wp14:anchorId="59A57837" wp14:editId="176083E9">
            <wp:extent cx="5943600" cy="5040630"/>
            <wp:effectExtent l="0" t="0" r="0" b="7620"/>
            <wp:docPr id="17096160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4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9AD1D" w14:textId="77777777" w:rsidR="00E5591C" w:rsidRPr="00E5591C" w:rsidRDefault="00E5591C" w:rsidP="00E5591C">
      <w:pPr>
        <w:rPr>
          <w:lang w:val="ru-RU"/>
        </w:rPr>
      </w:pPr>
    </w:p>
    <w:p w14:paraId="66E32CDD" w14:textId="77777777" w:rsidR="00E5591C" w:rsidRPr="00E5591C" w:rsidRDefault="00E5591C" w:rsidP="00E5591C">
      <w:pPr>
        <w:rPr>
          <w:b/>
        </w:rPr>
      </w:pPr>
      <w:r w:rsidRPr="00E5591C">
        <w:rPr>
          <w:b/>
        </w:rPr>
        <w:t xml:space="preserve">Fig. S2 </w:t>
      </w:r>
      <w:r w:rsidRPr="00E5591C">
        <w:t xml:space="preserve">Violin plots representing the distribution of gene expression (TGR (total gene reads) see in Table S3) for key hormone-related proteins: GA – gibberellic acid, CK – </w:t>
      </w:r>
      <w:proofErr w:type="spellStart"/>
      <w:r w:rsidRPr="00E5591C">
        <w:t>cytokinins</w:t>
      </w:r>
      <w:proofErr w:type="spellEnd"/>
      <w:r w:rsidRPr="00E5591C">
        <w:t xml:space="preserve">, BR – </w:t>
      </w:r>
      <w:proofErr w:type="spellStart"/>
      <w:r w:rsidRPr="00E5591C">
        <w:t>brassinosteroids</w:t>
      </w:r>
      <w:proofErr w:type="spellEnd"/>
      <w:r w:rsidRPr="00E5591C">
        <w:t>, ABA – abscisic acid</w:t>
      </w:r>
    </w:p>
    <w:p w14:paraId="6CE850A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91C"/>
    <w:rsid w:val="005374DE"/>
    <w:rsid w:val="00871FE1"/>
    <w:rsid w:val="008F2EFE"/>
    <w:rsid w:val="00AD1398"/>
    <w:rsid w:val="00E5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B02CC"/>
  <w15:chartTrackingRefBased/>
  <w15:docId w15:val="{942A13E2-56E7-4DD9-95EC-32A03E46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9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9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9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9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9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9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9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9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9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9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9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9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9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9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9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9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9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9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9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9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9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9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9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9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9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9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9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9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9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43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165</Words>
  <Characters>943</Characters>
  <Application>Microsoft Office Word</Application>
  <DocSecurity>0</DocSecurity>
  <Lines>7</Lines>
  <Paragraphs>2</Paragraphs>
  <ScaleCrop>false</ScaleCrop>
  <Company>Springer Nature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2024-10-04T08:21:00Z</dcterms:created>
  <dcterms:modified xsi:type="dcterms:W3CDTF">2024-10-04T08:21:00Z</dcterms:modified>
</cp:coreProperties>
</file>