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7407B" w14:textId="77777777" w:rsidR="00017383" w:rsidRDefault="00017383">
      <w:pPr>
        <w:spacing w:after="240" w:line="360" w:lineRule="auto"/>
        <w:rPr>
          <w:rFonts w:ascii="Times New Roman" w:eastAsia="Microsoft YaHei" w:hAnsi="Times New Roman" w:cs="Times New Roman"/>
          <w:sz w:val="24"/>
          <w:shd w:val="clear" w:color="auto" w:fill="FFFFFF"/>
          <w:lang w:val="en-US"/>
        </w:rPr>
      </w:pPr>
    </w:p>
    <w:p w14:paraId="30716F6D" w14:textId="77777777" w:rsidR="00017383" w:rsidRDefault="00017383">
      <w:pPr>
        <w:spacing w:after="240" w:line="360" w:lineRule="auto"/>
        <w:rPr>
          <w:rFonts w:ascii="Times New Roman" w:hAnsi="Times New Roman" w:cs="Times New Roman"/>
          <w:sz w:val="24"/>
          <w:lang w:val="en-US"/>
        </w:rPr>
      </w:pPr>
    </w:p>
    <w:p w14:paraId="0ACC70AF" w14:textId="77777777" w:rsidR="00017383" w:rsidRDefault="00000000">
      <w:pPr>
        <w:pStyle w:val="Heading3"/>
        <w:keepNext w:val="0"/>
        <w:keepLines w:val="0"/>
        <w:widowControl/>
        <w:spacing w:before="400" w:after="360" w:line="360" w:lineRule="auto"/>
        <w:rPr>
          <w:rFonts w:ascii="Times New Roman" w:hAnsi="Times New Roman" w:hint="default"/>
          <w:bCs w:val="0"/>
          <w:color w:val="auto"/>
          <w:sz w:val="24"/>
          <w:szCs w:val="24"/>
        </w:rPr>
      </w:pPr>
      <w:r>
        <w:rPr>
          <w:rFonts w:ascii="Times New Roman" w:hAnsi="Times New Roman"/>
          <w:bCs w:val="0"/>
          <w:color w:val="auto"/>
          <w:sz w:val="24"/>
          <w:szCs w:val="24"/>
        </w:rPr>
        <w:t>Supplementary</w:t>
      </w:r>
      <w:r>
        <w:rPr>
          <w:rFonts w:ascii="Times New Roman" w:hAnsi="Times New Roman" w:hint="default"/>
          <w:bCs w:val="0"/>
          <w:color w:val="auto"/>
          <w:sz w:val="24"/>
          <w:szCs w:val="24"/>
        </w:rPr>
        <w:t xml:space="preserve"> table</w:t>
      </w:r>
      <w:r>
        <w:rPr>
          <w:rFonts w:ascii="Times New Roman" w:hAnsi="Times New Roman"/>
          <w:bCs w:val="0"/>
          <w:color w:val="auto"/>
          <w:sz w:val="24"/>
          <w:szCs w:val="24"/>
        </w:rPr>
        <w:t xml:space="preserve"> 1. Antibodies informations</w:t>
      </w:r>
    </w:p>
    <w:tbl>
      <w:tblPr>
        <w:tblW w:w="828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931"/>
        <w:gridCol w:w="2467"/>
        <w:gridCol w:w="2883"/>
      </w:tblGrid>
      <w:tr w:rsidR="00017383" w14:paraId="1CDE79B0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00B930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Antibodies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7139EB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SOURCE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6BD07B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IDENTIFIER</w:t>
            </w:r>
          </w:p>
        </w:tc>
      </w:tr>
      <w:tr w:rsidR="00017383" w14:paraId="21A68EDA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DEF05D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anti-HMGCS2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5C0E09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Abcam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37459D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ab137043</w:t>
            </w:r>
          </w:p>
        </w:tc>
      </w:tr>
      <w:tr w:rsidR="00017383" w14:paraId="4FB07416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DC3189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Mouse anti-HSD3β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0921E3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Santa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09DC58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sc515120</w:t>
            </w:r>
          </w:p>
        </w:tc>
      </w:tr>
      <w:tr w:rsidR="00017383" w14:paraId="78C3E1AE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F623CD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anti-CYP17A1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6C5F86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3D8370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94004S</w:t>
            </w:r>
          </w:p>
        </w:tc>
      </w:tr>
      <w:tr w:rsidR="00017383" w14:paraId="0C3DEEF7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DB5BDC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anti-γ-H2AX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03D848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Abcam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312331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ab26350</w:t>
            </w:r>
          </w:p>
        </w:tc>
      </w:tr>
      <w:tr w:rsidR="00017383" w14:paraId="38154A8F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F0540C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anti-P21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7925A2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Abcam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49A21F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ab188224</w:t>
            </w:r>
          </w:p>
        </w:tc>
      </w:tr>
      <w:tr w:rsidR="00017383" w14:paraId="3CCB8AAF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3DA1D4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anti-FOXO3a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1A1F1A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CC06AB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2497S</w:t>
            </w:r>
          </w:p>
        </w:tc>
      </w:tr>
      <w:tr w:rsidR="00017383" w14:paraId="5E1D11D7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7943F7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anti-H3K9ac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D5323D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9932C7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9649S</w:t>
            </w:r>
          </w:p>
        </w:tc>
      </w:tr>
      <w:tr w:rsidR="00017383" w14:paraId="0EC8C8CD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C424BA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anti-H3K9bhb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65E459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PTM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9A0F44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PTM1250RM</w:t>
            </w:r>
          </w:p>
        </w:tc>
      </w:tr>
      <w:tr w:rsidR="00017383" w14:paraId="3034DA43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7CC14F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Mouse anti-Histone H3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B4E612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Santa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8F1682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sc517576</w:t>
            </w:r>
          </w:p>
        </w:tc>
      </w:tr>
      <w:tr w:rsidR="00017383" w14:paraId="3DD4F981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6A6041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Rabbit anti-GAPDH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9F8F38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HUABIO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EA43D6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et1601-4</w:t>
            </w:r>
          </w:p>
        </w:tc>
      </w:tr>
      <w:tr w:rsidR="00017383" w14:paraId="6A0CA99E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E749637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Chicken anti-mCHERRY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9B3995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Abcam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A0E84E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Cat#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ab205402</w:t>
            </w:r>
          </w:p>
        </w:tc>
      </w:tr>
      <w:tr w:rsidR="00017383" w14:paraId="0F00A805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2D3F23C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Goat Anti-rabbit Alexa Fluor 488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800A77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Invitrogen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C26290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Cat#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A11037</w:t>
            </w:r>
          </w:p>
        </w:tc>
      </w:tr>
      <w:tr w:rsidR="00017383" w14:paraId="49CE01BE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73A7D64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Goat Anti-rabbit Alexa Fluor 647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9E93A4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Invitrogen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36E4EB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Cat#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A32733</w:t>
            </w:r>
          </w:p>
        </w:tc>
      </w:tr>
      <w:tr w:rsidR="00017383" w14:paraId="7C051925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F25B242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Goat Anti-mouse Alexa Fluor 555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4347ED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Invitrogen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CF2070B" w14:textId="77777777" w:rsidR="00017383" w:rsidRDefault="00000000">
            <w:pPr>
              <w:widowControl/>
              <w:tabs>
                <w:tab w:val="left" w:pos="225"/>
              </w:tabs>
              <w:spacing w:line="360" w:lineRule="auto"/>
              <w:ind w:firstLineChars="100" w:firstLine="240"/>
              <w:jc w:val="center"/>
              <w:textAlignment w:val="center"/>
              <w:rPr>
                <w:rFonts w:ascii="Times New Roman" w:eastAsia="Microsoft YaHei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A32727</w:t>
            </w:r>
          </w:p>
        </w:tc>
      </w:tr>
      <w:tr w:rsidR="00017383" w14:paraId="1DD55AC8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AA28CB6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lastRenderedPageBreak/>
              <w:t>Goat Anti-chicken Alexa Fluor 555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8FD0E1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Invitrogen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F12586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Cat#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A32932</w:t>
            </w:r>
          </w:p>
        </w:tc>
      </w:tr>
      <w:tr w:rsidR="00017383" w14:paraId="0525588E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D086075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Goat Anti-rabbit Alexa Fluor 594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5692C0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Invitrogen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ECA622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A32740</w:t>
            </w:r>
          </w:p>
        </w:tc>
      </w:tr>
      <w:tr w:rsidR="00017383" w14:paraId="6A9254CF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4C2EAE6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Anti-Mouse-IgG HRPLINKED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4BA2C9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54D1E5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7074S</w:t>
            </w:r>
          </w:p>
        </w:tc>
      </w:tr>
      <w:tr w:rsidR="00017383" w14:paraId="09436D1B" w14:textId="77777777">
        <w:trPr>
          <w:trHeight w:val="624"/>
        </w:trPr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ACC7B8B" w14:textId="77777777" w:rsidR="00017383" w:rsidRDefault="00000000">
            <w:pPr>
              <w:widowControl/>
              <w:spacing w:line="360" w:lineRule="auto"/>
              <w:ind w:leftChars="114" w:left="239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Anti-Rabbit-IgG HRPLINKED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1AC3E0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7D3F3F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7076S</w:t>
            </w:r>
          </w:p>
        </w:tc>
      </w:tr>
    </w:tbl>
    <w:p w14:paraId="7ABD4985" w14:textId="77777777" w:rsidR="00017383" w:rsidRDefault="00000000">
      <w:pPr>
        <w:pStyle w:val="Heading3"/>
        <w:keepNext w:val="0"/>
        <w:keepLines w:val="0"/>
        <w:widowControl/>
        <w:spacing w:before="400" w:after="360" w:line="360" w:lineRule="auto"/>
        <w:rPr>
          <w:rFonts w:ascii="Times New Roman" w:hAnsi="Times New Roman" w:hint="default"/>
          <w:sz w:val="24"/>
        </w:rPr>
      </w:pPr>
      <w:r>
        <w:rPr>
          <w:rFonts w:ascii="Times New Roman" w:hAnsi="Times New Roman"/>
          <w:bCs w:val="0"/>
          <w:color w:val="auto"/>
          <w:sz w:val="24"/>
          <w:szCs w:val="24"/>
        </w:rPr>
        <w:t>Supplementary</w:t>
      </w:r>
      <w:r>
        <w:rPr>
          <w:rFonts w:ascii="Times New Roman" w:hAnsi="Times New Roman" w:hint="default"/>
          <w:bCs w:val="0"/>
          <w:color w:val="auto"/>
          <w:sz w:val="24"/>
          <w:szCs w:val="24"/>
        </w:rPr>
        <w:t xml:space="preserve"> table</w:t>
      </w:r>
      <w:r>
        <w:rPr>
          <w:rFonts w:ascii="Times New Roman" w:hAnsi="Times New Roman"/>
          <w:bCs w:val="0"/>
          <w:color w:val="auto"/>
          <w:sz w:val="24"/>
          <w:szCs w:val="24"/>
        </w:rPr>
        <w:t xml:space="preserve"> 2. Chemicals and recombinant proteins information.</w:t>
      </w:r>
    </w:p>
    <w:tbl>
      <w:tblPr>
        <w:tblW w:w="828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565"/>
        <w:gridCol w:w="1955"/>
        <w:gridCol w:w="2761"/>
      </w:tblGrid>
      <w:tr w:rsidR="00017383" w14:paraId="5D8F6F7E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ABA73AB" w14:textId="77777777" w:rsidR="00017383" w:rsidRDefault="00017383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DF446C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SOURCE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F4D24F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IDENTIFIER</w:t>
            </w:r>
          </w:p>
        </w:tc>
      </w:tr>
      <w:tr w:rsidR="00017383" w14:paraId="2595CC52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2B5203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Avertin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9A1F05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48D237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7076S</w:t>
            </w:r>
          </w:p>
        </w:tc>
      </w:tr>
      <w:tr w:rsidR="00017383" w14:paraId="2D337029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ECC1B9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Triton X-100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74B335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AFE69F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X100</w:t>
            </w:r>
          </w:p>
        </w:tc>
      </w:tr>
      <w:tr w:rsidR="00017383" w14:paraId="286746E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962A96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Chorionic gonadotropin human (hCG)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90A1D2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40D2C4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1297001</w:t>
            </w:r>
          </w:p>
        </w:tc>
      </w:tr>
      <w:tr w:rsidR="00017383" w14:paraId="5B9B9149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D16DEF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Bouin’s solution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1753AB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9598DA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HT10132</w:t>
            </w:r>
          </w:p>
        </w:tc>
      </w:tr>
      <w:tr w:rsidR="00017383" w14:paraId="4811DAF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A218D0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DAPI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42B90B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Invitrogen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65BBA9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 </w:t>
            </w:r>
            <w:hyperlink r:id="rId8" w:history="1">
              <w:r>
                <w:rPr>
                  <w:rFonts w:ascii="Times New Roman" w:hAnsi="Times New Roman" w:cs="Times New Roman"/>
                  <w:kern w:val="0"/>
                  <w:sz w:val="24"/>
                  <w:lang w:val="en-US" w:bidi="ar"/>
                </w:rPr>
                <w:t>P36966</w:t>
              </w:r>
            </w:hyperlink>
          </w:p>
        </w:tc>
      </w:tr>
      <w:tr w:rsidR="00017383" w14:paraId="28408CE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009303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Bovine Serum Albumin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B8B473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938848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A7030</w:t>
            </w:r>
          </w:p>
        </w:tc>
      </w:tr>
      <w:tr w:rsidR="00017383" w14:paraId="0B6F2985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F694DC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Tissue-Tek® O.C.T. Compound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5DACF4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Sakura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64E787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4583</w:t>
            </w:r>
          </w:p>
        </w:tc>
      </w:tr>
      <w:tr w:rsidR="00017383" w14:paraId="12706F3B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2989C1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Recombinant NovoScript 1st Strand cDNA Synthesis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3A846B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Novoprotein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9ACBA3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E041</w:t>
            </w:r>
          </w:p>
        </w:tc>
      </w:tr>
      <w:tr w:rsidR="00017383" w14:paraId="16936E89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E67D41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RNeasy Kits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040764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YIBIN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4059E3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74116</w:t>
            </w:r>
          </w:p>
        </w:tc>
      </w:tr>
      <w:tr w:rsidR="00017383" w14:paraId="74BE361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1044D6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LightCycler® 480 SYBR Green I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D1ADEE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Roche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AE7413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 04887352001</w:t>
            </w:r>
          </w:p>
        </w:tc>
      </w:tr>
      <w:tr w:rsidR="00017383" w14:paraId="0E470D8E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02D2EE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lastRenderedPageBreak/>
              <w:t>Senescence β-Galactosidase Staining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06C153A" w14:textId="77777777" w:rsidR="00017383" w:rsidRDefault="00000000">
            <w:pPr>
              <w:widowControl/>
              <w:spacing w:line="360" w:lineRule="auto"/>
              <w:ind w:firstLineChars="100" w:firstLine="21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hyperlink r:id="rId9" w:tgtFrame="https://www.baidu.com/_blank" w:history="1">
              <w:r>
                <w:rPr>
                  <w:rFonts w:ascii="Times New Roman" w:hAnsi="Times New Roman" w:cs="Times New Roman"/>
                  <w:kern w:val="0"/>
                  <w:sz w:val="24"/>
                  <w:lang w:val="en-US" w:bidi="ar"/>
                </w:rPr>
                <w:t>Beyotime</w:t>
              </w:r>
            </w:hyperlink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D77215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C0602</w:t>
            </w:r>
          </w:p>
        </w:tc>
      </w:tr>
      <w:tr w:rsidR="00017383" w14:paraId="5D462E1B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6DFB94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LH Elisa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FD4D26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Cloud-clone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299B1C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CEA441Mu</w:t>
            </w:r>
          </w:p>
        </w:tc>
      </w:tr>
      <w:tr w:rsidR="00017383" w14:paraId="5F9527C4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863A39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FSH Elisa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187CA4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Cloud-clone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167A0E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CEA830Mu</w:t>
            </w:r>
          </w:p>
        </w:tc>
      </w:tr>
      <w:tr w:rsidR="00017383" w14:paraId="3E871529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823869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Insl3 Elisa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5EEF00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Phoenix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A7BE82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EK-035-43</w:t>
            </w:r>
          </w:p>
        </w:tc>
      </w:tr>
      <w:tr w:rsidR="00017383" w14:paraId="5CD76FC4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F43A7A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Acetoacetate Assay kit (Colorimetric)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184734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Abcam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1469BE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ab180875</w:t>
            </w:r>
          </w:p>
        </w:tc>
      </w:tr>
      <w:tr w:rsidR="00017383" w14:paraId="1744E5AE" w14:textId="77777777">
        <w:trPr>
          <w:trHeight w:val="985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FE7884C" w14:textId="77777777" w:rsidR="00017383" w:rsidRDefault="00000000">
            <w:pPr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β-Hydroxybutyrate (Ketone Body) Colorimetric Assay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0649A2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Cayman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E79F1F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700190</w:t>
            </w:r>
          </w:p>
        </w:tc>
      </w:tr>
      <w:tr w:rsidR="00017383" w14:paraId="74D27015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92C0E9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RNA Quick Purification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A39850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Yibin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BB1889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RN001</w:t>
            </w:r>
          </w:p>
        </w:tc>
      </w:tr>
      <w:tr w:rsidR="00017383" w14:paraId="1AFDEB35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822C44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SimpleChIP® Enzymatic Chromatin IP Kit (Magnetic Beads)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8D17C6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CST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79DC79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9003</w:t>
            </w:r>
          </w:p>
        </w:tc>
      </w:tr>
      <w:tr w:rsidR="00017383" w14:paraId="6B092306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A35087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PFA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F92067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Phygene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00E98D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PH0427</w:t>
            </w:r>
          </w:p>
        </w:tc>
      </w:tr>
      <w:tr w:rsidR="00017383" w14:paraId="025892B0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891979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TIAN amp Genomic DNA kit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472346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TIANGEN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C505EF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4992254</w:t>
            </w:r>
          </w:p>
        </w:tc>
      </w:tr>
      <w:tr w:rsidR="00017383" w14:paraId="56584A0C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B0012B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Hymeglusin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CDA2FA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MCE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963D7B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Cat# </w:t>
            </w:r>
            <w:hyperlink r:id="rId10" w:history="1">
              <w:r>
                <w:rPr>
                  <w:rFonts w:ascii="Times New Roman" w:hAnsi="Times New Roman" w:cs="Times New Roman"/>
                  <w:kern w:val="0"/>
                  <w:sz w:val="24"/>
                  <w:lang w:val="en-US" w:bidi="ar"/>
                </w:rPr>
                <w:t>HY-117430</w:t>
              </w:r>
            </w:hyperlink>
          </w:p>
        </w:tc>
      </w:tr>
      <w:tr w:rsidR="00017383" w14:paraId="3487C8BF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41D86C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3-Hydroxybutyric acid sodium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BC840A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MEC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C6547F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HY-W010452</w:t>
            </w:r>
          </w:p>
        </w:tc>
      </w:tr>
      <w:tr w:rsidR="00017383" w14:paraId="4FBA410D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82D095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Lithium acetoacetate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2CB88F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Sigma-Aldrich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553824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A8509</w:t>
            </w:r>
          </w:p>
        </w:tc>
      </w:tr>
      <w:tr w:rsidR="00017383" w14:paraId="615C52B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75E665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Vorinostat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B88F08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MCE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F80F5A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SML0061</w:t>
            </w:r>
          </w:p>
        </w:tc>
      </w:tr>
      <w:tr w:rsidR="00017383" w14:paraId="43A03A86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DDD406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Hydrogen peroxide (3%)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BFC325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Hengjian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52410A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NA</w:t>
            </w:r>
          </w:p>
        </w:tc>
      </w:tr>
      <w:tr w:rsidR="00017383" w14:paraId="48483C64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4F20EA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Doxorubicin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52A078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MCE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87053B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D1515</w:t>
            </w:r>
          </w:p>
        </w:tc>
      </w:tr>
      <w:tr w:rsidR="00017383" w14:paraId="626C30C3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641A8E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t>DNase I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FF9D1A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t>Gibco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DECD9C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18047019</w:t>
            </w:r>
          </w:p>
        </w:tc>
      </w:tr>
      <w:tr w:rsidR="00017383" w14:paraId="51044240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B9797E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Type IV Collagenase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1AA9A4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Gibco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8EDAC9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17104019</w:t>
            </w:r>
          </w:p>
        </w:tc>
      </w:tr>
      <w:tr w:rsidR="00017383" w14:paraId="666C03D2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B6E801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lastRenderedPageBreak/>
              <w:t>StemPro Accutase®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933FED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t>Invitrogen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AC36E5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t>Cat# A1110501</w:t>
            </w:r>
          </w:p>
        </w:tc>
      </w:tr>
      <w:tr w:rsidR="00017383" w14:paraId="50B031D6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58DB8CC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 w:bidi="ar"/>
              </w:rPr>
              <w:t>0.25% Trypsin-EDTA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79B52B1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Gibco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64358B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25200072</w:t>
            </w:r>
          </w:p>
        </w:tc>
      </w:tr>
      <w:tr w:rsidR="00017383" w14:paraId="4AA75AE1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274BD2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GlutaMAX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38955E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Gibco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6B1B63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35050061</w:t>
            </w:r>
          </w:p>
        </w:tc>
      </w:tr>
      <w:tr w:rsidR="00017383" w14:paraId="6CB580EF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15644D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eastAsia="DengXi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KetoForce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359C343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KetoSports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48CE83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eastAsia="DengXi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NA</w:t>
            </w:r>
          </w:p>
        </w:tc>
      </w:tr>
      <w:tr w:rsidR="00017383" w14:paraId="5EE8E03D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0A2053C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Citrate Antigen Retrieval Solution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153BA66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Beyotime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C6CA45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C0602-1</w:t>
            </w:r>
          </w:p>
        </w:tc>
      </w:tr>
      <w:tr w:rsidR="00017383" w14:paraId="235BFA23" w14:textId="77777777">
        <w:trPr>
          <w:trHeight w:val="624"/>
        </w:trPr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26EF671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n-US"/>
              </w:rPr>
              <w:t>RIPA buffer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4951C80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Beyotime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14:paraId="617367A4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Cat# P0013B</w:t>
            </w:r>
          </w:p>
        </w:tc>
      </w:tr>
    </w:tbl>
    <w:p w14:paraId="1A97D859" w14:textId="77777777" w:rsidR="00017383" w:rsidRDefault="00000000">
      <w:pPr>
        <w:spacing w:beforeLines="100" w:before="312" w:after="240" w:line="36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 w:hint="eastAsia"/>
          <w:b/>
          <w:sz w:val="24"/>
          <w:lang w:val="en-US"/>
        </w:rPr>
        <w:t>Supplementary table 3. Primers informations for Quantitative RT-PCR</w:t>
      </w:r>
    </w:p>
    <w:tbl>
      <w:tblPr>
        <w:tblW w:w="833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6068"/>
      </w:tblGrid>
      <w:tr w:rsidR="00017383" w14:paraId="63FD9F19" w14:textId="77777777">
        <w:trPr>
          <w:trHeight w:val="646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539AA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Gene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6208E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Primers for Quantitative RT-PCR</w:t>
            </w:r>
          </w:p>
        </w:tc>
      </w:tr>
      <w:tr w:rsidR="00017383" w14:paraId="323368F2" w14:textId="77777777">
        <w:trPr>
          <w:trHeight w:val="646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CD800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Hmgcs2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5C01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forward: AGAGAGCGATGCAGGAAACTT</w:t>
            </w:r>
          </w:p>
          <w:p w14:paraId="5096547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reverse: AAGGATGCCCACATCTTTTGG</w:t>
            </w:r>
          </w:p>
        </w:tc>
      </w:tr>
      <w:tr w:rsidR="00017383" w14:paraId="6EAA20B3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DCE3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Acat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ED576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forward: CAGGAAGTAAGATGCCTGGAAC </w:t>
            </w:r>
          </w:p>
          <w:p w14:paraId="043E8CB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reverse: TGCAGCAGTACCAAGTTTAGTG</w:t>
            </w:r>
          </w:p>
        </w:tc>
      </w:tr>
      <w:tr w:rsidR="00017383" w14:paraId="7DC6E545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B55E67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Hmgcl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F3542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forward: CAGGTGAAGATCGTGGAAGTC</w:t>
            </w:r>
          </w:p>
          <w:p w14:paraId="00EF777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reverse: GGAGCCCTGCTTCGGAAAC</w:t>
            </w:r>
          </w:p>
        </w:tc>
      </w:tr>
      <w:tr w:rsidR="00017383" w14:paraId="014C80F2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68E7D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Cxcl1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A5318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CTGGGATTCACCTCAAGAACATC</w:t>
            </w:r>
          </w:p>
          <w:p w14:paraId="256A7D0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CAGGGTCAAGGCAAGCCTC</w:t>
            </w:r>
          </w:p>
        </w:tc>
      </w:tr>
      <w:tr w:rsidR="00017383" w14:paraId="60E4DA6C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FB64E1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Cxcl10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5A08F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CCAAGTGCTGCCGTCATTTTC</w:t>
            </w:r>
          </w:p>
          <w:p w14:paraId="4215FF0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GGCTCGCAGGGATGATTTCAA</w:t>
            </w:r>
          </w:p>
        </w:tc>
      </w:tr>
      <w:tr w:rsidR="00017383" w14:paraId="2E337F2D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9C5440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P16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58EE1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CTTCTGCTCAACTACGGTGC</w:t>
            </w:r>
          </w:p>
          <w:p w14:paraId="4CB3F10E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GCACGATGTCTTGATGTCCC</w:t>
            </w:r>
          </w:p>
        </w:tc>
      </w:tr>
      <w:tr w:rsidR="00017383" w14:paraId="7AAFB07E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A2BA11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P21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C8D40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CCTGGTGATGTCCGACCTG</w:t>
            </w:r>
          </w:p>
          <w:p w14:paraId="647BC133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CCATGAGCGCATCGCAATC</w:t>
            </w:r>
          </w:p>
        </w:tc>
      </w:tr>
      <w:tr w:rsidR="00017383" w14:paraId="29223680" w14:textId="77777777">
        <w:trPr>
          <w:trHeight w:val="70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12D25A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Pai1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1C94D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TTCAGCCCTTGCTTGCCTC</w:t>
            </w:r>
          </w:p>
          <w:p w14:paraId="05870D9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ACACTTTTACTCCGAAGTCGGT</w:t>
            </w:r>
          </w:p>
        </w:tc>
      </w:tr>
      <w:tr w:rsidR="00017383" w14:paraId="7D95ED87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9186A6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lastRenderedPageBreak/>
              <w:t>β-Actin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E73FF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ACCGTGAAAAGATGACCCAG</w:t>
            </w:r>
          </w:p>
          <w:p w14:paraId="078E6A70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GTACGACCAGAGGCATACAG</w:t>
            </w:r>
          </w:p>
        </w:tc>
      </w:tr>
      <w:tr w:rsidR="00017383" w14:paraId="0BD3D105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C63FA3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Hdac1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844A1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AGTCTGTTACTACTACGACGGG</w:t>
            </w:r>
          </w:p>
          <w:p w14:paraId="111C757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TGAGCAGCAAATTGTGAGTCAT</w:t>
            </w:r>
          </w:p>
        </w:tc>
      </w:tr>
      <w:tr w:rsidR="00017383" w14:paraId="18E4E000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065E6B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Hdac2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61122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GGAGGAGGCTACACAATCCG</w:t>
            </w:r>
          </w:p>
          <w:p w14:paraId="32022F7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TCTGGAGTGTTCTGGTTTGTCA</w:t>
            </w:r>
          </w:p>
        </w:tc>
      </w:tr>
      <w:tr w:rsidR="00017383" w14:paraId="5E25557B" w14:textId="77777777">
        <w:trPr>
          <w:trHeight w:val="66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7210B5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Hdac3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F7A5C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GCCAAGACCGTGGCGTATT</w:t>
            </w:r>
          </w:p>
          <w:p w14:paraId="389F9BB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GTCCAGCTCCATAGTGGAAGT</w:t>
            </w:r>
          </w:p>
        </w:tc>
      </w:tr>
    </w:tbl>
    <w:p w14:paraId="594D2AA5" w14:textId="77777777" w:rsidR="00017383" w:rsidRDefault="00000000">
      <w:pPr>
        <w:spacing w:beforeLines="100" w:before="312" w:after="240" w:line="360" w:lineRule="auto"/>
        <w:rPr>
          <w:rFonts w:ascii="Times New Roman" w:eastAsia="Microsoft YaHei" w:hAnsi="Times New Roman" w:cs="Times New Roman"/>
          <w:sz w:val="24"/>
          <w:shd w:val="clear" w:color="auto" w:fill="FFFFFF"/>
          <w:lang w:val="en-US"/>
        </w:rPr>
      </w:pPr>
      <w:r>
        <w:rPr>
          <w:rFonts w:ascii="Times New Roman" w:hAnsi="Times New Roman" w:cs="Times New Roman" w:hint="eastAsia"/>
          <w:b/>
          <w:sz w:val="24"/>
          <w:lang w:val="en-US"/>
        </w:rPr>
        <w:t>Supplementary table 4. Primers informations for Genotyping</w:t>
      </w:r>
    </w:p>
    <w:tbl>
      <w:tblPr>
        <w:tblW w:w="833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6068"/>
      </w:tblGrid>
      <w:tr w:rsidR="00017383" w14:paraId="100A6E43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69E96A" w14:textId="77777777" w:rsidR="00017383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Gene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2C497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Primers for Genotyping</w:t>
            </w:r>
          </w:p>
        </w:tc>
      </w:tr>
      <w:tr w:rsidR="00017383" w14:paraId="188E481F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34CC17" w14:textId="77777777" w:rsidR="00017383" w:rsidRDefault="00000000">
            <w:pPr>
              <w:widowControl/>
              <w:spacing w:line="360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i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Hmgcs2</w:t>
            </w:r>
            <w:r>
              <w:rPr>
                <w:rFonts w:ascii="Times New Roman" w:hAnsi="Times New Roman" w:cs="Times New Roman"/>
                <w:iCs/>
                <w:kern w:val="0"/>
                <w:sz w:val="24"/>
                <w:lang w:val="en-US" w:bidi="ar"/>
              </w:rPr>
              <w:t xml:space="preserve"> (</w:t>
            </w:r>
            <w:r>
              <w:rPr>
                <w:rFonts w:ascii="Times New Roman" w:eastAsia="SimSun" w:hAnsi="Times New Roman" w:cs="Times New Roman"/>
                <w:iCs/>
                <w:kern w:val="0"/>
                <w:sz w:val="24"/>
                <w:lang w:val="en-US" w:bidi="ar"/>
              </w:rPr>
              <w:t>5'arm</w:t>
            </w:r>
            <w:r>
              <w:rPr>
                <w:rFonts w:ascii="Times New Roman" w:hAnsi="Times New Roman" w:cs="Times New Roman"/>
                <w:iCs/>
                <w:kern w:val="0"/>
                <w:sz w:val="24"/>
                <w:lang w:val="en-US" w:bidi="ar"/>
              </w:rPr>
              <w:t>)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680B2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</w:t>
            </w: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 CTTATGGAGATCAGACGCATAC </w:t>
            </w:r>
          </w:p>
          <w:p w14:paraId="4A040DB2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 xml:space="preserve">reverse: </w:t>
            </w: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TGCATGTATGTTTGCAGGC</w:t>
            </w:r>
          </w:p>
        </w:tc>
      </w:tr>
      <w:tr w:rsidR="00017383" w14:paraId="2AE3CD73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719AAA" w14:textId="77777777" w:rsidR="00017383" w:rsidRDefault="00000000">
            <w:pPr>
              <w:widowControl/>
              <w:spacing w:line="360" w:lineRule="auto"/>
              <w:ind w:firstLineChars="100" w:firstLine="240"/>
              <w:textAlignment w:val="top"/>
              <w:rPr>
                <w:rFonts w:ascii="Times New Roman" w:eastAsia="DengXi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 xml:space="preserve">Hmgcs2 </w:t>
            </w:r>
            <w:r>
              <w:rPr>
                <w:rFonts w:ascii="Times New Roman" w:hAnsi="Times New Roman" w:cs="Times New Roman"/>
                <w:iCs/>
                <w:kern w:val="0"/>
                <w:sz w:val="24"/>
                <w:lang w:val="en-US" w:bidi="ar"/>
              </w:rPr>
              <w:t>(3'arm)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473797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</w:t>
            </w: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 xml:space="preserve"> CCCAGCACTTATGTATCCTCTG</w:t>
            </w:r>
          </w:p>
          <w:p w14:paraId="512C4870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 xml:space="preserve">reverse: </w:t>
            </w: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CGGCTCAGGGAACATCAC</w:t>
            </w:r>
          </w:p>
        </w:tc>
      </w:tr>
    </w:tbl>
    <w:p w14:paraId="004D89AD" w14:textId="77777777" w:rsidR="00017383" w:rsidRDefault="00000000">
      <w:pPr>
        <w:spacing w:beforeLines="100" w:before="312" w:after="240" w:line="360" w:lineRule="auto"/>
        <w:rPr>
          <w:rFonts w:ascii="Times New Roman" w:eastAsia="Microsoft YaHei" w:hAnsi="Times New Roman" w:cs="Times New Roman"/>
          <w:b/>
          <w:sz w:val="24"/>
          <w:shd w:val="clear" w:color="auto" w:fill="FFFFFF"/>
          <w:lang w:val="en-US"/>
        </w:rPr>
      </w:pPr>
      <w:r>
        <w:rPr>
          <w:rFonts w:ascii="Times New Roman" w:hAnsi="Times New Roman" w:cs="Times New Roman" w:hint="eastAsia"/>
          <w:b/>
          <w:sz w:val="24"/>
          <w:lang w:val="en-US"/>
        </w:rPr>
        <w:t>Supplementary table 5. Primers informations for chip-qPCR</w:t>
      </w:r>
    </w:p>
    <w:tbl>
      <w:tblPr>
        <w:tblW w:w="833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6068"/>
      </w:tblGrid>
      <w:tr w:rsidR="00017383" w14:paraId="09A9D5B2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A75D9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Gene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BEE02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Primers for chip-qPCR</w:t>
            </w:r>
          </w:p>
        </w:tc>
      </w:tr>
      <w:tr w:rsidR="00017383" w14:paraId="0AE6944B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77B081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Foxo3a-1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BB307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GGGGAACCTGTCCTATGCC</w:t>
            </w:r>
          </w:p>
          <w:p w14:paraId="753EF269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TCATTCTGAACGCGCATGAAG</w:t>
            </w:r>
          </w:p>
        </w:tc>
      </w:tr>
      <w:tr w:rsidR="00017383" w14:paraId="6C5DCCD5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D3B552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Foxo3a-2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FEDD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 xml:space="preserve">forward: CATGCGCGTTCAGAATGAAGG </w:t>
            </w:r>
          </w:p>
          <w:p w14:paraId="47B4564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GACTGTCGTCTGCCGACTC</w:t>
            </w:r>
          </w:p>
        </w:tc>
      </w:tr>
      <w:tr w:rsidR="00017383" w14:paraId="1656E8DC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8803AF" w14:textId="77777777" w:rsidR="00017383" w:rsidRDefault="0000000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bidi="ar"/>
              </w:rPr>
              <w:t>Foxo3a-3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02379A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forward: CTGGGGGAACCTGTCCTATG</w:t>
            </w:r>
          </w:p>
          <w:p w14:paraId="261BDF6C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reverse: TCATTCTGAACGCGCATGAAG</w:t>
            </w:r>
          </w:p>
        </w:tc>
      </w:tr>
    </w:tbl>
    <w:p w14:paraId="1F30035C" w14:textId="77777777" w:rsidR="00017383" w:rsidRDefault="00000000">
      <w:pPr>
        <w:spacing w:beforeLines="100" w:before="312" w:after="240"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 w:hint="eastAsia"/>
          <w:b/>
          <w:sz w:val="24"/>
          <w:lang w:val="en-US"/>
        </w:rPr>
        <w:t>Supplementary table 6. sh-RNA target sequence</w:t>
      </w:r>
    </w:p>
    <w:tbl>
      <w:tblPr>
        <w:tblW w:w="833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6068"/>
      </w:tblGrid>
      <w:tr w:rsidR="00017383" w14:paraId="0BD567C9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FDA62F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sh-RNA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DD10AD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val="en-US" w:bidi="ar"/>
              </w:rPr>
              <w:t>Target sequence</w:t>
            </w:r>
          </w:p>
        </w:tc>
      </w:tr>
      <w:tr w:rsidR="00017383" w14:paraId="51868E1B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FB4092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lastRenderedPageBreak/>
              <w:t>Hmgcs2-1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E8DD83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GGGAACATGTACACCTCTTCC</w:t>
            </w:r>
          </w:p>
        </w:tc>
      </w:tr>
      <w:tr w:rsidR="00017383" w14:paraId="6ECFDEBE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67F65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Hmgcs2-2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21A83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GGAAGCAAGCTGGAAACAACC</w:t>
            </w:r>
          </w:p>
        </w:tc>
      </w:tr>
      <w:tr w:rsidR="00017383" w14:paraId="44FD26BF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0FFFB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Hdac1-1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891BD2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GATGTTGGAAACTACTATTAT</w:t>
            </w:r>
          </w:p>
        </w:tc>
      </w:tr>
      <w:tr w:rsidR="00017383" w14:paraId="428F2874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C456F6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Hdac1-2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48F296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GCCAGTCATGTCCAAAGTAAT</w:t>
            </w:r>
          </w:p>
        </w:tc>
      </w:tr>
      <w:tr w:rsidR="00017383" w14:paraId="24AF600E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0FBA51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Foxo3a-1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6B768A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GGATGACGTCCAGGATGATGA</w:t>
            </w:r>
          </w:p>
        </w:tc>
      </w:tr>
      <w:tr w:rsidR="00017383" w14:paraId="48F30198" w14:textId="77777777">
        <w:trPr>
          <w:trHeight w:val="645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04BD58" w14:textId="77777777" w:rsidR="00017383" w:rsidRDefault="00000000">
            <w:pPr>
              <w:widowControl/>
              <w:spacing w:line="360" w:lineRule="auto"/>
              <w:ind w:firstLineChars="100" w:firstLine="240"/>
              <w:jc w:val="center"/>
              <w:textAlignment w:val="top"/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4"/>
                <w:lang w:val="en-US" w:bidi="ar"/>
              </w:rPr>
              <w:t>Foxo3a-2</w:t>
            </w:r>
          </w:p>
        </w:tc>
        <w:tc>
          <w:tcPr>
            <w:tcW w:w="6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0C505" w14:textId="77777777" w:rsidR="00017383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GGAGCTTGGAATGTGACATGG</w:t>
            </w:r>
          </w:p>
        </w:tc>
      </w:tr>
    </w:tbl>
    <w:p w14:paraId="2D910793" w14:textId="77777777" w:rsidR="00017383" w:rsidRDefault="00017383">
      <w:pPr>
        <w:spacing w:line="360" w:lineRule="auto"/>
        <w:rPr>
          <w:rFonts w:ascii="Times New Roman" w:hAnsi="Times New Roman" w:cs="Times New Roman"/>
        </w:rPr>
      </w:pPr>
    </w:p>
    <w:p w14:paraId="7D8D51D0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sz w:val="24"/>
        </w:rPr>
      </w:pPr>
    </w:p>
    <w:p w14:paraId="3188A44E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</w:p>
    <w:p w14:paraId="62141508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eastAsia="DengXian" w:hAnsi="Times New Roman" w:cs="Times New Roman"/>
          <w:noProof/>
          <w:sz w:val="24"/>
        </w:rPr>
        <w:lastRenderedPageBreak/>
        <w:drawing>
          <wp:inline distT="0" distB="0" distL="114300" distR="114300" wp14:anchorId="4BFB79E5" wp14:editId="09801458">
            <wp:extent cx="5268595" cy="7452360"/>
            <wp:effectExtent l="0" t="0" r="1905" b="2540"/>
            <wp:docPr id="14" name="图片 14" descr="F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GS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7C5CC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S1. Aging-related phenotypes of mice testes.</w:t>
      </w:r>
    </w:p>
    <w:p w14:paraId="08EC008C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>(A-C)</w:t>
      </w:r>
      <w:r>
        <w:rPr>
          <w:rFonts w:ascii="Times New Roman" w:hAnsi="Times New Roman" w:cs="Times New Roman"/>
          <w:sz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</w:rPr>
        <w:t xml:space="preserve">epresentative </w:t>
      </w:r>
      <w:r>
        <w:rPr>
          <w:rFonts w:ascii="Times New Roman" w:hAnsi="Times New Roman" w:cs="Times New Roman"/>
          <w:sz w:val="24"/>
          <w:lang w:val="en-US"/>
        </w:rPr>
        <w:t>HE</w:t>
      </w:r>
      <w:r>
        <w:rPr>
          <w:rFonts w:ascii="Times New Roman" w:hAnsi="Times New Roman" w:cs="Times New Roman"/>
          <w:sz w:val="24"/>
        </w:rPr>
        <w:t xml:space="preserve"> staining images of testes sections obtained from young and aged testes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</w:rPr>
        <w:t>Scale Bar: 500 μm</w:t>
      </w:r>
      <w:r>
        <w:rPr>
          <w:rFonts w:ascii="Times New Roman" w:hAnsi="Times New Roman" w:cs="Times New Roman"/>
          <w:sz w:val="24"/>
          <w:lang w:val="en-US"/>
        </w:rPr>
        <w:t xml:space="preserve"> (A)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</w:rPr>
        <w:t>he percentage of seminiferous tubules</w:t>
      </w:r>
      <w:r>
        <w:rPr>
          <w:rFonts w:ascii="Times New Roman" w:hAnsi="Times New Roman" w:cs="Times New Roman"/>
          <w:sz w:val="24"/>
          <w:lang w:val="en-US"/>
        </w:rPr>
        <w:t xml:space="preserve"> with different</w:t>
      </w:r>
      <w:r>
        <w:rPr>
          <w:rFonts w:ascii="Times New Roman" w:hAnsi="Times New Roman" w:cs="Times New Roman"/>
          <w:sz w:val="24"/>
        </w:rPr>
        <w:t xml:space="preserve"> diameter</w:t>
      </w:r>
      <w:r>
        <w:rPr>
          <w:rFonts w:ascii="Times New Roman" w:hAnsi="Times New Roman" w:cs="Times New Roman"/>
          <w:sz w:val="24"/>
          <w:lang w:val="en-US"/>
        </w:rPr>
        <w:t>s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  <w:lang w:val="en-US"/>
        </w:rPr>
        <w:t>B</w:t>
      </w:r>
      <w:r>
        <w:rPr>
          <w:rFonts w:ascii="Times New Roman" w:hAnsi="Times New Roman" w:cs="Times New Roman"/>
          <w:sz w:val="24"/>
        </w:rPr>
        <w:t xml:space="preserve">) and </w:t>
      </w:r>
      <w:r>
        <w:rPr>
          <w:rFonts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</w:rPr>
        <w:t xml:space="preserve">he percentage of seminiferous epithelium </w:t>
      </w:r>
      <w:r>
        <w:rPr>
          <w:rFonts w:ascii="Times New Roman" w:hAnsi="Times New Roman" w:cs="Times New Roman"/>
          <w:sz w:val="24"/>
          <w:lang w:val="en-US"/>
        </w:rPr>
        <w:t>with different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lastRenderedPageBreak/>
        <w:t>di</w:t>
      </w:r>
      <w:r>
        <w:rPr>
          <w:rFonts w:ascii="Times New Roman" w:hAnsi="Times New Roman" w:cs="Times New Roman"/>
          <w:sz w:val="24"/>
        </w:rPr>
        <w:t>ameter</w:t>
      </w:r>
      <w:r>
        <w:rPr>
          <w:rFonts w:ascii="Times New Roman" w:hAnsi="Times New Roman" w:cs="Times New Roman"/>
          <w:sz w:val="24"/>
          <w:lang w:val="en-US"/>
        </w:rPr>
        <w:t xml:space="preserve">s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  <w:lang w:val="en-US"/>
        </w:rPr>
        <w:t>C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</w:rPr>
        <w:t xml:space="preserve"> n=3 per group. (D-G) Representative light micrographs of sperm acquired from indicated groups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</w:rPr>
        <w:t>Scale Bar: 100 μm (D). Sperm counts (E), proportion of sperm with motility (F), proportion of sperm with progressive motility (G). n=11 per group. (H-L) Serum testosterone (H), intratesticular testosterone (I), Serum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Insl3 (J), Serum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LH (K), Serum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FSH</w:t>
      </w:r>
      <w:r>
        <w:rPr>
          <w:rFonts w:ascii="Times New Roman" w:hAnsi="Times New Roman" w:cs="Times New Roman"/>
          <w:sz w:val="24"/>
          <w:lang w:val="en-US"/>
        </w:rPr>
        <w:t xml:space="preserve"> (Follicle Stimulating Hormone) </w:t>
      </w:r>
      <w:r>
        <w:rPr>
          <w:rFonts w:ascii="Times New Roman" w:hAnsi="Times New Roman" w:cs="Times New Roman"/>
          <w:sz w:val="24"/>
        </w:rPr>
        <w:t>(L) level of the indicated groups. n=16 per group in (H), n=4 per group in (I), n=12 per group in (J-L). (M) Representative images of sections from testicular tissue of different ages. The sections were stained with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SA-β-gal. Scale Bar: 75μm.</w:t>
      </w:r>
      <w:r>
        <w:rPr>
          <w:rFonts w:ascii="Times New Roman" w:hAnsi="Times New Roman" w:cs="Times New Roman"/>
          <w:sz w:val="24"/>
          <w:lang w:val="en-US"/>
        </w:rPr>
        <w:t xml:space="preserve"> (N) </w:t>
      </w:r>
      <w:r>
        <w:rPr>
          <w:rFonts w:ascii="Times New Roman" w:hAnsi="Times New Roman" w:cs="Times New Roman"/>
          <w:sz w:val="24"/>
        </w:rPr>
        <w:t>Representative images of sections from testicular tissue of different ages.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The sections were stained with</w:t>
      </w:r>
      <w:r>
        <w:rPr>
          <w:rFonts w:ascii="Times New Roman" w:hAnsi="Times New Roman" w:cs="Times New Roman"/>
          <w:sz w:val="24"/>
          <w:lang w:val="en-US"/>
        </w:rPr>
        <w:t xml:space="preserve"> LCs marker CYP17A1 and </w:t>
      </w:r>
      <w:r>
        <w:rPr>
          <w:rFonts w:ascii="Times New Roman" w:hAnsi="Times New Roman" w:cs="Times New Roman"/>
          <w:sz w:val="24"/>
        </w:rPr>
        <w:t>SA-β-gal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</w:rPr>
        <w:t>Scale Bar: 75μm.</w:t>
      </w:r>
      <w:r>
        <w:rPr>
          <w:rFonts w:ascii="Times New Roman" w:hAnsi="Times New Roman" w:cs="Times New Roman"/>
          <w:sz w:val="24"/>
          <w:lang w:val="en-US"/>
        </w:rPr>
        <w:t xml:space="preserve"> (O) Q</w:t>
      </w:r>
      <w:r>
        <w:rPr>
          <w:rFonts w:ascii="Times New Roman" w:hAnsi="Times New Roman" w:cs="Times New Roman"/>
          <w:sz w:val="24"/>
        </w:rPr>
        <w:t>uantitative analysis of the CYP17A1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  <w:lang w:val="en-US"/>
        </w:rPr>
        <w:t xml:space="preserve"> in (N). </w:t>
      </w:r>
      <w:r>
        <w:rPr>
          <w:rFonts w:ascii="Times New Roman" w:hAnsi="Times New Roman" w:cs="Times New Roman"/>
          <w:sz w:val="24"/>
        </w:rPr>
        <w:t>n=</w:t>
      </w:r>
      <w:r>
        <w:rPr>
          <w:rFonts w:ascii="Times New Roman" w:hAnsi="Times New Roman" w:cs="Times New Roman"/>
          <w:sz w:val="24"/>
          <w:lang w:val="en-US"/>
        </w:rPr>
        <w:t>3</w:t>
      </w:r>
      <w:r>
        <w:rPr>
          <w:rFonts w:ascii="Times New Roman" w:hAnsi="Times New Roman" w:cs="Times New Roman"/>
          <w:sz w:val="24"/>
        </w:rPr>
        <w:t xml:space="preserve"> per group</w:t>
      </w:r>
      <w:r>
        <w:rPr>
          <w:rFonts w:ascii="Times New Roman" w:hAnsi="Times New Roman" w:cs="Times New Roman"/>
          <w:sz w:val="24"/>
          <w:lang w:val="en-US"/>
        </w:rPr>
        <w:t xml:space="preserve">. (P) </w:t>
      </w:r>
      <w:r>
        <w:rPr>
          <w:rFonts w:ascii="Times New Roman" w:hAnsi="Times New Roman" w:cs="Times New Roman"/>
          <w:sz w:val="24"/>
        </w:rPr>
        <w:t>Representative images of sections from testicular tissue</w:t>
      </w:r>
      <w:r>
        <w:rPr>
          <w:rFonts w:ascii="Times New Roman" w:hAnsi="Times New Roman" w:cs="Times New Roman"/>
          <w:sz w:val="24"/>
          <w:lang w:val="en-US"/>
        </w:rPr>
        <w:t xml:space="preserve"> of 8-month-old mouse. </w:t>
      </w:r>
      <w:r>
        <w:rPr>
          <w:rFonts w:ascii="Times New Roman" w:hAnsi="Times New Roman" w:cs="Times New Roman"/>
          <w:sz w:val="24"/>
        </w:rPr>
        <w:t>The sections were stained</w:t>
      </w:r>
      <w:r>
        <w:rPr>
          <w:rFonts w:ascii="Times New Roman" w:hAnsi="Times New Roman" w:cs="Times New Roman"/>
          <w:sz w:val="24"/>
          <w:lang w:val="en-US"/>
        </w:rPr>
        <w:t xml:space="preserve"> with </w:t>
      </w:r>
      <w:r>
        <w:rPr>
          <w:rFonts w:ascii="Times New Roman" w:hAnsi="Times New Roman" w:cs="Times New Roman"/>
          <w:sz w:val="24"/>
        </w:rPr>
        <w:t>SA-β-gal</w:t>
      </w:r>
      <w:r>
        <w:rPr>
          <w:rFonts w:ascii="Times New Roman" w:hAnsi="Times New Roman" w:cs="Times New Roman"/>
          <w:sz w:val="24"/>
          <w:lang w:val="en-US"/>
        </w:rPr>
        <w:t xml:space="preserve"> and Sertoli cell marker SOX9 (SRY-related high-mobility group box 9) or macrophage marker IBA1 (ionized calcium-binding adapter molecule 1). </w:t>
      </w:r>
      <w:r>
        <w:rPr>
          <w:rFonts w:ascii="Times New Roman" w:hAnsi="Times New Roman" w:cs="Times New Roman"/>
          <w:sz w:val="24"/>
        </w:rPr>
        <w:t xml:space="preserve">Scale Bar: </w:t>
      </w:r>
      <w:r>
        <w:rPr>
          <w:rFonts w:ascii="Times New Roman" w:hAnsi="Times New Roman" w:cs="Times New Roman"/>
          <w:sz w:val="24"/>
          <w:lang w:val="en-US"/>
        </w:rPr>
        <w:t>25</w:t>
      </w:r>
      <w:r>
        <w:rPr>
          <w:rFonts w:ascii="Times New Roman" w:hAnsi="Times New Roman" w:cs="Times New Roman"/>
          <w:sz w:val="24"/>
        </w:rPr>
        <w:t>μm.</w:t>
      </w:r>
    </w:p>
    <w:p w14:paraId="60DDC1BD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</w:t>
      </w:r>
      <w:r>
        <w:rPr>
          <w:rFonts w:ascii="Times New Roman" w:hAnsi="Times New Roman" w:cs="Times New Roman"/>
          <w:sz w:val="24"/>
          <w:lang w:val="en-US"/>
        </w:rPr>
        <w:t xml:space="preserve"> histogram (B and C) </w:t>
      </w:r>
      <w:r>
        <w:rPr>
          <w:rFonts w:ascii="Times New Roman" w:hAnsi="Times New Roman" w:cs="Times New Roman"/>
          <w:sz w:val="24"/>
        </w:rPr>
        <w:t xml:space="preserve">were expressed as mean ± SEM. Significance was determined by </w:t>
      </w:r>
      <w:r>
        <w:rPr>
          <w:rFonts w:ascii="Times New Roman" w:hAnsi="Times New Roman" w:cs="Times New Roman"/>
          <w:sz w:val="24"/>
          <w:lang w:val="en-US"/>
        </w:rPr>
        <w:t>two</w:t>
      </w:r>
      <w:r>
        <w:rPr>
          <w:rFonts w:ascii="Times New Roman" w:hAnsi="Times New Roman" w:cs="Times New Roman"/>
          <w:sz w:val="24"/>
        </w:rPr>
        <w:t>-way ANOVA. * P &lt; 0.05, ** P &lt; 0.01, *** P &lt; 0.001, ns = not significant.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(E-L) </w:t>
      </w:r>
      <w:r>
        <w:rPr>
          <w:rFonts w:ascii="Times New Roman" w:hAnsi="Times New Roman" w:cs="Times New Roman"/>
          <w:sz w:val="24"/>
        </w:rPr>
        <w:t>were expressed as mean ± SEM. Significance was determined by two-tailed unpaired t-tests. * P &lt; 0.05, ** P &lt; 0.01, *** P &lt; 0.001, ns = not significant.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(O) </w:t>
      </w:r>
      <w:r>
        <w:rPr>
          <w:rFonts w:ascii="Times New Roman" w:hAnsi="Times New Roman" w:cs="Times New Roman"/>
          <w:sz w:val="24"/>
        </w:rPr>
        <w:t>were expressed as mean ± SEM. Significance was determined by one-way ANOVA</w:t>
      </w:r>
      <w:r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</w:rPr>
        <w:t xml:space="preserve"> * P &lt; 0.05, ** P &lt; 0.01, *** P &lt; 0.001, ns = not significant.</w:t>
      </w:r>
    </w:p>
    <w:p w14:paraId="365E696B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5EFF0E14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79CBF7CB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114300" distR="114300" wp14:anchorId="119938C2" wp14:editId="3E231436">
            <wp:extent cx="5268595" cy="1972310"/>
            <wp:effectExtent l="0" t="0" r="1905" b="8890"/>
            <wp:docPr id="18" name="图片 18" descr="FG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GS2"/>
                    <pic:cNvPicPr>
                      <a:picLocks noChangeAspect="1"/>
                    </pic:cNvPicPr>
                  </pic:nvPicPr>
                  <pic:blipFill>
                    <a:blip r:embed="rId12"/>
                    <a:srcRect b="7353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E217B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Figure S2. </w:t>
      </w:r>
      <w:r>
        <w:rPr>
          <w:rFonts w:ascii="Times New Roman" w:hAnsi="Times New Roman" w:cs="Times New Roman"/>
          <w:sz w:val="24"/>
        </w:rPr>
        <w:t>t-SNE plot showing the expression profiles of the indicated cell type-specific marker genes in scRNA-seq data of mice testes.</w:t>
      </w:r>
    </w:p>
    <w:p w14:paraId="6A87338A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</w:p>
    <w:p w14:paraId="5FD11663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</w:rPr>
      </w:pPr>
    </w:p>
    <w:p w14:paraId="7354CB53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62CB3C1F" wp14:editId="29CE6FAB">
            <wp:extent cx="5271135" cy="4073525"/>
            <wp:effectExtent l="0" t="0" r="12065" b="3175"/>
            <wp:docPr id="1" name="图片 1" descr="F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GS3"/>
                    <pic:cNvPicPr>
                      <a:picLocks noChangeAspect="1"/>
                    </pic:cNvPicPr>
                  </pic:nvPicPr>
                  <pic:blipFill>
                    <a:blip r:embed="rId13"/>
                    <a:srcRect b="4533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9168E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 xml:space="preserve">Figure S3. Testicular injection of AAVDJ showed a clear testis tropism and </w:t>
      </w:r>
      <w:r>
        <w:rPr>
          <w:rFonts w:ascii="Times New Roman" w:hAnsi="Times New Roman" w:cs="Times New Roman"/>
          <w:b/>
          <w:sz w:val="24"/>
          <w:lang w:val="en-US"/>
        </w:rPr>
        <w:t xml:space="preserve">the </w:t>
      </w:r>
      <w:r>
        <w:rPr>
          <w:rFonts w:ascii="Times New Roman" w:hAnsi="Times New Roman" w:cs="Times New Roman"/>
          <w:b/>
          <w:sz w:val="24"/>
        </w:rPr>
        <w:t>downregulation</w:t>
      </w:r>
      <w:r>
        <w:rPr>
          <w:rFonts w:ascii="Times New Roman" w:hAnsi="Times New Roman" w:cs="Times New Roman"/>
          <w:b/>
          <w:sz w:val="24"/>
          <w:lang w:val="en-US"/>
        </w:rPr>
        <w:t xml:space="preserve"> of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iCs/>
          <w:sz w:val="24"/>
          <w:lang w:val="en-US"/>
        </w:rPr>
        <w:t>HMGCS2</w:t>
      </w:r>
      <w:r>
        <w:rPr>
          <w:rFonts w:ascii="Times New Roman" w:hAnsi="Times New Roman" w:cs="Times New Roman"/>
          <w:b/>
          <w:i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iCs/>
          <w:sz w:val="24"/>
          <w:lang w:val="en-US"/>
        </w:rPr>
        <w:t>in</w:t>
      </w:r>
      <w:r>
        <w:rPr>
          <w:rFonts w:ascii="Times New Roman" w:hAnsi="Times New Roman" w:cs="Times New Roman"/>
          <w:b/>
          <w:i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</w:rPr>
        <w:t>inject</w:t>
      </w:r>
      <w:r>
        <w:rPr>
          <w:rFonts w:ascii="Times New Roman" w:hAnsi="Times New Roman" w:cs="Times New Roman"/>
          <w:b/>
          <w:sz w:val="24"/>
          <w:lang w:val="en-US"/>
        </w:rPr>
        <w:t xml:space="preserve">ed </w:t>
      </w:r>
      <w:r>
        <w:rPr>
          <w:rFonts w:ascii="Times New Roman" w:hAnsi="Times New Roman" w:cs="Times New Roman"/>
          <w:b/>
          <w:iCs/>
          <w:sz w:val="24"/>
          <w:lang w:val="en-US"/>
        </w:rPr>
        <w:t>t</w:t>
      </w:r>
      <w:r>
        <w:rPr>
          <w:rFonts w:ascii="Times New Roman" w:hAnsi="Times New Roman" w:cs="Times New Roman"/>
          <w:b/>
          <w:sz w:val="24"/>
          <w:lang w:val="en-US"/>
        </w:rPr>
        <w:t>estes</w:t>
      </w:r>
    </w:p>
    <w:p w14:paraId="52B31289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eastAsia="DengXian" w:hAnsi="Times New Roman" w:cs="Times New Roman"/>
          <w:sz w:val="24"/>
        </w:rPr>
        <w:t>(A)</w:t>
      </w:r>
      <w:r>
        <w:rPr>
          <w:rFonts w:ascii="Times New Roman" w:hAnsi="Times New Roman" w:cs="Times New Roman"/>
          <w:sz w:val="24"/>
          <w:lang w:val="en-US"/>
        </w:rPr>
        <w:t xml:space="preserve"> One weeks after injection, the r</w:t>
      </w:r>
      <w:r>
        <w:rPr>
          <w:rFonts w:ascii="Times New Roman" w:hAnsi="Times New Roman" w:cs="Times New Roman"/>
          <w:sz w:val="24"/>
        </w:rPr>
        <w:t xml:space="preserve">epresentative </w:t>
      </w:r>
      <w:r>
        <w:rPr>
          <w:rFonts w:ascii="Times New Roman" w:hAnsi="Times New Roman" w:cs="Times New Roman"/>
          <w:sz w:val="24"/>
          <w:lang w:val="en-US"/>
        </w:rPr>
        <w:t>images</w:t>
      </w:r>
      <w:r>
        <w:rPr>
          <w:rFonts w:ascii="Times New Roman" w:hAnsi="Times New Roman" w:cs="Times New Roman"/>
          <w:sz w:val="24"/>
        </w:rPr>
        <w:t xml:space="preserve"> of GFP expression in indicated organs of AAV-GFP infected mice. Scale bar: 50 μm. (B) Representative confocal </w:t>
      </w:r>
      <w:r>
        <w:rPr>
          <w:rFonts w:ascii="Times New Roman" w:hAnsi="Times New Roman" w:cs="Times New Roman"/>
          <w:sz w:val="24"/>
        </w:rPr>
        <w:lastRenderedPageBreak/>
        <w:t xml:space="preserve">images of sections from AAV-GFP infected testis. </w:t>
      </w:r>
      <w:r>
        <w:rPr>
          <w:rFonts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</w:rPr>
        <w:t>he sections were stained with LC</w:t>
      </w:r>
      <w:r>
        <w:rPr>
          <w:rFonts w:ascii="Times New Roman" w:hAnsi="Times New Roman" w:cs="Times New Roman"/>
          <w:sz w:val="24"/>
          <w:lang w:val="en-US"/>
        </w:rPr>
        <w:t>s</w:t>
      </w:r>
      <w:r>
        <w:rPr>
          <w:rFonts w:ascii="Times New Roman" w:hAnsi="Times New Roman" w:cs="Times New Roman"/>
          <w:sz w:val="24"/>
        </w:rPr>
        <w:t xml:space="preserve"> marker CYP17A1</w:t>
      </w:r>
      <w:r>
        <w:rPr>
          <w:rFonts w:ascii="Times New Roman" w:hAnsi="Times New Roman" w:cs="Times New Roman"/>
          <w:sz w:val="24"/>
          <w:lang w:val="en-US"/>
        </w:rPr>
        <w:t xml:space="preserve"> or PTMs (peritubular myoid cells) marker α-SMA (α-Smooth Muscle Actin)</w:t>
      </w:r>
      <w:r>
        <w:rPr>
          <w:rFonts w:ascii="Times New Roman" w:hAnsi="Times New Roman" w:cs="Times New Roman"/>
          <w:sz w:val="24"/>
        </w:rPr>
        <w:t xml:space="preserve">, GFP, and DAPI. (C) Quantitative RT-PCR analysis of </w:t>
      </w:r>
      <w:r>
        <w:rPr>
          <w:rFonts w:ascii="Times New Roman" w:hAnsi="Times New Roman" w:cs="Times New Roman"/>
          <w:i/>
          <w:sz w:val="24"/>
        </w:rPr>
        <w:t xml:space="preserve">Hmgcs2 </w:t>
      </w:r>
      <w:r>
        <w:rPr>
          <w:rFonts w:ascii="Times New Roman" w:hAnsi="Times New Roman" w:cs="Times New Roman"/>
          <w:sz w:val="24"/>
        </w:rPr>
        <w:t>from testicular tissue</w:t>
      </w:r>
      <w:r>
        <w:rPr>
          <w:rFonts w:ascii="Times New Roman" w:hAnsi="Times New Roman" w:cs="Times New Roman"/>
          <w:sz w:val="24"/>
          <w:lang w:val="en-US"/>
        </w:rPr>
        <w:t xml:space="preserve">s of </w:t>
      </w:r>
      <w:r>
        <w:rPr>
          <w:rFonts w:ascii="Times New Roman" w:hAnsi="Times New Roman" w:cs="Times New Roman"/>
          <w:sz w:val="24"/>
        </w:rPr>
        <w:t xml:space="preserve">AAV infected mice. (D) Left: </w:t>
      </w:r>
      <w:r>
        <w:rPr>
          <w:rFonts w:ascii="Times New Roman" w:hAnsi="Times New Roman" w:cs="Times New Roman"/>
          <w:sz w:val="24"/>
          <w:lang w:val="en-US"/>
        </w:rPr>
        <w:t xml:space="preserve">4 weeks after injection, the </w:t>
      </w:r>
      <w:r>
        <w:rPr>
          <w:rFonts w:ascii="Times New Roman" w:hAnsi="Times New Roman" w:cs="Times New Roman"/>
          <w:sz w:val="24"/>
        </w:rPr>
        <w:t xml:space="preserve">representative western blots for HMGCS2 </w:t>
      </w:r>
      <w:r>
        <w:rPr>
          <w:rFonts w:ascii="Times New Roman" w:hAnsi="Times New Roman" w:cs="Times New Roman"/>
          <w:sz w:val="24"/>
          <w:lang w:val="en-US"/>
        </w:rPr>
        <w:t xml:space="preserve">and GAPDH </w:t>
      </w:r>
      <w:r>
        <w:rPr>
          <w:rFonts w:ascii="Times New Roman" w:hAnsi="Times New Roman" w:cs="Times New Roman"/>
          <w:sz w:val="24"/>
        </w:rPr>
        <w:t xml:space="preserve">from </w:t>
      </w:r>
      <w:r>
        <w:rPr>
          <w:rFonts w:ascii="Times New Roman" w:hAnsi="Times New Roman" w:cs="Times New Roman"/>
          <w:sz w:val="24"/>
          <w:lang w:val="en-US"/>
        </w:rPr>
        <w:t>AAV-GFP and AAV-Cre</w:t>
      </w:r>
      <w:r>
        <w:rPr>
          <w:rFonts w:ascii="Times New Roman" w:hAnsi="Times New Roman" w:cs="Times New Roman"/>
          <w:sz w:val="24"/>
        </w:rPr>
        <w:t xml:space="preserve"> infected </w:t>
      </w:r>
      <w:r>
        <w:rPr>
          <w:rFonts w:ascii="Times New Roman" w:hAnsi="Times New Roman" w:cs="Times New Roman"/>
          <w:sz w:val="24"/>
          <w:lang w:val="en-US"/>
        </w:rPr>
        <w:t>testes</w:t>
      </w:r>
      <w:r>
        <w:rPr>
          <w:rFonts w:ascii="Times New Roman" w:hAnsi="Times New Roman" w:cs="Times New Roman"/>
          <w:sz w:val="24"/>
        </w:rPr>
        <w:t>. Right: quantitative analysis of the HMGCS2 protein level</w:t>
      </w:r>
      <w:r>
        <w:rPr>
          <w:rFonts w:ascii="Times New Roman" w:hAnsi="Times New Roman" w:cs="Times New Roman"/>
          <w:sz w:val="24"/>
          <w:lang w:val="en-US"/>
        </w:rPr>
        <w:t>, relative to GAPDH</w:t>
      </w:r>
      <w:r>
        <w:rPr>
          <w:rFonts w:ascii="Times New Roman" w:hAnsi="Times New Roman" w:cs="Times New Roman"/>
          <w:sz w:val="24"/>
        </w:rPr>
        <w:t>. n=3 per group. (E-F) The concentration of AcAc and BHB in serum</w:t>
      </w:r>
      <w:r>
        <w:rPr>
          <w:rFonts w:ascii="Times New Roman" w:hAnsi="Times New Roman" w:cs="Times New Roman"/>
          <w:sz w:val="24"/>
          <w:lang w:val="en-US"/>
        </w:rPr>
        <w:t xml:space="preserve"> of indicated groups</w:t>
      </w:r>
      <w:r>
        <w:rPr>
          <w:rFonts w:ascii="Times New Roman" w:hAnsi="Times New Roman" w:cs="Times New Roman"/>
          <w:sz w:val="24"/>
        </w:rPr>
        <w:t>. n=4 per group in (E), n=10 per group in (F).</w:t>
      </w:r>
    </w:p>
    <w:p w14:paraId="3ADB0084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are expressed as mean ± SEM. Significance was determined by two-tailed unpaired t-tests</w:t>
      </w:r>
      <w:r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</w:rPr>
        <w:t xml:space="preserve"> * P &lt; 0.05, ** P &lt; 0.01, *** P &lt; 0.001, ns = not significant.</w:t>
      </w:r>
    </w:p>
    <w:p w14:paraId="7EAF8D42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2FCB1DDB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1E451E39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5CA52501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14:paraId="46898F53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114300" distR="114300" wp14:anchorId="6F9EB701" wp14:editId="36DF90EF">
            <wp:extent cx="5268595" cy="5880100"/>
            <wp:effectExtent l="0" t="0" r="1905" b="0"/>
            <wp:docPr id="20" name="图片 20" descr="F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GS4"/>
                    <pic:cNvPicPr>
                      <a:picLocks noChangeAspect="1"/>
                    </pic:cNvPicPr>
                  </pic:nvPicPr>
                  <pic:blipFill>
                    <a:blip r:embed="rId14"/>
                    <a:srcRect b="2109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8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w:t>Figure S4. BHB alleviates irradiation and doxorubicin induced cellular senescence</w:t>
      </w:r>
    </w:p>
    <w:p w14:paraId="264C3593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(A-C) Quantitative RT-PCR analysis of </w:t>
      </w:r>
      <w:r>
        <w:rPr>
          <w:rFonts w:ascii="Times New Roman" w:hAnsi="Times New Roman" w:cs="Times New Roman"/>
          <w:i/>
          <w:sz w:val="24"/>
        </w:rPr>
        <w:t xml:space="preserve">Hmgcs2 </w:t>
      </w:r>
      <w:r>
        <w:rPr>
          <w:rFonts w:ascii="Times New Roman" w:hAnsi="Times New Roman" w:cs="Times New Roman"/>
          <w:sz w:val="24"/>
        </w:rPr>
        <w:t>after 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(A), Dox (</w:t>
      </w:r>
      <w:r>
        <w:rPr>
          <w:rFonts w:ascii="Times New Roman" w:hAnsi="Times New Roman" w:cs="Times New Roman"/>
          <w:sz w:val="24"/>
          <w:lang w:val="en-US"/>
        </w:rPr>
        <w:t>doxorubicin</w:t>
      </w:r>
      <w:r>
        <w:rPr>
          <w:rFonts w:ascii="Times New Roman" w:hAnsi="Times New Roman" w:cs="Times New Roman"/>
          <w:sz w:val="24"/>
        </w:rPr>
        <w:t>) (B),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IR (</w:t>
      </w:r>
      <w:r>
        <w:rPr>
          <w:rFonts w:ascii="Times New Roman" w:hAnsi="Times New Roman" w:cs="Times New Roman"/>
          <w:sz w:val="24"/>
          <w:lang w:val="en-US"/>
        </w:rPr>
        <w:t>irradiation</w:t>
      </w:r>
      <w:r>
        <w:rPr>
          <w:rFonts w:ascii="Times New Roman" w:hAnsi="Times New Roman" w:cs="Times New Roman"/>
          <w:sz w:val="24"/>
        </w:rPr>
        <w:t xml:space="preserve">) (C) treatment. n=3 per group. (D) 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Experimental scheme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of Dox (doxorubicin) induced senescence and treatment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(E) Left: representative images of SA-β-gal staining</w:t>
      </w:r>
      <w:r>
        <w:rPr>
          <w:rFonts w:ascii="Times New Roman" w:hAnsi="Times New Roman" w:cs="Times New Roman"/>
          <w:sz w:val="24"/>
          <w:lang w:val="en-US"/>
        </w:rPr>
        <w:t xml:space="preserve"> in MLTC-1 cells of </w:t>
      </w:r>
      <w:r>
        <w:rPr>
          <w:rFonts w:ascii="Times New Roman" w:hAnsi="Times New Roman" w:cs="Times New Roman"/>
          <w:sz w:val="24"/>
        </w:rPr>
        <w:t>the indicated groups. Scale Bar: 75μm.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Right: quantitative analysis of the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cells. n=3 per group. (F-G) Quantitative RT-PCR analysis of 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senescence markers </w:t>
      </w:r>
      <w:r>
        <w:rPr>
          <w:rFonts w:ascii="Times New Roman" w:hAnsi="Times New Roman" w:cs="Times New Roman"/>
          <w:kern w:val="0"/>
          <w:sz w:val="24"/>
          <w:lang w:val="en-US" w:bidi="ar"/>
        </w:rPr>
        <w:t>(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p21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,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pai1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)</w:t>
      </w:r>
      <w:r>
        <w:rPr>
          <w:rFonts w:ascii="Times New Roman" w:hAnsi="Times New Roman" w:cs="Times New Roman"/>
          <w:i/>
          <w:kern w:val="0"/>
          <w:sz w:val="24"/>
          <w:lang w:val="en-US" w:bidi="ar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of </w:t>
      </w:r>
      <w:r>
        <w:rPr>
          <w:rFonts w:ascii="Times New Roman" w:hAnsi="Times New Roman" w:cs="Times New Roman"/>
          <w:sz w:val="24"/>
        </w:rPr>
        <w:t>the indicated groups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.</w:t>
      </w:r>
      <w:r>
        <w:rPr>
          <w:rFonts w:ascii="Times New Roman" w:hAnsi="Times New Roman" w:cs="Times New Roman"/>
          <w:sz w:val="24"/>
        </w:rPr>
        <w:t xml:space="preserve"> n=3 per group. (H) E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xperimental scheme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of IR (irradiation) induced senescence and treatment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(I) Left: representative images of SA-β-gal staining</w:t>
      </w:r>
      <w:r>
        <w:rPr>
          <w:rFonts w:ascii="Times New Roman" w:hAnsi="Times New Roman" w:cs="Times New Roman"/>
          <w:sz w:val="24"/>
          <w:lang w:val="en-US"/>
        </w:rPr>
        <w:t xml:space="preserve"> in MLTC-1 cells of </w:t>
      </w:r>
      <w:r>
        <w:rPr>
          <w:rFonts w:ascii="Times New Roman" w:hAnsi="Times New Roman" w:cs="Times New Roman"/>
          <w:sz w:val="24"/>
        </w:rPr>
        <w:t>the indicated groups. Scale Bar: 75μm.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Right: quantitative analysis of the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cells. n=3 per group. (J-</w:t>
      </w:r>
      <w:r>
        <w:rPr>
          <w:rFonts w:ascii="Times New Roman" w:hAnsi="Times New Roman" w:cs="Times New Roman"/>
          <w:sz w:val="24"/>
        </w:rPr>
        <w:lastRenderedPageBreak/>
        <w:t xml:space="preserve">K) Quantitative RT-PCR analysis of 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senescence markers </w:t>
      </w:r>
      <w:r>
        <w:rPr>
          <w:rFonts w:ascii="Times New Roman" w:hAnsi="Times New Roman" w:cs="Times New Roman"/>
          <w:kern w:val="0"/>
          <w:sz w:val="24"/>
          <w:lang w:val="en-US" w:bidi="ar"/>
        </w:rPr>
        <w:t>(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p21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,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pai1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 xml:space="preserve">) </w:t>
      </w:r>
      <w:r>
        <w:rPr>
          <w:rFonts w:ascii="Times New Roman" w:hAnsi="Times New Roman" w:cs="Times New Roman"/>
          <w:sz w:val="24"/>
          <w:lang w:val="en-US"/>
        </w:rPr>
        <w:t xml:space="preserve">of </w:t>
      </w:r>
      <w:r>
        <w:rPr>
          <w:rFonts w:ascii="Times New Roman" w:hAnsi="Times New Roman" w:cs="Times New Roman"/>
          <w:sz w:val="24"/>
        </w:rPr>
        <w:t>the indicated groups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.</w:t>
      </w:r>
      <w:r>
        <w:rPr>
          <w:rFonts w:ascii="Times New Roman" w:hAnsi="Times New Roman" w:cs="Times New Roman"/>
          <w:sz w:val="24"/>
        </w:rPr>
        <w:t xml:space="preserve"> n=3 per group.</w:t>
      </w:r>
    </w:p>
    <w:p w14:paraId="54B01ABF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(A-C) </w:t>
      </w:r>
      <w:r>
        <w:rPr>
          <w:rFonts w:ascii="Times New Roman" w:hAnsi="Times New Roman" w:cs="Times New Roman"/>
          <w:sz w:val="24"/>
        </w:rPr>
        <w:t>were expressed as mean ± SEM.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Significance was determined by two-tailed unpaired t-tests</w:t>
      </w:r>
      <w:r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</w:rPr>
        <w:t xml:space="preserve"> * P &lt; 0.05, ** P &lt; 0.01, *** P &lt; 0.001, ns = not significant.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(E-G, I-K) </w:t>
      </w:r>
      <w:r>
        <w:rPr>
          <w:rFonts w:ascii="Times New Roman" w:hAnsi="Times New Roman" w:cs="Times New Roman"/>
          <w:sz w:val="24"/>
        </w:rPr>
        <w:t>were expressed as mean ± SEM. Significance was determined by one-way ANOVA. * P &lt; 0.05, ** P &lt; 0.01, *** P &lt; 0.001, ns = not significant.</w:t>
      </w:r>
    </w:p>
    <w:p w14:paraId="02FF0322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</w:p>
    <w:p w14:paraId="0C27D87E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</w:p>
    <w:p w14:paraId="6FA90289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</w:p>
    <w:p w14:paraId="41D32B69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/>
          <w:noProof/>
          <w:sz w:val="24"/>
        </w:rPr>
        <w:drawing>
          <wp:inline distT="0" distB="0" distL="114300" distR="114300" wp14:anchorId="39C7E622" wp14:editId="44D480DD">
            <wp:extent cx="5268595" cy="5358130"/>
            <wp:effectExtent l="0" t="0" r="1905" b="1270"/>
            <wp:docPr id="4" name="图片 4" descr="FG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GS5"/>
                    <pic:cNvPicPr>
                      <a:picLocks noChangeAspect="1"/>
                    </pic:cNvPicPr>
                  </pic:nvPicPr>
                  <pic:blipFill>
                    <a:blip r:embed="rId15"/>
                    <a:srcRect b="2810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5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52A31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Figure S5. BHB-mediated HDAC1 inhibition </w:t>
      </w:r>
      <w:r>
        <w:rPr>
          <w:rFonts w:ascii="Times New Roman" w:hAnsi="Times New Roman" w:cs="Times New Roman"/>
          <w:b/>
          <w:sz w:val="24"/>
          <w:lang w:val="en-US"/>
        </w:rPr>
        <w:t>a</w:t>
      </w:r>
      <w:r>
        <w:rPr>
          <w:rFonts w:ascii="Times New Roman" w:hAnsi="Times New Roman" w:cs="Times New Roman"/>
          <w:b/>
          <w:sz w:val="24"/>
        </w:rPr>
        <w:t>lleviat</w:t>
      </w:r>
      <w:r>
        <w:rPr>
          <w:rFonts w:ascii="Times New Roman" w:hAnsi="Times New Roman" w:cs="Times New Roman"/>
          <w:b/>
          <w:sz w:val="24"/>
          <w:lang w:val="en-US"/>
        </w:rPr>
        <w:t xml:space="preserve">ed MLTC-1 cells senescence </w:t>
      </w:r>
    </w:p>
    <w:p w14:paraId="5BA08BD7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(A) Violin plots</w:t>
      </w:r>
      <w:r>
        <w:rPr>
          <w:rFonts w:ascii="Times New Roman" w:hAnsi="Times New Roman" w:cs="Times New Roman"/>
          <w:sz w:val="24"/>
          <w:lang w:val="en-US"/>
        </w:rPr>
        <w:t xml:space="preserve"> showing </w:t>
      </w:r>
      <w:r>
        <w:rPr>
          <w:rFonts w:ascii="Times New Roman" w:hAnsi="Times New Roman" w:cs="Times New Roman"/>
          <w:i/>
          <w:iCs/>
          <w:sz w:val="24"/>
          <w:lang w:val="en-US"/>
        </w:rPr>
        <w:t>Hdac</w:t>
      </w:r>
      <w:r>
        <w:rPr>
          <w:rFonts w:ascii="Times New Roman" w:hAnsi="Times New Roman" w:cs="Times New Roman"/>
          <w:sz w:val="24"/>
          <w:lang w:val="en-US"/>
        </w:rPr>
        <w:t xml:space="preserve"> expression of young and aged LCs.</w:t>
      </w:r>
      <w:r>
        <w:rPr>
          <w:rFonts w:ascii="Times New Roman" w:hAnsi="Times New Roman" w:cs="Times New Roman"/>
          <w:sz w:val="24"/>
        </w:rPr>
        <w:t xml:space="preserve"> (B) Quantitative RT-PCR analysis of </w:t>
      </w:r>
      <w:r>
        <w:rPr>
          <w:rFonts w:ascii="Times New Roman" w:hAnsi="Times New Roman" w:cs="Times New Roman"/>
          <w:i/>
          <w:iCs/>
          <w:sz w:val="24"/>
          <w:lang w:val="en-US"/>
        </w:rPr>
        <w:t>Hdac</w:t>
      </w:r>
      <w:r>
        <w:rPr>
          <w:rFonts w:ascii="Times New Roman" w:hAnsi="Times New Roman" w:cs="Times New Roman"/>
          <w:sz w:val="24"/>
        </w:rPr>
        <w:t xml:space="preserve"> in primary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LCs. n=3 per group. (C) Quantitative RT-PCR analysis of </w:t>
      </w:r>
      <w:r>
        <w:rPr>
          <w:rFonts w:ascii="Times New Roman" w:hAnsi="Times New Roman" w:cs="Times New Roman"/>
          <w:i/>
          <w:sz w:val="24"/>
        </w:rPr>
        <w:t xml:space="preserve">Hdac1 </w:t>
      </w:r>
      <w:r>
        <w:rPr>
          <w:rFonts w:ascii="Times New Roman" w:hAnsi="Times New Roman" w:cs="Times New Roman"/>
          <w:sz w:val="24"/>
        </w:rPr>
        <w:t>in MLTC-1</w:t>
      </w:r>
      <w:r>
        <w:rPr>
          <w:rFonts w:ascii="Times New Roman" w:hAnsi="Times New Roman" w:cs="Times New Roman"/>
          <w:sz w:val="24"/>
          <w:lang w:val="en-US"/>
        </w:rPr>
        <w:t xml:space="preserve"> after transfection with either shRNA to </w:t>
      </w:r>
      <w:r>
        <w:rPr>
          <w:rFonts w:ascii="Times New Roman" w:hAnsi="Times New Roman" w:cs="Times New Roman"/>
          <w:i/>
          <w:sz w:val="24"/>
        </w:rPr>
        <w:t>Hdac1</w:t>
      </w:r>
      <w:r>
        <w:rPr>
          <w:rFonts w:ascii="Times New Roman" w:hAnsi="Times New Roman" w:cs="Times New Roman"/>
          <w:sz w:val="24"/>
          <w:lang w:val="en-US"/>
        </w:rPr>
        <w:t xml:space="preserve"> or a scrambled (scr) shRNA</w:t>
      </w:r>
      <w:r>
        <w:rPr>
          <w:rFonts w:ascii="Times New Roman" w:hAnsi="Times New Roman" w:cs="Times New Roman"/>
          <w:i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n=3 per group. (D-E) D: representative images of SA-β-gal staining.</w:t>
      </w:r>
      <w:r>
        <w:rPr>
          <w:rFonts w:ascii="Times New Roman" w:hAnsi="Times New Roman" w:cs="Times New Roman"/>
          <w:sz w:val="24"/>
          <w:lang w:val="en-US"/>
        </w:rPr>
        <w:t xml:space="preserve"> MLTC-1 cells were induced senescence by H</w:t>
      </w:r>
      <w:r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lang w:val="en-US"/>
        </w:rPr>
        <w:t>O</w:t>
      </w:r>
      <w:r>
        <w:rPr>
          <w:rFonts w:ascii="Times New Roman" w:hAnsi="Times New Roman" w:cs="Times New Roman"/>
          <w:sz w:val="24"/>
          <w:vertAlign w:val="subscript"/>
          <w:lang w:val="en-US"/>
        </w:rPr>
        <w:t xml:space="preserve">2 </w:t>
      </w:r>
      <w:r>
        <w:rPr>
          <w:rFonts w:ascii="Times New Roman" w:hAnsi="Times New Roman" w:cs="Times New Roman"/>
          <w:sz w:val="24"/>
          <w:lang w:val="en-US"/>
        </w:rPr>
        <w:t xml:space="preserve">as the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e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xperimental scheme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in (A) </w:t>
      </w:r>
      <w:r>
        <w:rPr>
          <w:rFonts w:ascii="Times New Roman" w:hAnsi="Times New Roman" w:cs="Times New Roman"/>
          <w:sz w:val="24"/>
          <w:lang w:val="en-US"/>
        </w:rPr>
        <w:t xml:space="preserve">after transfection. </w:t>
      </w:r>
      <w:r>
        <w:rPr>
          <w:rFonts w:ascii="Times New Roman" w:hAnsi="Times New Roman" w:cs="Times New Roman"/>
          <w:sz w:val="24"/>
        </w:rPr>
        <w:t xml:space="preserve">Scale Bar: 75μm. </w:t>
      </w:r>
      <w:r>
        <w:rPr>
          <w:rFonts w:ascii="Times New Roman" w:hAnsi="Times New Roman" w:cs="Times New Roman"/>
          <w:sz w:val="24"/>
          <w:lang w:val="en-US"/>
        </w:rPr>
        <w:t>(E)</w:t>
      </w:r>
      <w:r>
        <w:rPr>
          <w:rFonts w:ascii="Times New Roman" w:hAnsi="Times New Roman" w:cs="Times New Roman"/>
          <w:sz w:val="24"/>
        </w:rPr>
        <w:t xml:space="preserve"> quantitative analysis of the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  <w:lang w:val="en-US"/>
        </w:rPr>
        <w:t xml:space="preserve"> in (D)</w:t>
      </w:r>
      <w:r>
        <w:rPr>
          <w:rFonts w:ascii="Times New Roman" w:hAnsi="Times New Roman" w:cs="Times New Roman"/>
          <w:sz w:val="24"/>
        </w:rPr>
        <w:t xml:space="preserve">. n=3 per group. (F-G) Quantitative RT-PCR analysis of 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senescence markers </w:t>
      </w:r>
      <w:r>
        <w:rPr>
          <w:rFonts w:ascii="Times New Roman" w:hAnsi="Times New Roman" w:cs="Times New Roman"/>
          <w:kern w:val="0"/>
          <w:sz w:val="24"/>
          <w:lang w:val="en-US" w:bidi="ar"/>
        </w:rPr>
        <w:t>(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p21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,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Cxcl10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 xml:space="preserve">) of </w:t>
      </w:r>
      <w:r>
        <w:rPr>
          <w:rFonts w:ascii="Times New Roman" w:hAnsi="Times New Roman" w:cs="Times New Roman"/>
          <w:sz w:val="24"/>
        </w:rPr>
        <w:t>indicated groups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n=3 per group. (H) Progesterone production of MLTC-1 cells</w:t>
      </w:r>
      <w:r>
        <w:rPr>
          <w:rFonts w:ascii="Times New Roman" w:hAnsi="Times New Roman" w:cs="Times New Roman"/>
          <w:sz w:val="24"/>
          <w:lang w:val="en-US"/>
        </w:rPr>
        <w:t xml:space="preserve"> after transfection with either shRNA to </w:t>
      </w:r>
      <w:r>
        <w:rPr>
          <w:rFonts w:ascii="Times New Roman" w:hAnsi="Times New Roman" w:cs="Times New Roman"/>
          <w:i/>
          <w:sz w:val="24"/>
        </w:rPr>
        <w:t>Hdac1</w:t>
      </w:r>
      <w:r>
        <w:rPr>
          <w:rFonts w:ascii="Times New Roman" w:hAnsi="Times New Roman" w:cs="Times New Roman"/>
          <w:sz w:val="24"/>
          <w:lang w:val="en-US"/>
        </w:rPr>
        <w:t xml:space="preserve"> or a scrambled (scr) shRNA. </w:t>
      </w:r>
      <w:r>
        <w:rPr>
          <w:rFonts w:ascii="Times New Roman" w:hAnsi="Times New Roman" w:cs="Times New Roman"/>
          <w:sz w:val="24"/>
        </w:rPr>
        <w:t xml:space="preserve">n=3 per group. </w:t>
      </w:r>
    </w:p>
    <w:p w14:paraId="3921A27A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Data in the </w:t>
      </w:r>
      <w:r>
        <w:rPr>
          <w:rFonts w:ascii="Times New Roman" w:hAnsi="Times New Roman" w:cs="Times New Roman"/>
          <w:sz w:val="24"/>
        </w:rPr>
        <w:t>violin</w:t>
      </w:r>
      <w:r>
        <w:rPr>
          <w:rFonts w:ascii="Times New Roman" w:hAnsi="Times New Roman" w:cs="Times New Roman"/>
          <w:bCs/>
          <w:sz w:val="24"/>
        </w:rPr>
        <w:t xml:space="preserve"> plots (</w:t>
      </w:r>
      <w:r>
        <w:rPr>
          <w:rFonts w:ascii="Times New Roman" w:hAnsi="Times New Roman" w:cs="Times New Roman"/>
          <w:bCs/>
          <w:sz w:val="24"/>
          <w:lang w:val="en-US"/>
        </w:rPr>
        <w:t>A</w:t>
      </w:r>
      <w:r>
        <w:rPr>
          <w:rFonts w:ascii="Times New Roman" w:hAnsi="Times New Roman" w:cs="Times New Roman"/>
          <w:bCs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significance was determined by Mann-Whitney U test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(B) </w:t>
      </w:r>
      <w:r>
        <w:rPr>
          <w:rFonts w:ascii="Times New Roman" w:hAnsi="Times New Roman" w:cs="Times New Roman"/>
          <w:sz w:val="24"/>
        </w:rPr>
        <w:t>were expressed as mean ± SEM.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Significance was determined by two-tailed unpaired t-tests</w:t>
      </w:r>
      <w:r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</w:rPr>
        <w:t xml:space="preserve"> * P &lt; 0.05, ** P &lt; 0.01, *** P &lt; 0.001, ns = not significant.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(C, E-H) </w:t>
      </w:r>
      <w:r>
        <w:rPr>
          <w:rFonts w:ascii="Times New Roman" w:hAnsi="Times New Roman" w:cs="Times New Roman"/>
          <w:sz w:val="24"/>
        </w:rPr>
        <w:t>were expressed as mean ± SEM. Significance was determined by one-way ANOVA. * P &lt; 0.05, ** P &lt; 0.01, *** P &lt; 0.001, ns = not significant.</w:t>
      </w:r>
    </w:p>
    <w:p w14:paraId="5A630753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241CCF4D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00496FC7" w14:textId="77777777" w:rsidR="00017383" w:rsidRDefault="00017383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1C51DE9E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lastRenderedPageBreak/>
        <w:drawing>
          <wp:inline distT="0" distB="0" distL="114300" distR="114300" wp14:anchorId="2760884F" wp14:editId="3D5A195D">
            <wp:extent cx="5268595" cy="4039870"/>
            <wp:effectExtent l="0" t="0" r="1905" b="11430"/>
            <wp:docPr id="9" name="图片 9" descr="FG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GS6"/>
                    <pic:cNvPicPr>
                      <a:picLocks noChangeAspect="1"/>
                    </pic:cNvPicPr>
                  </pic:nvPicPr>
                  <pic:blipFill>
                    <a:blip r:embed="rId16"/>
                    <a:srcRect b="4579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3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60528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Figure S6. BHB alleviated senescence by enhancing Foxo3a expression.</w:t>
      </w:r>
    </w:p>
    <w:p w14:paraId="2C908269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 xml:space="preserve">(A) </w:t>
      </w:r>
      <w:r>
        <w:rPr>
          <w:rFonts w:ascii="Times New Roman" w:hAnsi="Times New Roman" w:cs="Times New Roman"/>
          <w:sz w:val="24"/>
          <w:lang w:val="en-US"/>
        </w:rPr>
        <w:t>Left: r</w:t>
      </w:r>
      <w:r>
        <w:rPr>
          <w:rFonts w:ascii="Times New Roman" w:hAnsi="Times New Roman" w:cs="Times New Roman"/>
          <w:sz w:val="24"/>
        </w:rPr>
        <w:t>epresentative western blots for FOXO3a</w:t>
      </w:r>
      <w:r>
        <w:rPr>
          <w:rFonts w:ascii="Times New Roman" w:hAnsi="Times New Roman" w:cs="Times New Roman"/>
          <w:sz w:val="24"/>
          <w:lang w:val="en-US"/>
        </w:rPr>
        <w:t xml:space="preserve"> and GAPDH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  <w:lang w:val="en-US"/>
        </w:rPr>
        <w:t>MLTC-1 c</w:t>
      </w:r>
      <w:r>
        <w:rPr>
          <w:rFonts w:ascii="Times New Roman" w:hAnsi="Times New Roman" w:cs="Times New Roman"/>
          <w:sz w:val="24"/>
        </w:rPr>
        <w:t xml:space="preserve">ells </w:t>
      </w:r>
      <w:r>
        <w:rPr>
          <w:rFonts w:ascii="Times New Roman" w:hAnsi="Times New Roman" w:cs="Times New Roman"/>
          <w:sz w:val="24"/>
          <w:lang w:val="en-US"/>
        </w:rPr>
        <w:t xml:space="preserve">were treated as the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e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xperimental scheme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in Figure 5 (A)</w:t>
      </w:r>
      <w:r>
        <w:rPr>
          <w:rFonts w:ascii="Times New Roman" w:hAnsi="Times New Roman" w:cs="Times New Roman"/>
          <w:sz w:val="24"/>
        </w:rPr>
        <w:t xml:space="preserve">. Right: quantitative analysis of the </w:t>
      </w:r>
      <w:r>
        <w:rPr>
          <w:rFonts w:ascii="Times New Roman" w:hAnsi="Times New Roman" w:cs="Times New Roman"/>
          <w:sz w:val="24"/>
          <w:lang w:val="en-US"/>
        </w:rPr>
        <w:t>FOXO3a</w:t>
      </w:r>
      <w:r>
        <w:rPr>
          <w:rFonts w:ascii="Times New Roman" w:hAnsi="Times New Roman" w:cs="Times New Roman"/>
          <w:sz w:val="24"/>
        </w:rPr>
        <w:t xml:space="preserve"> protein level</w:t>
      </w:r>
      <w:r>
        <w:rPr>
          <w:rFonts w:ascii="Times New Roman" w:hAnsi="Times New Roman" w:cs="Times New Roman"/>
          <w:sz w:val="24"/>
          <w:lang w:val="en-US"/>
        </w:rPr>
        <w:t>, relative to GAPDH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n=3 per group.</w:t>
      </w:r>
      <w:r>
        <w:rPr>
          <w:rFonts w:ascii="Times New Roman" w:hAnsi="Times New Roman" w:cs="Times New Roman"/>
          <w:sz w:val="24"/>
          <w:lang w:val="en-US"/>
        </w:rPr>
        <w:t xml:space="preserve"> (B) </w:t>
      </w:r>
      <w:r>
        <w:rPr>
          <w:rFonts w:ascii="Times New Roman" w:hAnsi="Times New Roman" w:cs="Times New Roman"/>
          <w:sz w:val="24"/>
        </w:rPr>
        <w:t>ChIP–qPCR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analyses of H3K9ac enrichment at the promoter of </w:t>
      </w:r>
      <w:r>
        <w:rPr>
          <w:rFonts w:ascii="Times New Roman" w:hAnsi="Times New Roman" w:cs="Times New Roman"/>
          <w:i/>
          <w:sz w:val="24"/>
        </w:rPr>
        <w:t>Foxo3a.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MLTC-1 c</w:t>
      </w:r>
      <w:r>
        <w:rPr>
          <w:rFonts w:ascii="Times New Roman" w:hAnsi="Times New Roman" w:cs="Times New Roman"/>
          <w:sz w:val="24"/>
        </w:rPr>
        <w:t xml:space="preserve">ells </w:t>
      </w:r>
      <w:r>
        <w:rPr>
          <w:rFonts w:ascii="Times New Roman" w:hAnsi="Times New Roman" w:cs="Times New Roman"/>
          <w:sz w:val="24"/>
          <w:lang w:val="en-US"/>
        </w:rPr>
        <w:t xml:space="preserve">were treated as the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e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xperimental scheme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in Figure 5 (A)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n=3 per group.</w:t>
      </w:r>
      <w:r>
        <w:rPr>
          <w:rFonts w:ascii="Times New Roman" w:hAnsi="Times New Roman" w:cs="Times New Roman"/>
          <w:sz w:val="24"/>
          <w:lang w:val="en-US"/>
        </w:rPr>
        <w:t xml:space="preserve"> (C) </w:t>
      </w:r>
      <w:r>
        <w:rPr>
          <w:rFonts w:ascii="Times New Roman" w:hAnsi="Times New Roman" w:cs="Times New Roman"/>
          <w:sz w:val="24"/>
        </w:rPr>
        <w:t xml:space="preserve">Quantitative RT-PCR analysis of </w:t>
      </w:r>
      <w:r>
        <w:rPr>
          <w:rFonts w:ascii="Times New Roman" w:hAnsi="Times New Roman" w:cs="Times New Roman"/>
          <w:i/>
          <w:sz w:val="24"/>
          <w:lang w:val="en-US"/>
        </w:rPr>
        <w:t>Foxo3a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 MLTC-1</w:t>
      </w:r>
      <w:r>
        <w:rPr>
          <w:rFonts w:ascii="Times New Roman" w:hAnsi="Times New Roman" w:cs="Times New Roman"/>
          <w:sz w:val="24"/>
          <w:lang w:val="en-US"/>
        </w:rPr>
        <w:t xml:space="preserve"> after transfection after transfection with either shRNA to </w:t>
      </w:r>
      <w:r>
        <w:rPr>
          <w:rFonts w:ascii="Times New Roman" w:hAnsi="Times New Roman" w:cs="Times New Roman"/>
          <w:i/>
          <w:sz w:val="24"/>
          <w:lang w:val="en-US"/>
        </w:rPr>
        <w:t>Foxo3a</w:t>
      </w:r>
      <w:r>
        <w:rPr>
          <w:rFonts w:ascii="Times New Roman" w:hAnsi="Times New Roman" w:cs="Times New Roman"/>
          <w:sz w:val="24"/>
          <w:lang w:val="en-US"/>
        </w:rPr>
        <w:t xml:space="preserve"> or a scrambled (scr) shRNA</w:t>
      </w:r>
      <w:r>
        <w:rPr>
          <w:rFonts w:ascii="Times New Roman" w:hAnsi="Times New Roman" w:cs="Times New Roman"/>
          <w:i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n=3 per group.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(D-E)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D: representative images of SA-β-gal staining</w:t>
      </w:r>
      <w:r>
        <w:rPr>
          <w:rFonts w:ascii="Times New Roman" w:hAnsi="Times New Roman" w:cs="Times New Roman"/>
          <w:sz w:val="24"/>
          <w:lang w:val="en-US"/>
        </w:rPr>
        <w:t xml:space="preserve"> from transfected cells after BHB (5mM) treatment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Scale Bar: 75μm.</w:t>
      </w:r>
      <w:r>
        <w:rPr>
          <w:rFonts w:ascii="Times New Roman" w:hAnsi="Times New Roman" w:cs="Times New Roman"/>
          <w:sz w:val="24"/>
          <w:lang w:val="en-US"/>
        </w:rPr>
        <w:t xml:space="preserve"> E: </w:t>
      </w:r>
      <w:r>
        <w:rPr>
          <w:rFonts w:ascii="Times New Roman" w:hAnsi="Times New Roman" w:cs="Times New Roman"/>
          <w:sz w:val="24"/>
        </w:rPr>
        <w:t>quantitative analysis of the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  <w:lang w:val="en-US"/>
        </w:rPr>
        <w:t xml:space="preserve"> in (D)</w:t>
      </w:r>
      <w:r>
        <w:rPr>
          <w:rFonts w:ascii="Times New Roman" w:hAnsi="Times New Roman" w:cs="Times New Roman"/>
          <w:sz w:val="24"/>
        </w:rPr>
        <w:t>. n=3 per group. (F-G)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Quantitative RT-PCR analysis of 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senescence markers </w:t>
      </w:r>
      <w:r>
        <w:rPr>
          <w:rFonts w:ascii="Times New Roman" w:hAnsi="Times New Roman" w:cs="Times New Roman"/>
          <w:kern w:val="0"/>
          <w:sz w:val="24"/>
          <w:lang w:val="en-US" w:bidi="ar"/>
        </w:rPr>
        <w:t>(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p21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 xml:space="preserve">, 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Cxcl10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)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n=3 per group.</w:t>
      </w:r>
    </w:p>
    <w:p w14:paraId="3EE7B66F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(A-C, E-G) </w:t>
      </w:r>
      <w:r>
        <w:rPr>
          <w:rFonts w:ascii="Times New Roman" w:hAnsi="Times New Roman" w:cs="Times New Roman"/>
          <w:sz w:val="24"/>
        </w:rPr>
        <w:t>were expressed as mean ± SEM.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Significance was determined by one-way ANOVA. * P &lt; 0.05, ** P &lt; 0.01, *** P &lt; 0.001, ns = not significant.</w:t>
      </w:r>
    </w:p>
    <w:p w14:paraId="5A4E9451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</w:p>
    <w:p w14:paraId="139CD905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/>
          <w:noProof/>
          <w:sz w:val="24"/>
        </w:rPr>
        <w:lastRenderedPageBreak/>
        <w:drawing>
          <wp:inline distT="0" distB="0" distL="114300" distR="114300" wp14:anchorId="448BD662" wp14:editId="43AC4006">
            <wp:extent cx="3834765" cy="1665605"/>
            <wp:effectExtent l="0" t="0" r="635" b="10795"/>
            <wp:docPr id="24" name="图片 24" descr="FG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GS7"/>
                    <pic:cNvPicPr>
                      <a:picLocks noChangeAspect="1"/>
                    </pic:cNvPicPr>
                  </pic:nvPicPr>
                  <pic:blipFill>
                    <a:blip r:embed="rId17"/>
                    <a:srcRect r="50886" b="84918"/>
                    <a:stretch>
                      <a:fillRect/>
                    </a:stretch>
                  </pic:blipFill>
                  <pic:spPr>
                    <a:xfrm>
                      <a:off x="0" y="0"/>
                      <a:ext cx="3850822" cy="167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E5662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  <w:lang w:val="en-US"/>
        </w:rPr>
        <w:t>7</w:t>
      </w:r>
      <w:r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  <w:lang w:val="en-US"/>
        </w:rPr>
        <w:t>AAV-Hmgcs2 increased the expression of HMGCS2 in LCs of aged mice.</w:t>
      </w:r>
    </w:p>
    <w:p w14:paraId="09849E9C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Left: representative Western blots for HMGCS2 </w:t>
      </w:r>
      <w:r>
        <w:rPr>
          <w:rFonts w:ascii="Times New Roman" w:hAnsi="Times New Roman" w:cs="Times New Roman"/>
          <w:sz w:val="24"/>
          <w:lang w:val="en-US"/>
        </w:rPr>
        <w:t xml:space="preserve">and GAPDH </w:t>
      </w:r>
      <w:r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  <w:lang w:val="en-US"/>
        </w:rPr>
        <w:t>AAV-Control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  <w:lang w:val="en-US"/>
        </w:rPr>
        <w:t>AAV-</w:t>
      </w:r>
      <w:r>
        <w:rPr>
          <w:rFonts w:ascii="Times New Roman" w:hAnsi="Times New Roman" w:cs="Times New Roman"/>
          <w:sz w:val="24"/>
        </w:rPr>
        <w:t>O.E. infected testes. Right: quantitative analysis of the HMGCS2 protein level</w:t>
      </w:r>
      <w:r>
        <w:rPr>
          <w:rFonts w:ascii="Times New Roman" w:hAnsi="Times New Roman" w:cs="Times New Roman"/>
          <w:sz w:val="24"/>
          <w:lang w:val="en-US"/>
        </w:rPr>
        <w:t>, relative to GAPDH</w:t>
      </w:r>
      <w:r>
        <w:rPr>
          <w:rFonts w:ascii="Times New Roman" w:hAnsi="Times New Roman" w:cs="Times New Roman"/>
          <w:sz w:val="24"/>
        </w:rPr>
        <w:t xml:space="preserve">. n=3 per group. </w:t>
      </w:r>
    </w:p>
    <w:p w14:paraId="3FC57235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were expressed as mean ± SEM. Significance was determined by two-tailed unpaired t-tests. * P &lt; 0.05, ** P &lt; 0.01, *** P &lt; 0.001, ns = not significant.</w:t>
      </w:r>
    </w:p>
    <w:p w14:paraId="14BB3A2F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  <w:lang w:val="en-US"/>
        </w:rPr>
      </w:pPr>
    </w:p>
    <w:p w14:paraId="6DB3C695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</w:p>
    <w:p w14:paraId="24D63419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</w:p>
    <w:p w14:paraId="48996133" w14:textId="77777777" w:rsidR="00017383" w:rsidRDefault="00017383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</w:p>
    <w:p w14:paraId="3F32AB42" w14:textId="77777777" w:rsidR="00017383" w:rsidRDefault="00000000">
      <w:pPr>
        <w:widowControl/>
        <w:spacing w:line="36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eastAsia="DengXian" w:hAnsi="Times New Roman" w:cs="Times New Roman"/>
          <w:b/>
          <w:noProof/>
          <w:sz w:val="24"/>
        </w:rPr>
        <w:lastRenderedPageBreak/>
        <w:drawing>
          <wp:inline distT="0" distB="0" distL="114300" distR="114300" wp14:anchorId="4220F887" wp14:editId="05EB1E6D">
            <wp:extent cx="5268595" cy="4971415"/>
            <wp:effectExtent l="0" t="0" r="1905" b="6985"/>
            <wp:docPr id="15" name="图片 15" descr="FG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GS8"/>
                    <pic:cNvPicPr>
                      <a:picLocks noChangeAspect="1"/>
                    </pic:cNvPicPr>
                  </pic:nvPicPr>
                  <pic:blipFill>
                    <a:blip r:embed="rId18"/>
                    <a:srcRect b="3329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97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0D2A1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  <w:lang w:val="en-US"/>
        </w:rPr>
        <w:t>8</w:t>
      </w:r>
      <w:r>
        <w:rPr>
          <w:rFonts w:ascii="Times New Roman" w:hAnsi="Times New Roman" w:cs="Times New Roman"/>
          <w:b/>
          <w:sz w:val="24"/>
        </w:rPr>
        <w:t>. Oral administration of BHB partially alleviates testicular aging in aged mice.</w:t>
      </w:r>
    </w:p>
    <w:p w14:paraId="6CFD212F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eastAsia="DengXian" w:hAnsi="Times New Roman" w:cs="Times New Roman"/>
          <w:sz w:val="24"/>
        </w:rPr>
        <w:t>(A)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 xml:space="preserve">Schematic of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o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ral BHB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 xml:space="preserve"> and mice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 xml:space="preserve"> used in the study.</w:t>
      </w:r>
      <w:r>
        <w:rPr>
          <w:rFonts w:ascii="Times New Roman" w:hAnsi="Times New Roman" w:cs="Times New Roman"/>
          <w:sz w:val="24"/>
        </w:rPr>
        <w:t xml:space="preserve"> (B and C) </w:t>
      </w:r>
      <w:r>
        <w:rPr>
          <w:rFonts w:ascii="Times New Roman" w:hAnsi="Times New Roman" w:cs="Times New Roman"/>
          <w:sz w:val="24"/>
          <w:lang w:val="en-US"/>
        </w:rPr>
        <w:t>Water and food consumption between salt and BHB treated mice.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Before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o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ral BHB</w:t>
      </w:r>
      <w:r>
        <w:rPr>
          <w:rFonts w:ascii="Times New Roman" w:hAnsi="Times New Roman" w:cs="Times New Roman"/>
          <w:sz w:val="24"/>
        </w:rPr>
        <w:t xml:space="preserve"> (B), after </w:t>
      </w:r>
      <w:r>
        <w:rPr>
          <w:rFonts w:ascii="Times New Roman" w:eastAsia="SimSun" w:hAnsi="Times New Roman" w:cs="Times New Roman"/>
          <w:kern w:val="0"/>
          <w:sz w:val="24"/>
          <w:lang w:val="en-US" w:bidi="ar"/>
        </w:rPr>
        <w:t>o</w:t>
      </w:r>
      <w:r>
        <w:rPr>
          <w:rFonts w:ascii="Times New Roman" w:eastAsia="BentonSans-Book" w:hAnsi="Times New Roman" w:cs="Times New Roman"/>
          <w:kern w:val="0"/>
          <w:sz w:val="24"/>
          <w:lang w:bidi="ar"/>
        </w:rPr>
        <w:t>ral BHB</w:t>
      </w:r>
      <w:r>
        <w:rPr>
          <w:rFonts w:ascii="Times New Roman" w:hAnsi="Times New Roman" w:cs="Times New Roman"/>
          <w:sz w:val="24"/>
        </w:rPr>
        <w:t xml:space="preserve"> (C). (D) Left: representative images of testicular sections from indicated groups. The sections were stained with LCs marker CYP17A1, and SA-β-gal. Scale Bar: 75 μm. Right: quantitative analysis of the CYP17A1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SA-β-gal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cells. n=3 per group. (E) Left: representative confocal images of testicular sections from indicated groups. The sections were stained with senescence marker </w:t>
      </w:r>
      <w:r>
        <w:rPr>
          <w:rFonts w:ascii="Times New Roman" w:hAnsi="Times New Roman" w:cs="Times New Roman"/>
          <w:iCs/>
          <w:sz w:val="24"/>
        </w:rPr>
        <w:t>p21</w:t>
      </w:r>
      <w:r>
        <w:rPr>
          <w:rFonts w:ascii="Times New Roman" w:hAnsi="Times New Roman" w:cs="Times New Roman"/>
          <w:sz w:val="24"/>
        </w:rPr>
        <w:t xml:space="preserve">, HSD3β, and DAPI. Scale Bar: 50 μm. Right: quantitative analysis of the </w:t>
      </w:r>
      <w:r>
        <w:rPr>
          <w:rFonts w:ascii="Times New Roman" w:hAnsi="Times New Roman" w:cs="Times New Roman"/>
          <w:iCs/>
          <w:sz w:val="24"/>
        </w:rPr>
        <w:t>p21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HSD3β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cells. n=3 per group. (F and G) Quantitative RT-PCR analysis of </w:t>
      </w:r>
      <w:r>
        <w:rPr>
          <w:rFonts w:ascii="Times New Roman" w:hAnsi="Times New Roman" w:cs="Times New Roman"/>
          <w:kern w:val="0"/>
          <w:sz w:val="24"/>
          <w:lang w:bidi="ar"/>
        </w:rPr>
        <w:t xml:space="preserve">senescence markers </w:t>
      </w:r>
      <w:r>
        <w:rPr>
          <w:rFonts w:ascii="Times New Roman" w:hAnsi="Times New Roman" w:cs="Times New Roman"/>
          <w:kern w:val="0"/>
          <w:sz w:val="24"/>
          <w:lang w:val="en-US" w:bidi="ar"/>
        </w:rPr>
        <w:t>(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p21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 xml:space="preserve">, 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>cxcl10</w:t>
      </w:r>
      <w:r>
        <w:rPr>
          <w:rFonts w:ascii="Times New Roman" w:hAnsi="Times New Roman" w:cs="Times New Roman"/>
          <w:iCs/>
          <w:kern w:val="0"/>
          <w:sz w:val="24"/>
          <w:lang w:val="en-US" w:bidi="ar"/>
        </w:rPr>
        <w:t>)</w:t>
      </w:r>
      <w:r>
        <w:rPr>
          <w:rFonts w:ascii="Times New Roman" w:hAnsi="Times New Roman" w:cs="Times New Roman"/>
          <w:i/>
          <w:kern w:val="0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(H-K) Serum testosterone (</w:t>
      </w:r>
      <w:r>
        <w:rPr>
          <w:rFonts w:ascii="Times New Roman" w:hAnsi="Times New Roman" w:cs="Times New Roman"/>
          <w:sz w:val="24"/>
          <w:lang w:val="en-US"/>
        </w:rPr>
        <w:t>H</w:t>
      </w:r>
      <w:r>
        <w:rPr>
          <w:rFonts w:ascii="Times New Roman" w:hAnsi="Times New Roman" w:cs="Times New Roman"/>
          <w:sz w:val="24"/>
        </w:rPr>
        <w:t>), intratesticular testosterone (</w:t>
      </w:r>
      <w:r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</w:rPr>
        <w:t>),</w:t>
      </w:r>
      <w:r>
        <w:rPr>
          <w:rFonts w:ascii="Times New Roman" w:hAnsi="Times New Roman" w:cs="Times New Roman"/>
          <w:sz w:val="24"/>
          <w:lang w:val="en-US"/>
        </w:rPr>
        <w:t xml:space="preserve"> serum </w:t>
      </w:r>
      <w:r>
        <w:rPr>
          <w:rFonts w:ascii="Times New Roman" w:hAnsi="Times New Roman" w:cs="Times New Roman"/>
          <w:sz w:val="24"/>
        </w:rPr>
        <w:t>Insl3 (</w:t>
      </w:r>
      <w:r>
        <w:rPr>
          <w:rFonts w:ascii="Times New Roman" w:hAnsi="Times New Roman" w:cs="Times New Roman"/>
          <w:sz w:val="24"/>
          <w:lang w:val="en-US"/>
        </w:rPr>
        <w:t>J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lang w:val="en-US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serum </w:t>
      </w:r>
      <w:r>
        <w:rPr>
          <w:rFonts w:ascii="Times New Roman" w:hAnsi="Times New Roman" w:cs="Times New Roman"/>
          <w:sz w:val="24"/>
        </w:rPr>
        <w:t>LH (</w:t>
      </w:r>
      <w:r>
        <w:rPr>
          <w:rFonts w:ascii="Times New Roman" w:hAnsi="Times New Roman" w:cs="Times New Roman"/>
          <w:sz w:val="24"/>
          <w:lang w:val="en-US"/>
        </w:rPr>
        <w:t>K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level of </w:t>
      </w:r>
      <w:r>
        <w:rPr>
          <w:rFonts w:ascii="Times New Roman" w:hAnsi="Times New Roman" w:cs="Times New Roman"/>
          <w:sz w:val="24"/>
        </w:rPr>
        <w:lastRenderedPageBreak/>
        <w:t>the indicated groups. n=</w:t>
      </w:r>
      <w:r>
        <w:rPr>
          <w:rFonts w:ascii="Times New Roman" w:hAnsi="Times New Roman" w:cs="Times New Roman"/>
          <w:sz w:val="24"/>
          <w:lang w:val="en-US"/>
        </w:rPr>
        <w:t>20</w:t>
      </w:r>
      <w:r>
        <w:rPr>
          <w:rFonts w:ascii="Times New Roman" w:hAnsi="Times New Roman" w:cs="Times New Roman"/>
          <w:sz w:val="24"/>
        </w:rPr>
        <w:t xml:space="preserve"> per group in (</w:t>
      </w:r>
      <w:r>
        <w:rPr>
          <w:rFonts w:ascii="Times New Roman" w:hAnsi="Times New Roman" w:cs="Times New Roman"/>
          <w:sz w:val="24"/>
          <w:lang w:val="en-US"/>
        </w:rPr>
        <w:t>H</w:t>
      </w:r>
      <w:r>
        <w:rPr>
          <w:rFonts w:ascii="Times New Roman" w:hAnsi="Times New Roman" w:cs="Times New Roman"/>
          <w:sz w:val="24"/>
        </w:rPr>
        <w:t>), n=6 per group in (</w:t>
      </w:r>
      <w:r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</w:rPr>
        <w:t>), n=20 per group in (</w:t>
      </w:r>
      <w:r>
        <w:rPr>
          <w:rFonts w:ascii="Times New Roman" w:hAnsi="Times New Roman" w:cs="Times New Roman"/>
          <w:sz w:val="24"/>
          <w:lang w:val="en-US"/>
        </w:rPr>
        <w:t>J</w:t>
      </w:r>
      <w:r>
        <w:rPr>
          <w:rFonts w:ascii="Times New Roman" w:hAnsi="Times New Roman" w:cs="Times New Roman"/>
          <w:sz w:val="24"/>
        </w:rPr>
        <w:t>), n=</w:t>
      </w:r>
      <w:r>
        <w:rPr>
          <w:rFonts w:ascii="Times New Roman" w:hAnsi="Times New Roman" w:cs="Times New Roman"/>
          <w:sz w:val="24"/>
          <w:lang w:val="en-US"/>
        </w:rPr>
        <w:t>20</w:t>
      </w:r>
      <w:r>
        <w:rPr>
          <w:rFonts w:ascii="Times New Roman" w:hAnsi="Times New Roman" w:cs="Times New Roman"/>
          <w:sz w:val="24"/>
        </w:rPr>
        <w:t xml:space="preserve"> per group in (</w:t>
      </w:r>
      <w:r>
        <w:rPr>
          <w:rFonts w:ascii="Times New Roman" w:hAnsi="Times New Roman" w:cs="Times New Roman"/>
          <w:sz w:val="24"/>
          <w:lang w:val="en-US"/>
        </w:rPr>
        <w:t>K</w:t>
      </w:r>
      <w:r>
        <w:rPr>
          <w:rFonts w:ascii="Times New Roman" w:hAnsi="Times New Roman" w:cs="Times New Roman"/>
          <w:sz w:val="24"/>
        </w:rPr>
        <w:t>). (L-O) Representative light micrographs of sperm acquired from indicated groups (</w:t>
      </w:r>
      <w:r>
        <w:rPr>
          <w:rFonts w:ascii="Times New Roman" w:hAnsi="Times New Roman" w:cs="Times New Roman"/>
          <w:sz w:val="24"/>
          <w:lang w:val="en-US"/>
        </w:rPr>
        <w:t>L</w:t>
      </w:r>
      <w:r>
        <w:rPr>
          <w:rFonts w:ascii="Times New Roman" w:hAnsi="Times New Roman" w:cs="Times New Roman"/>
          <w:sz w:val="24"/>
        </w:rPr>
        <w:t>). Scale Bar: 100 μm. Sperm counts (</w:t>
      </w:r>
      <w:r>
        <w:rPr>
          <w:rFonts w:ascii="Times New Roman" w:hAnsi="Times New Roman" w:cs="Times New Roman"/>
          <w:sz w:val="24"/>
          <w:lang w:val="en-US"/>
        </w:rPr>
        <w:t>M</w:t>
      </w:r>
      <w:r>
        <w:rPr>
          <w:rFonts w:ascii="Times New Roman" w:hAnsi="Times New Roman" w:cs="Times New Roman"/>
          <w:sz w:val="24"/>
        </w:rPr>
        <w:t>), proportion of sperm with motility (</w:t>
      </w:r>
      <w:r>
        <w:rPr>
          <w:rFonts w:ascii="Times New Roman" w:hAnsi="Times New Roman" w:cs="Times New Roman"/>
          <w:sz w:val="24"/>
          <w:lang w:val="en-US"/>
        </w:rPr>
        <w:t>N</w:t>
      </w:r>
      <w:r>
        <w:rPr>
          <w:rFonts w:ascii="Times New Roman" w:hAnsi="Times New Roman" w:cs="Times New Roman"/>
          <w:sz w:val="24"/>
        </w:rPr>
        <w:t>), proportion of sperm with progressive motility (</w:t>
      </w:r>
      <w:r>
        <w:rPr>
          <w:rFonts w:ascii="Times New Roman" w:hAnsi="Times New Roman" w:cs="Times New Roman"/>
          <w:sz w:val="24"/>
          <w:lang w:val="en-US"/>
        </w:rPr>
        <w:t>O</w:t>
      </w:r>
      <w:r>
        <w:rPr>
          <w:rFonts w:ascii="Times New Roman" w:hAnsi="Times New Roman" w:cs="Times New Roman"/>
          <w:sz w:val="24"/>
        </w:rPr>
        <w:t>). n=10 per group.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45EEF8D7" w14:textId="77777777" w:rsidR="00017383" w:rsidRDefault="00000000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in the bar graph</w:t>
      </w:r>
      <w:r>
        <w:rPr>
          <w:rFonts w:ascii="Times New Roman" w:hAnsi="Times New Roman" w:cs="Times New Roman"/>
          <w:sz w:val="24"/>
          <w:lang w:val="en-US"/>
        </w:rPr>
        <w:t xml:space="preserve">s </w:t>
      </w:r>
      <w:r>
        <w:rPr>
          <w:rFonts w:ascii="Times New Roman" w:hAnsi="Times New Roman" w:cs="Times New Roman"/>
          <w:sz w:val="24"/>
        </w:rPr>
        <w:t>were expressed as mean ± SEM. Significance was determined by two-tailed unpaired t-tests. * P &lt; 0.05, ** P &lt; 0.01, *** P &lt; 0.001, ns = not significant.</w:t>
      </w:r>
    </w:p>
    <w:p w14:paraId="7BCD382D" w14:textId="77777777" w:rsidR="00017383" w:rsidRDefault="00017383">
      <w:pPr>
        <w:spacing w:after="240" w:line="360" w:lineRule="auto"/>
        <w:rPr>
          <w:rFonts w:ascii="Times New Roman" w:hAnsi="Times New Roman" w:cs="Times New Roman"/>
          <w:b/>
          <w:sz w:val="24"/>
        </w:rPr>
      </w:pPr>
    </w:p>
    <w:p w14:paraId="0AF12204" w14:textId="77777777" w:rsidR="00017383" w:rsidRDefault="00017383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017383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66C82" w14:textId="77777777" w:rsidR="000C1AA1" w:rsidRDefault="000C1AA1">
      <w:r>
        <w:separator/>
      </w:r>
    </w:p>
  </w:endnote>
  <w:endnote w:type="continuationSeparator" w:id="0">
    <w:p w14:paraId="13EF893E" w14:textId="77777777" w:rsidR="000C1AA1" w:rsidRDefault="000C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entonSans-Book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113FC5" w14:textId="77777777" w:rsidR="00017383" w:rsidRDefault="000173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7627BA" w14:textId="77777777" w:rsidR="00017383" w:rsidRDefault="000173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637235" w14:textId="77777777" w:rsidR="00017383" w:rsidRDefault="000173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39E0B1" w14:textId="77777777" w:rsidR="000C1AA1" w:rsidRDefault="000C1AA1">
      <w:r>
        <w:separator/>
      </w:r>
    </w:p>
  </w:footnote>
  <w:footnote w:type="continuationSeparator" w:id="0">
    <w:p w14:paraId="5073D69F" w14:textId="77777777" w:rsidR="000C1AA1" w:rsidRDefault="000C1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76691C" w14:textId="77777777" w:rsidR="00017383" w:rsidRDefault="000173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F6BE2" w14:textId="77777777" w:rsidR="00017383" w:rsidRDefault="000173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6D3836" w14:textId="77777777" w:rsidR="00017383" w:rsidRDefault="00017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6E03535"/>
    <w:multiLevelType w:val="singleLevel"/>
    <w:tmpl w:val="D6E03535"/>
    <w:lvl w:ilvl="0">
      <w:start w:val="1"/>
      <w:numFmt w:val="decimal"/>
      <w:suff w:val="space"/>
      <w:lvlText w:val="%1."/>
      <w:lvlJc w:val="left"/>
    </w:lvl>
  </w:abstractNum>
  <w:num w:numId="1" w16cid:durableId="557322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4NjIxZTA0MmRhMzNjOTRkZjg1OTA4MmEzNzQ4Nj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Immun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dfdzwpctdrfiefaz7xr5zo2pa5vd5x9fr2&quot;&gt;我的EndNote库&lt;record-ids&gt;&lt;item&gt;4&lt;/item&gt;&lt;item&gt;62&lt;/item&gt;&lt;item&gt;69&lt;/item&gt;&lt;item&gt;70&lt;/item&gt;&lt;item&gt;72&lt;/item&gt;&lt;item&gt;79&lt;/item&gt;&lt;item&gt;82&lt;/item&gt;&lt;item&gt;96&lt;/item&gt;&lt;item&gt;97&lt;/item&gt;&lt;item&gt;101&lt;/item&gt;&lt;item&gt;102&lt;/item&gt;&lt;item&gt;144&lt;/item&gt;&lt;item&gt;161&lt;/item&gt;&lt;item&gt;164&lt;/item&gt;&lt;item&gt;165&lt;/item&gt;&lt;item&gt;170&lt;/item&gt;&lt;item&gt;172&lt;/item&gt;&lt;item&gt;173&lt;/item&gt;&lt;item&gt;174&lt;/item&gt;&lt;/record-ids&gt;&lt;/item&gt;&lt;/Libraries&gt;"/>
  </w:docVars>
  <w:rsids>
    <w:rsidRoot w:val="00997303"/>
    <w:rsid w:val="00002477"/>
    <w:rsid w:val="00002BFB"/>
    <w:rsid w:val="0000374A"/>
    <w:rsid w:val="00017383"/>
    <w:rsid w:val="00022391"/>
    <w:rsid w:val="00024DF1"/>
    <w:rsid w:val="00030791"/>
    <w:rsid w:val="00037917"/>
    <w:rsid w:val="00041B47"/>
    <w:rsid w:val="00062A0C"/>
    <w:rsid w:val="00065907"/>
    <w:rsid w:val="00071560"/>
    <w:rsid w:val="000729C1"/>
    <w:rsid w:val="0007512B"/>
    <w:rsid w:val="000777BA"/>
    <w:rsid w:val="00082A0E"/>
    <w:rsid w:val="00084D0E"/>
    <w:rsid w:val="00084F0E"/>
    <w:rsid w:val="00091E33"/>
    <w:rsid w:val="00095F8F"/>
    <w:rsid w:val="000A2B33"/>
    <w:rsid w:val="000B0168"/>
    <w:rsid w:val="000B12ED"/>
    <w:rsid w:val="000B24C8"/>
    <w:rsid w:val="000B786A"/>
    <w:rsid w:val="000C1AA1"/>
    <w:rsid w:val="000C2561"/>
    <w:rsid w:val="000C29C0"/>
    <w:rsid w:val="000D05E9"/>
    <w:rsid w:val="000D25D6"/>
    <w:rsid w:val="000D414A"/>
    <w:rsid w:val="000D7207"/>
    <w:rsid w:val="000E58A1"/>
    <w:rsid w:val="000F7668"/>
    <w:rsid w:val="00105FF3"/>
    <w:rsid w:val="00107E51"/>
    <w:rsid w:val="0011786C"/>
    <w:rsid w:val="001279E7"/>
    <w:rsid w:val="001279F3"/>
    <w:rsid w:val="001339C5"/>
    <w:rsid w:val="00133D54"/>
    <w:rsid w:val="00136321"/>
    <w:rsid w:val="00136D61"/>
    <w:rsid w:val="00136E0C"/>
    <w:rsid w:val="00142440"/>
    <w:rsid w:val="001507A4"/>
    <w:rsid w:val="00157558"/>
    <w:rsid w:val="00172175"/>
    <w:rsid w:val="00174AEE"/>
    <w:rsid w:val="00176DF4"/>
    <w:rsid w:val="00187EA0"/>
    <w:rsid w:val="00197743"/>
    <w:rsid w:val="00197895"/>
    <w:rsid w:val="001A2E5D"/>
    <w:rsid w:val="001C2A13"/>
    <w:rsid w:val="001D5000"/>
    <w:rsid w:val="001E058F"/>
    <w:rsid w:val="001E70E4"/>
    <w:rsid w:val="001F0FF4"/>
    <w:rsid w:val="0020450D"/>
    <w:rsid w:val="00226ADF"/>
    <w:rsid w:val="0023626D"/>
    <w:rsid w:val="0023635D"/>
    <w:rsid w:val="00242CC9"/>
    <w:rsid w:val="0024547E"/>
    <w:rsid w:val="002510C3"/>
    <w:rsid w:val="00253217"/>
    <w:rsid w:val="00256E79"/>
    <w:rsid w:val="00262F1F"/>
    <w:rsid w:val="0026315C"/>
    <w:rsid w:val="00263974"/>
    <w:rsid w:val="00275591"/>
    <w:rsid w:val="00294AC1"/>
    <w:rsid w:val="002A0634"/>
    <w:rsid w:val="002D4087"/>
    <w:rsid w:val="002E1808"/>
    <w:rsid w:val="002F6A21"/>
    <w:rsid w:val="00314BCC"/>
    <w:rsid w:val="003160C3"/>
    <w:rsid w:val="003167C0"/>
    <w:rsid w:val="00317373"/>
    <w:rsid w:val="00324E07"/>
    <w:rsid w:val="00327068"/>
    <w:rsid w:val="003379CF"/>
    <w:rsid w:val="00342A5E"/>
    <w:rsid w:val="00356CBB"/>
    <w:rsid w:val="00361F0E"/>
    <w:rsid w:val="00371CF3"/>
    <w:rsid w:val="0037412C"/>
    <w:rsid w:val="0037633A"/>
    <w:rsid w:val="00386856"/>
    <w:rsid w:val="003929BB"/>
    <w:rsid w:val="003A0FFC"/>
    <w:rsid w:val="003A1F20"/>
    <w:rsid w:val="003B2CB6"/>
    <w:rsid w:val="003B3132"/>
    <w:rsid w:val="003B6B18"/>
    <w:rsid w:val="003C1385"/>
    <w:rsid w:val="003C1986"/>
    <w:rsid w:val="003C3A97"/>
    <w:rsid w:val="003C403A"/>
    <w:rsid w:val="003C5994"/>
    <w:rsid w:val="003C7660"/>
    <w:rsid w:val="003D3322"/>
    <w:rsid w:val="003D6D61"/>
    <w:rsid w:val="003E7361"/>
    <w:rsid w:val="003E7CE7"/>
    <w:rsid w:val="003F336A"/>
    <w:rsid w:val="003F5FF2"/>
    <w:rsid w:val="0040540C"/>
    <w:rsid w:val="00414E39"/>
    <w:rsid w:val="00421005"/>
    <w:rsid w:val="00423770"/>
    <w:rsid w:val="004315BB"/>
    <w:rsid w:val="00433CB4"/>
    <w:rsid w:val="004445BD"/>
    <w:rsid w:val="00445559"/>
    <w:rsid w:val="004536E0"/>
    <w:rsid w:val="00455D38"/>
    <w:rsid w:val="00461ED3"/>
    <w:rsid w:val="004622A7"/>
    <w:rsid w:val="00464C6B"/>
    <w:rsid w:val="004738A9"/>
    <w:rsid w:val="004758BA"/>
    <w:rsid w:val="0047796A"/>
    <w:rsid w:val="00480280"/>
    <w:rsid w:val="00480D88"/>
    <w:rsid w:val="0048774E"/>
    <w:rsid w:val="004A2F6A"/>
    <w:rsid w:val="004A56CC"/>
    <w:rsid w:val="004B0232"/>
    <w:rsid w:val="004B0D49"/>
    <w:rsid w:val="004B2772"/>
    <w:rsid w:val="004C6795"/>
    <w:rsid w:val="004C78DC"/>
    <w:rsid w:val="004D3D93"/>
    <w:rsid w:val="004D5450"/>
    <w:rsid w:val="004E3AE5"/>
    <w:rsid w:val="004F3F12"/>
    <w:rsid w:val="004F4A45"/>
    <w:rsid w:val="004F79FF"/>
    <w:rsid w:val="00502AD2"/>
    <w:rsid w:val="0050517C"/>
    <w:rsid w:val="00510BE2"/>
    <w:rsid w:val="005267D2"/>
    <w:rsid w:val="00533D8B"/>
    <w:rsid w:val="00550F00"/>
    <w:rsid w:val="0055391D"/>
    <w:rsid w:val="0055552F"/>
    <w:rsid w:val="00565AB4"/>
    <w:rsid w:val="005675CF"/>
    <w:rsid w:val="00571115"/>
    <w:rsid w:val="005737E1"/>
    <w:rsid w:val="00574036"/>
    <w:rsid w:val="00577DB5"/>
    <w:rsid w:val="00583171"/>
    <w:rsid w:val="00584B02"/>
    <w:rsid w:val="0058684D"/>
    <w:rsid w:val="00586ED2"/>
    <w:rsid w:val="00586F7C"/>
    <w:rsid w:val="00592A3A"/>
    <w:rsid w:val="005963C6"/>
    <w:rsid w:val="005A2113"/>
    <w:rsid w:val="005B5D42"/>
    <w:rsid w:val="005B6CEA"/>
    <w:rsid w:val="005B78EC"/>
    <w:rsid w:val="005C2D0E"/>
    <w:rsid w:val="005C4E73"/>
    <w:rsid w:val="005D168D"/>
    <w:rsid w:val="005D748B"/>
    <w:rsid w:val="00601B2C"/>
    <w:rsid w:val="00605A7A"/>
    <w:rsid w:val="006077FA"/>
    <w:rsid w:val="006100C6"/>
    <w:rsid w:val="00610191"/>
    <w:rsid w:val="00622939"/>
    <w:rsid w:val="006247AF"/>
    <w:rsid w:val="00626880"/>
    <w:rsid w:val="00643EEE"/>
    <w:rsid w:val="006444E7"/>
    <w:rsid w:val="006501E3"/>
    <w:rsid w:val="006560BB"/>
    <w:rsid w:val="0066087E"/>
    <w:rsid w:val="00660AB0"/>
    <w:rsid w:val="00664E0B"/>
    <w:rsid w:val="00670435"/>
    <w:rsid w:val="00674188"/>
    <w:rsid w:val="006742DC"/>
    <w:rsid w:val="0067463E"/>
    <w:rsid w:val="00677E4A"/>
    <w:rsid w:val="00681949"/>
    <w:rsid w:val="006A28D3"/>
    <w:rsid w:val="006A372C"/>
    <w:rsid w:val="006A65C4"/>
    <w:rsid w:val="006A78F2"/>
    <w:rsid w:val="006B1D60"/>
    <w:rsid w:val="006B20AE"/>
    <w:rsid w:val="006C31C4"/>
    <w:rsid w:val="006C41E4"/>
    <w:rsid w:val="006E4A9E"/>
    <w:rsid w:val="006E6976"/>
    <w:rsid w:val="006F0501"/>
    <w:rsid w:val="006F086E"/>
    <w:rsid w:val="006F1D5E"/>
    <w:rsid w:val="006F412B"/>
    <w:rsid w:val="0071314B"/>
    <w:rsid w:val="007208C4"/>
    <w:rsid w:val="00722F60"/>
    <w:rsid w:val="00725F1B"/>
    <w:rsid w:val="00731209"/>
    <w:rsid w:val="007316A6"/>
    <w:rsid w:val="007573DE"/>
    <w:rsid w:val="0075773E"/>
    <w:rsid w:val="00761084"/>
    <w:rsid w:val="00764899"/>
    <w:rsid w:val="00765468"/>
    <w:rsid w:val="007804FC"/>
    <w:rsid w:val="007905C2"/>
    <w:rsid w:val="00790654"/>
    <w:rsid w:val="0079078F"/>
    <w:rsid w:val="00794DD2"/>
    <w:rsid w:val="007B4952"/>
    <w:rsid w:val="007C7249"/>
    <w:rsid w:val="007D60D6"/>
    <w:rsid w:val="007D62AB"/>
    <w:rsid w:val="007E6793"/>
    <w:rsid w:val="007F04E5"/>
    <w:rsid w:val="007F2243"/>
    <w:rsid w:val="007F5EAB"/>
    <w:rsid w:val="008014D4"/>
    <w:rsid w:val="00805A01"/>
    <w:rsid w:val="00805A8C"/>
    <w:rsid w:val="00806CAD"/>
    <w:rsid w:val="00817E74"/>
    <w:rsid w:val="008209D6"/>
    <w:rsid w:val="00821997"/>
    <w:rsid w:val="00823319"/>
    <w:rsid w:val="008248DA"/>
    <w:rsid w:val="00825ED9"/>
    <w:rsid w:val="00834CDE"/>
    <w:rsid w:val="00834FF2"/>
    <w:rsid w:val="00836F6A"/>
    <w:rsid w:val="00844A87"/>
    <w:rsid w:val="00844B74"/>
    <w:rsid w:val="00850366"/>
    <w:rsid w:val="008533CB"/>
    <w:rsid w:val="00867E01"/>
    <w:rsid w:val="0087115A"/>
    <w:rsid w:val="008830E3"/>
    <w:rsid w:val="008926FC"/>
    <w:rsid w:val="008B3247"/>
    <w:rsid w:val="008B43B1"/>
    <w:rsid w:val="008B6572"/>
    <w:rsid w:val="008B663D"/>
    <w:rsid w:val="008C4CE5"/>
    <w:rsid w:val="008C5953"/>
    <w:rsid w:val="008C7886"/>
    <w:rsid w:val="008C7EE8"/>
    <w:rsid w:val="008D0216"/>
    <w:rsid w:val="008D239D"/>
    <w:rsid w:val="008D707C"/>
    <w:rsid w:val="008F6287"/>
    <w:rsid w:val="00901060"/>
    <w:rsid w:val="00902CB4"/>
    <w:rsid w:val="00913320"/>
    <w:rsid w:val="00914EA0"/>
    <w:rsid w:val="0091541E"/>
    <w:rsid w:val="00920148"/>
    <w:rsid w:val="00923CC6"/>
    <w:rsid w:val="00923F92"/>
    <w:rsid w:val="00926D3E"/>
    <w:rsid w:val="009315EE"/>
    <w:rsid w:val="0093694B"/>
    <w:rsid w:val="0094199A"/>
    <w:rsid w:val="00944B8F"/>
    <w:rsid w:val="0095082D"/>
    <w:rsid w:val="0095162A"/>
    <w:rsid w:val="0095464B"/>
    <w:rsid w:val="00956023"/>
    <w:rsid w:val="00956830"/>
    <w:rsid w:val="00963C8D"/>
    <w:rsid w:val="0097386E"/>
    <w:rsid w:val="00974240"/>
    <w:rsid w:val="00991326"/>
    <w:rsid w:val="00994379"/>
    <w:rsid w:val="00996468"/>
    <w:rsid w:val="00997303"/>
    <w:rsid w:val="00997512"/>
    <w:rsid w:val="009A04A6"/>
    <w:rsid w:val="009A5A84"/>
    <w:rsid w:val="009B082B"/>
    <w:rsid w:val="009B4106"/>
    <w:rsid w:val="009C1D0D"/>
    <w:rsid w:val="009C262C"/>
    <w:rsid w:val="009C35F8"/>
    <w:rsid w:val="009C6D91"/>
    <w:rsid w:val="009E0F28"/>
    <w:rsid w:val="009E449A"/>
    <w:rsid w:val="009F238B"/>
    <w:rsid w:val="009F3AE9"/>
    <w:rsid w:val="009F3F31"/>
    <w:rsid w:val="009F42E4"/>
    <w:rsid w:val="009F61E9"/>
    <w:rsid w:val="00A0262B"/>
    <w:rsid w:val="00A0745B"/>
    <w:rsid w:val="00A17615"/>
    <w:rsid w:val="00A21BDF"/>
    <w:rsid w:val="00A43F39"/>
    <w:rsid w:val="00A464D1"/>
    <w:rsid w:val="00A51C3E"/>
    <w:rsid w:val="00A625B9"/>
    <w:rsid w:val="00A66E8F"/>
    <w:rsid w:val="00A70510"/>
    <w:rsid w:val="00A750FB"/>
    <w:rsid w:val="00A760A1"/>
    <w:rsid w:val="00A806D0"/>
    <w:rsid w:val="00A81F29"/>
    <w:rsid w:val="00A836C8"/>
    <w:rsid w:val="00A851B7"/>
    <w:rsid w:val="00A8561C"/>
    <w:rsid w:val="00AB083A"/>
    <w:rsid w:val="00AB3844"/>
    <w:rsid w:val="00AC323F"/>
    <w:rsid w:val="00AC7513"/>
    <w:rsid w:val="00AD57B1"/>
    <w:rsid w:val="00AE6E0C"/>
    <w:rsid w:val="00AE7B16"/>
    <w:rsid w:val="00AF1AEA"/>
    <w:rsid w:val="00AF55D8"/>
    <w:rsid w:val="00AF63EE"/>
    <w:rsid w:val="00B046C6"/>
    <w:rsid w:val="00B06214"/>
    <w:rsid w:val="00B07A4B"/>
    <w:rsid w:val="00B15F3B"/>
    <w:rsid w:val="00B21C0C"/>
    <w:rsid w:val="00B2754E"/>
    <w:rsid w:val="00B27EC9"/>
    <w:rsid w:val="00B37961"/>
    <w:rsid w:val="00B422C6"/>
    <w:rsid w:val="00B43656"/>
    <w:rsid w:val="00B441B5"/>
    <w:rsid w:val="00B50158"/>
    <w:rsid w:val="00B5452D"/>
    <w:rsid w:val="00B5654C"/>
    <w:rsid w:val="00B64BE4"/>
    <w:rsid w:val="00B70D4F"/>
    <w:rsid w:val="00B74A18"/>
    <w:rsid w:val="00B8282E"/>
    <w:rsid w:val="00B83E85"/>
    <w:rsid w:val="00B8442B"/>
    <w:rsid w:val="00B92074"/>
    <w:rsid w:val="00BA265A"/>
    <w:rsid w:val="00BA451E"/>
    <w:rsid w:val="00BA4B15"/>
    <w:rsid w:val="00BA6E78"/>
    <w:rsid w:val="00BB1383"/>
    <w:rsid w:val="00BB63CB"/>
    <w:rsid w:val="00BC2E59"/>
    <w:rsid w:val="00BD1208"/>
    <w:rsid w:val="00BD1361"/>
    <w:rsid w:val="00BE00F7"/>
    <w:rsid w:val="00BE4060"/>
    <w:rsid w:val="00BE711D"/>
    <w:rsid w:val="00BF556A"/>
    <w:rsid w:val="00BF7F48"/>
    <w:rsid w:val="00C016F1"/>
    <w:rsid w:val="00C0262D"/>
    <w:rsid w:val="00C140D9"/>
    <w:rsid w:val="00C14686"/>
    <w:rsid w:val="00C152D5"/>
    <w:rsid w:val="00C15708"/>
    <w:rsid w:val="00C20142"/>
    <w:rsid w:val="00C2625D"/>
    <w:rsid w:val="00C265B9"/>
    <w:rsid w:val="00C27BCB"/>
    <w:rsid w:val="00C35EEE"/>
    <w:rsid w:val="00C35F79"/>
    <w:rsid w:val="00C458F6"/>
    <w:rsid w:val="00C51B48"/>
    <w:rsid w:val="00C70473"/>
    <w:rsid w:val="00C7483E"/>
    <w:rsid w:val="00C75383"/>
    <w:rsid w:val="00C755D8"/>
    <w:rsid w:val="00C769C0"/>
    <w:rsid w:val="00C81520"/>
    <w:rsid w:val="00C93217"/>
    <w:rsid w:val="00C9796D"/>
    <w:rsid w:val="00C97FBB"/>
    <w:rsid w:val="00CA2BDC"/>
    <w:rsid w:val="00CA562D"/>
    <w:rsid w:val="00CA7B23"/>
    <w:rsid w:val="00CB2DF9"/>
    <w:rsid w:val="00CB6909"/>
    <w:rsid w:val="00CB77FB"/>
    <w:rsid w:val="00CD3E4B"/>
    <w:rsid w:val="00CD74A8"/>
    <w:rsid w:val="00CE2BF2"/>
    <w:rsid w:val="00CE4AFB"/>
    <w:rsid w:val="00CE5BD2"/>
    <w:rsid w:val="00CF06F2"/>
    <w:rsid w:val="00CF322B"/>
    <w:rsid w:val="00CF3DDD"/>
    <w:rsid w:val="00CF3FBD"/>
    <w:rsid w:val="00CF69F4"/>
    <w:rsid w:val="00CF7C77"/>
    <w:rsid w:val="00D06F17"/>
    <w:rsid w:val="00D1000D"/>
    <w:rsid w:val="00D21FBF"/>
    <w:rsid w:val="00D24CAA"/>
    <w:rsid w:val="00D265B3"/>
    <w:rsid w:val="00D27506"/>
    <w:rsid w:val="00D3065F"/>
    <w:rsid w:val="00D30FB9"/>
    <w:rsid w:val="00D37D7C"/>
    <w:rsid w:val="00D424BB"/>
    <w:rsid w:val="00D429BE"/>
    <w:rsid w:val="00D43CFF"/>
    <w:rsid w:val="00D456FF"/>
    <w:rsid w:val="00D4657D"/>
    <w:rsid w:val="00D625FA"/>
    <w:rsid w:val="00D66761"/>
    <w:rsid w:val="00D74903"/>
    <w:rsid w:val="00D80BA2"/>
    <w:rsid w:val="00D84700"/>
    <w:rsid w:val="00D847C9"/>
    <w:rsid w:val="00D92D91"/>
    <w:rsid w:val="00D95177"/>
    <w:rsid w:val="00DA0055"/>
    <w:rsid w:val="00DA332E"/>
    <w:rsid w:val="00DA3DA5"/>
    <w:rsid w:val="00DA6162"/>
    <w:rsid w:val="00DC1000"/>
    <w:rsid w:val="00DC3FCE"/>
    <w:rsid w:val="00DE2183"/>
    <w:rsid w:val="00DE2202"/>
    <w:rsid w:val="00DF5E09"/>
    <w:rsid w:val="00DF680E"/>
    <w:rsid w:val="00DF7A0E"/>
    <w:rsid w:val="00E06C42"/>
    <w:rsid w:val="00E10962"/>
    <w:rsid w:val="00E132F8"/>
    <w:rsid w:val="00E13D67"/>
    <w:rsid w:val="00E20DF1"/>
    <w:rsid w:val="00E22C36"/>
    <w:rsid w:val="00E24E1E"/>
    <w:rsid w:val="00E326C2"/>
    <w:rsid w:val="00E341D6"/>
    <w:rsid w:val="00E34FA8"/>
    <w:rsid w:val="00E37872"/>
    <w:rsid w:val="00E4177A"/>
    <w:rsid w:val="00E41BEE"/>
    <w:rsid w:val="00E45DCB"/>
    <w:rsid w:val="00E47971"/>
    <w:rsid w:val="00E52F55"/>
    <w:rsid w:val="00E64AE7"/>
    <w:rsid w:val="00E65D58"/>
    <w:rsid w:val="00E67CEA"/>
    <w:rsid w:val="00E759B7"/>
    <w:rsid w:val="00E76600"/>
    <w:rsid w:val="00E8049B"/>
    <w:rsid w:val="00E80651"/>
    <w:rsid w:val="00E80FBA"/>
    <w:rsid w:val="00E92E9C"/>
    <w:rsid w:val="00E9482A"/>
    <w:rsid w:val="00E9488B"/>
    <w:rsid w:val="00E9696A"/>
    <w:rsid w:val="00EC2E3B"/>
    <w:rsid w:val="00EC5350"/>
    <w:rsid w:val="00EE090F"/>
    <w:rsid w:val="00EE0FB2"/>
    <w:rsid w:val="00EE6A39"/>
    <w:rsid w:val="00EF2885"/>
    <w:rsid w:val="00EF2BF5"/>
    <w:rsid w:val="00EF7C0A"/>
    <w:rsid w:val="00F0131B"/>
    <w:rsid w:val="00F04792"/>
    <w:rsid w:val="00F051B7"/>
    <w:rsid w:val="00F15286"/>
    <w:rsid w:val="00F213DD"/>
    <w:rsid w:val="00F231EC"/>
    <w:rsid w:val="00F23647"/>
    <w:rsid w:val="00F3191D"/>
    <w:rsid w:val="00F32E93"/>
    <w:rsid w:val="00F355E5"/>
    <w:rsid w:val="00F40D17"/>
    <w:rsid w:val="00F411FB"/>
    <w:rsid w:val="00F46B93"/>
    <w:rsid w:val="00F4755E"/>
    <w:rsid w:val="00F5050B"/>
    <w:rsid w:val="00F57BF9"/>
    <w:rsid w:val="00F73BCB"/>
    <w:rsid w:val="00F76F1B"/>
    <w:rsid w:val="00F77655"/>
    <w:rsid w:val="00F81028"/>
    <w:rsid w:val="00F8182C"/>
    <w:rsid w:val="00F84B1F"/>
    <w:rsid w:val="00F87164"/>
    <w:rsid w:val="00F90ED9"/>
    <w:rsid w:val="00F978AF"/>
    <w:rsid w:val="00FA4269"/>
    <w:rsid w:val="00FA4A31"/>
    <w:rsid w:val="00FA4EE0"/>
    <w:rsid w:val="00FA69AC"/>
    <w:rsid w:val="00FA6F32"/>
    <w:rsid w:val="00FB6E73"/>
    <w:rsid w:val="00FC2F83"/>
    <w:rsid w:val="00FC5E48"/>
    <w:rsid w:val="00FC71CB"/>
    <w:rsid w:val="00FD04ED"/>
    <w:rsid w:val="00FD4CE6"/>
    <w:rsid w:val="00FE366F"/>
    <w:rsid w:val="00FE3B2B"/>
    <w:rsid w:val="00FF38E0"/>
    <w:rsid w:val="00FF6C98"/>
    <w:rsid w:val="061C6693"/>
    <w:rsid w:val="08F34041"/>
    <w:rsid w:val="0BE352E1"/>
    <w:rsid w:val="0CCA3020"/>
    <w:rsid w:val="0DBB5D95"/>
    <w:rsid w:val="12EC26FA"/>
    <w:rsid w:val="24C17E4E"/>
    <w:rsid w:val="259B3BA3"/>
    <w:rsid w:val="2A5C427C"/>
    <w:rsid w:val="2CD02F96"/>
    <w:rsid w:val="2DD03052"/>
    <w:rsid w:val="2E21163E"/>
    <w:rsid w:val="2FC73DD9"/>
    <w:rsid w:val="33C34EAB"/>
    <w:rsid w:val="34FA1E45"/>
    <w:rsid w:val="356D6ABA"/>
    <w:rsid w:val="36EA0C41"/>
    <w:rsid w:val="38404012"/>
    <w:rsid w:val="3A5E6B4F"/>
    <w:rsid w:val="3AD71C1A"/>
    <w:rsid w:val="3D3C2D50"/>
    <w:rsid w:val="42AB7750"/>
    <w:rsid w:val="47C50090"/>
    <w:rsid w:val="4C1747B8"/>
    <w:rsid w:val="4F95534D"/>
    <w:rsid w:val="536E5A80"/>
    <w:rsid w:val="54ED6E78"/>
    <w:rsid w:val="554750E5"/>
    <w:rsid w:val="58093FC9"/>
    <w:rsid w:val="580B4371"/>
    <w:rsid w:val="58421289"/>
    <w:rsid w:val="5E525F9E"/>
    <w:rsid w:val="5E8D7988"/>
    <w:rsid w:val="642108EC"/>
    <w:rsid w:val="6B95030D"/>
    <w:rsid w:val="6D9263B7"/>
    <w:rsid w:val="6EE96A38"/>
    <w:rsid w:val="6FA230BD"/>
    <w:rsid w:val="7B0A1C83"/>
    <w:rsid w:val="7D0E4103"/>
    <w:rsid w:val="7D11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E1863"/>
  <w15:docId w15:val="{BD4CB34E-D44B-4D99-AC11-B0E039B01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unhideWhenUsed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unhideWhenUsed/>
    <w:qFormat/>
    <w:pPr>
      <w:keepNext/>
      <w:keepLines/>
      <w:spacing w:before="480" w:after="80"/>
      <w:outlineLvl w:val="0"/>
    </w:pPr>
    <w:rPr>
      <w:rFonts w:ascii="DengXian Light" w:eastAsia="DengXian Light" w:hAnsi="DengXian Light" w:hint="eastAsia"/>
      <w:color w:val="0F4761"/>
      <w:sz w:val="48"/>
      <w:szCs w:val="48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160" w:after="80"/>
      <w:outlineLvl w:val="1"/>
    </w:pPr>
    <w:rPr>
      <w:rFonts w:ascii="DengXian Light" w:eastAsia="DengXian Light" w:hAnsi="DengXian Light" w:cs="Times New Roman" w:hint="eastAsia"/>
      <w:b/>
      <w:bCs/>
      <w:color w:val="0F4761"/>
      <w:sz w:val="40"/>
      <w:szCs w:val="40"/>
      <w:lang w:val="en-US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160" w:after="80"/>
      <w:outlineLvl w:val="2"/>
    </w:pPr>
    <w:rPr>
      <w:rFonts w:ascii="DengXian Light" w:eastAsia="DengXian Light" w:hAnsi="DengXian Light" w:cs="Times New Roman" w:hint="eastAsia"/>
      <w:b/>
      <w:bCs/>
      <w:color w:val="0F4761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  <w:lang w:val="en-GB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  <w:lang w:val="en-GB"/>
    </w:rPr>
  </w:style>
  <w:style w:type="paragraph" w:customStyle="1" w:styleId="EndNoteBibliographyTitle">
    <w:name w:val="EndNote Bibliography Title"/>
    <w:qFormat/>
    <w:pPr>
      <w:jc w:val="center"/>
    </w:pPr>
    <w:rPr>
      <w:rFonts w:ascii="DengXian" w:eastAsia="DengXian" w:hAnsi="DengXian" w:cs="DengXian" w:hint="eastAsia"/>
      <w:kern w:val="2"/>
      <w:szCs w:val="24"/>
      <w:lang w:val="en-GB" w:eastAsia="zh-CN"/>
    </w:rPr>
  </w:style>
  <w:style w:type="paragraph" w:customStyle="1" w:styleId="EndNoteBibliography">
    <w:name w:val="EndNote Bibliography"/>
    <w:qFormat/>
    <w:pPr>
      <w:jc w:val="both"/>
    </w:pPr>
    <w:rPr>
      <w:rFonts w:ascii="DengXian" w:eastAsia="DengXian" w:hAnsi="DengXian" w:cs="DengXian" w:hint="eastAsia"/>
      <w:kern w:val="2"/>
      <w:szCs w:val="24"/>
      <w:lang w:val="en-GB" w:eastAsia="zh-CN"/>
    </w:rPr>
  </w:style>
  <w:style w:type="paragraph" w:customStyle="1" w:styleId="3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paragraph" w:customStyle="1" w:styleId="4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customStyle="1" w:styleId="5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customStyle="1" w:styleId="Acknowledgement">
    <w:name w:val="Acknowledgement"/>
    <w:basedOn w:val="Normal"/>
    <w:qFormat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lang w:val="en-US" w:eastAsia="en-US"/>
    </w:rPr>
  </w:style>
  <w:style w:type="paragraph" w:customStyle="1" w:styleId="Revision1">
    <w:name w:val="Revision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rotein/P36966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eader" Target="header3.xml"/><Relationship Id="rId10" Type="http://schemas.openxmlformats.org/officeDocument/2006/relationships/hyperlink" Target="https://www.medchemexpress.cn/hymeglusin.html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baidu.com/link?url=07uVH3WPmzbPxcP21WKQNsDW-CH-VagV6_aulOdAVUAEayAd0e0t0GsUs_b1hc9x&amp;wd=&amp;eqid=cc713eb60012bf8b00000006664adfbd" TargetMode="External"/><Relationship Id="rId14" Type="http://schemas.openxmlformats.org/officeDocument/2006/relationships/image" Target="media/image4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00D7BF-175B-C24B-A203-F6C459646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1972</Words>
  <Characters>11243</Characters>
  <Application>Microsoft Office Word</Application>
  <DocSecurity>0</DocSecurity>
  <Lines>93</Lines>
  <Paragraphs>26</Paragraphs>
  <ScaleCrop>false</ScaleCrop>
  <Company>SpringerNature</Company>
  <LinksUpToDate>false</LinksUpToDate>
  <CharactersWithSpaces>13189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xiakai</dc:creator>
  <cp:lastModifiedBy>Nilesh Nawale</cp:lastModifiedBy>
  <cp:revision>2</cp:revision>
  <dcterms:created xsi:type="dcterms:W3CDTF">2024-08-09T07:11:00Z</dcterms:created>
  <dcterms:modified xsi:type="dcterms:W3CDTF">2024-08-09T07:11:00Z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AB01D7CCAAAB4ACC8636F1A04487F28E_13</vt:lpwstr>
  </property>
</Properties>
</file>