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 w:eastAsia="宋体"/>
          <w:b/>
          <w:bCs w:val="0"/>
          <w:sz w:val="18"/>
          <w:szCs w:val="18"/>
          <w:lang w:val="en-US" w:eastAsia="zh-CN"/>
        </w:rPr>
      </w:pPr>
      <w:bookmarkStart w:id="0" w:name="_GoBack"/>
      <w:bookmarkEnd w:id="0"/>
      <w:r>
        <w:rPr>
          <w:rFonts w:ascii="Times New Roman" w:hAnsi="Times New Roman"/>
          <w:b/>
          <w:bCs w:val="0"/>
          <w:sz w:val="18"/>
          <w:szCs w:val="18"/>
        </w:rPr>
        <w:t>Table S1</w:t>
      </w:r>
      <w:r>
        <w:rPr>
          <w:rFonts w:hint="eastAsia" w:ascii="Times New Roman" w:hAnsi="Times New Roman"/>
          <w:b/>
          <w:bCs w:val="0"/>
          <w:sz w:val="18"/>
          <w:szCs w:val="18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/>
          <w:bCs w:val="0"/>
          <w:color w:val="000000"/>
          <w:sz w:val="18"/>
          <w:szCs w:val="18"/>
          <w:vertAlign w:val="baseline"/>
          <w:lang w:val="en-US" w:eastAsia="zh-CN"/>
        </w:rPr>
        <w:t>Pairwise comparisons of gray matter volume between GA-1 group and HC group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086"/>
        <w:gridCol w:w="758"/>
        <w:gridCol w:w="652"/>
        <w:gridCol w:w="652"/>
        <w:gridCol w:w="652"/>
        <w:gridCol w:w="15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Anatomical region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Hemisphere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T value</w:t>
            </w:r>
          </w:p>
        </w:tc>
        <w:tc>
          <w:tcPr>
            <w:tcW w:w="0" w:type="auto"/>
            <w:gridSpan w:val="3"/>
            <w:tcBorders>
              <w:top w:val="single" w:color="auto" w:sz="12" w:space="0"/>
              <w:left w:val="nil"/>
              <w:bottom w:val="single" w:color="000000" w:sz="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Peak coordinates (MNI)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Cluster size (mm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0" w:type="auto"/>
            <w:vMerge w:val="continue"/>
            <w:tcBorders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0" w:type="auto"/>
            <w:vMerge w:val="continue"/>
            <w:tcBorders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x</w:t>
            </w:r>
          </w:p>
        </w:tc>
        <w:tc>
          <w:tcPr>
            <w:tcW w:w="0" w:type="auto"/>
            <w:tcBorders>
              <w:top w:val="single" w:color="000000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y</w:t>
            </w:r>
          </w:p>
        </w:tc>
        <w:tc>
          <w:tcPr>
            <w:tcW w:w="0" w:type="auto"/>
            <w:tcBorders>
              <w:top w:val="single" w:color="000000" w:sz="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z</w:t>
            </w:r>
          </w:p>
        </w:tc>
        <w:tc>
          <w:tcPr>
            <w:tcW w:w="0" w:type="auto"/>
            <w:vMerge w:val="continue"/>
            <w:tcBorders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Putamen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L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-17.71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-24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1552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</w:pP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-15.13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1467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Caudate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-10.40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-15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827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-10.07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930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THA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L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-8.65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-12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-15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596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-9.62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-12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ITC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L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-5.97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-51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-36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-6.60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54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-33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HIPP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L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-12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ParaHIPP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PCUN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PCC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-5.60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-39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-6.27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-39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L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-5.65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-27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-18</w:t>
            </w:r>
          </w:p>
        </w:tc>
        <w:tc>
          <w:tcPr>
            <w:tcW w:w="0" w:type="auto"/>
            <w:tcBorders>
              <w:top w:val="nil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Times New Roman" w:hAnsi="Times New Roman" w:eastAsia="等线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-6.44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-18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vertAlign w:val="baseline"/>
                <w:lang w:val="en-US" w:eastAsia="zh-CN"/>
              </w:rPr>
              <w:t>Cerebelum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/>
                <w:kern w:val="0"/>
                <w:sz w:val="18"/>
                <w:szCs w:val="18"/>
                <w:lang w:val="en-US" w:eastAsia="zh-CN"/>
              </w:rPr>
              <w:t>L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-5.22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-24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-66</w:t>
            </w:r>
          </w:p>
        </w:tc>
        <w:tc>
          <w:tcPr>
            <w:tcW w:w="0" w:type="auto"/>
            <w:tcBorders>
              <w:top w:val="dotted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-27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283</w:t>
            </w:r>
          </w:p>
        </w:tc>
      </w:tr>
    </w:tbl>
    <w:p/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That all MNI coordinates of maximum t values are selected in the significant region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18"/>
          <w:szCs w:val="18"/>
          <w:u w:val="none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vertAlign w:val="subscript"/>
          <w:lang w:val="en-US" w:eastAsia="zh-CN"/>
        </w:rPr>
        <w:t>FDR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vertAlign w:val="subscript"/>
          <w:lang w:val="en-US" w:eastAsia="zh-CN"/>
        </w:rPr>
        <w:t>-corr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=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0.05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.</w:t>
      </w:r>
    </w:p>
    <w:p>
      <w:pPr>
        <w:jc w:val="both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Abbreviations: 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L =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Left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R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 =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Right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; GA-1 = </w:t>
      </w:r>
      <w:r>
        <w:rPr>
          <w:rFonts w:hint="default" w:ascii="Times New Roman" w:hAnsi="Times New Roman" w:cs="Times New Roman"/>
          <w:b w:val="0"/>
          <w:bCs w:val="0"/>
          <w:color w:val="000000"/>
          <w:sz w:val="18"/>
          <w:szCs w:val="18"/>
          <w:lang w:val="en-US" w:eastAsia="zh-CN"/>
        </w:rPr>
        <w:t>g</w:t>
      </w:r>
      <w:r>
        <w:rPr>
          <w:rFonts w:hint="default" w:ascii="Times New Roman" w:hAnsi="Times New Roman" w:cs="Times New Roman"/>
          <w:b w:val="0"/>
          <w:bCs w:val="0"/>
          <w:color w:val="000000"/>
          <w:sz w:val="18"/>
          <w:szCs w:val="18"/>
        </w:rPr>
        <w:t xml:space="preserve">lutaric </w:t>
      </w:r>
      <w:r>
        <w:rPr>
          <w:rFonts w:hint="default" w:ascii="Times New Roman" w:hAnsi="Times New Roman" w:cs="Times New Roman"/>
          <w:b w:val="0"/>
          <w:bCs w:val="0"/>
          <w:color w:val="000000"/>
          <w:sz w:val="18"/>
          <w:szCs w:val="18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color w:val="000000"/>
          <w:sz w:val="18"/>
          <w:szCs w:val="18"/>
        </w:rPr>
        <w:t xml:space="preserve">ciduria </w:t>
      </w:r>
      <w:r>
        <w:rPr>
          <w:rFonts w:hint="default" w:ascii="Times New Roman" w:hAnsi="Times New Roman" w:cs="Times New Roman"/>
          <w:b w:val="0"/>
          <w:bCs w:val="0"/>
          <w:color w:val="000000"/>
          <w:sz w:val="18"/>
          <w:szCs w:val="18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color w:val="000000"/>
          <w:sz w:val="18"/>
          <w:szCs w:val="18"/>
        </w:rPr>
        <w:t>ype 1</w:t>
      </w:r>
      <w:r>
        <w:rPr>
          <w:rFonts w:hint="default" w:ascii="Times New Roman" w:hAnsi="Times New Roman" w:cs="Times New Roman"/>
          <w:b w:val="0"/>
          <w:bCs w:val="0"/>
          <w:color w:val="000000"/>
          <w:sz w:val="18"/>
          <w:szCs w:val="18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HC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 =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ealthy control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; THA = t</w:t>
      </w:r>
      <w:r>
        <w:rPr>
          <w:rFonts w:hint="default" w:ascii="Times New Roman" w:hAnsi="Times New Roman" w:cs="Times New Roman"/>
          <w:color w:val="000000"/>
          <w:sz w:val="18"/>
          <w:szCs w:val="18"/>
          <w:vertAlign w:val="baseline"/>
          <w:lang w:val="en-US" w:eastAsia="zh-CN"/>
        </w:rPr>
        <w:t>halamus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ITC = </w:t>
      </w:r>
      <w:r>
        <w:rPr>
          <w:rFonts w:hint="default" w:ascii="Times New Roman" w:hAnsi="Times New Roman" w:cs="Times New Roman"/>
          <w:color w:val="000000"/>
          <w:sz w:val="18"/>
          <w:szCs w:val="18"/>
          <w:vertAlign w:val="baseline"/>
          <w:lang w:val="en-US" w:eastAsia="zh-CN"/>
        </w:rPr>
        <w:t>Inferior temporal cortex; HIPP = hippocampus; ParaHIPP = parahippocampal gyrus;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 xml:space="preserve"> PCUN = </w:t>
      </w:r>
      <w:r>
        <w:rPr>
          <w:rFonts w:hint="default" w:ascii="Times New Roman" w:hAnsi="Times New Roman" w:cs="Times New Roman"/>
          <w:color w:val="000000"/>
          <w:sz w:val="18"/>
          <w:szCs w:val="18"/>
          <w:lang w:val="en-US" w:eastAsia="zh-CN"/>
        </w:rPr>
        <w:t>precuneus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; PCC = p</w:t>
      </w:r>
      <w:r>
        <w:rPr>
          <w:rFonts w:hint="default" w:ascii="Times New Roman" w:hAnsi="Times New Roman" w:cs="Times New Roman"/>
          <w:color w:val="000000"/>
          <w:sz w:val="18"/>
          <w:szCs w:val="18"/>
          <w:vertAlign w:val="baseline"/>
          <w:lang w:val="en-US" w:eastAsia="zh-CN"/>
        </w:rPr>
        <w:t xml:space="preserve">osterior cingulate cortex; IN = insula;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/>
        </w:rPr>
        <w:t>MNI = The Montreal Neurological Institute.</w:t>
      </w:r>
    </w:p>
    <w:p>
      <w:pPr>
        <w:jc w:val="both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</w:pPr>
    </w:p>
    <w:tbl>
      <w:tblPr>
        <w:tblStyle w:val="4"/>
        <w:tblW w:w="8300" w:type="dxa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0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</w:trPr>
        <w:tc>
          <w:tcPr>
            <w:tcW w:w="83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95" w:afterLines="30"/>
              <w:jc w:val="both"/>
              <w:textAlignment w:val="auto"/>
              <w:rPr>
                <w:rFonts w:hint="default" w:ascii="Times New Roman" w:hAnsi="Times New Roman" w:cs="Times New Roman"/>
                <w:b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S2</w:t>
            </w: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. Significant clusters resulting from the vertex wise comparison of cortical morphology</w:t>
            </w:r>
          </w:p>
          <w:tbl>
            <w:tblPr>
              <w:tblStyle w:val="7"/>
              <w:tblW w:w="0" w:type="auto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000000" w:sz="4" w:space="0"/>
                <w:insideV w:val="single" w:color="000000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66"/>
              <w:gridCol w:w="1264"/>
              <w:gridCol w:w="668"/>
              <w:gridCol w:w="1814"/>
              <w:gridCol w:w="763"/>
              <w:gridCol w:w="513"/>
              <w:gridCol w:w="513"/>
              <w:gridCol w:w="513"/>
              <w:gridCol w:w="976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9" w:hRule="atLeast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color="auto" w:sz="12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Measurements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auto" w:sz="12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Group Comparison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color="auto" w:sz="12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Anatomical region (overlap of atlas region)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auto" w:sz="12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Peak T value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color="auto" w:sz="12" w:space="0"/>
                    <w:left w:val="nil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Peak coordinates (MNI)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auto" w:sz="12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Cluster size (mm</w:t>
                  </w: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superscript"/>
                      <w:lang w:val="en-US" w:eastAsia="zh-CN"/>
                    </w:rPr>
                    <w:t>2</w:t>
                  </w: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)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9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2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bottom w:val="single" w:color="auto" w:sz="12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single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x</w:t>
                  </w:r>
                </w:p>
              </w:tc>
              <w:tc>
                <w:tcPr>
                  <w:tcW w:w="0" w:type="auto"/>
                  <w:tcBorders>
                    <w:top w:val="single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y</w:t>
                  </w:r>
                </w:p>
              </w:tc>
              <w:tc>
                <w:tcPr>
                  <w:tcW w:w="0" w:type="auto"/>
                  <w:tcBorders>
                    <w:top w:val="single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z</w:t>
                  </w: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8" w:hRule="atLeast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color="auto" w:sz="12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Cortical</w:t>
                  </w:r>
                </w:p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thickness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auto" w:sz="12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GA-1 &lt; HCs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color="auto" w:sz="12" w:space="0"/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Left</w:t>
                  </w:r>
                </w:p>
              </w:tc>
              <w:tc>
                <w:tcPr>
                  <w:tcW w:w="0" w:type="auto"/>
                  <w:tcBorders>
                    <w:top w:val="single" w:color="auto" w:sz="12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93% insula</w:t>
                  </w:r>
                </w:p>
              </w:tc>
              <w:tc>
                <w:tcPr>
                  <w:tcW w:w="0" w:type="auto"/>
                  <w:tcBorders>
                    <w:top w:val="single" w:color="auto" w:sz="12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-9.4</w:t>
                  </w:r>
                </w:p>
              </w:tc>
              <w:tc>
                <w:tcPr>
                  <w:tcW w:w="0" w:type="auto"/>
                  <w:tcBorders>
                    <w:top w:val="single" w:color="auto" w:sz="12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-20</w:t>
                  </w:r>
                </w:p>
              </w:tc>
              <w:tc>
                <w:tcPr>
                  <w:tcW w:w="0" w:type="auto"/>
                  <w:tcBorders>
                    <w:top w:val="single" w:color="auto" w:sz="12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-4</w:t>
                  </w:r>
                </w:p>
              </w:tc>
              <w:tc>
                <w:tcPr>
                  <w:tcW w:w="0" w:type="auto"/>
                  <w:tcBorders>
                    <w:top w:val="single" w:color="auto" w:sz="12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22</w:t>
                  </w:r>
                </w:p>
              </w:tc>
              <w:tc>
                <w:tcPr>
                  <w:tcW w:w="0" w:type="auto"/>
                  <w:tcBorders>
                    <w:top w:val="single" w:color="auto" w:sz="12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2009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8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5% parsopercularis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8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2% parstriangularis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8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95% lateraloccipital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-6.1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-31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-88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-5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1530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8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5% superiorparietal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Right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93% insula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-6.2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39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-14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1467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1% parsopercularis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100% lateraloccipital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-4.8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  <w:t>-96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  <w:t>-4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1251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100% inferiorparietal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-3.3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-84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201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100% inferiortemporal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-3.2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45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-37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-28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141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100% posteriorcingulate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-3.2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-13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39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136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GA-1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﹥</w:t>
                  </w: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HCs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i w:val="0"/>
                      <w:iCs w:val="0"/>
                      <w:color w:val="000000"/>
                      <w:kern w:val="2"/>
                      <w:sz w:val="18"/>
                      <w:szCs w:val="18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Left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59% lingual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6.2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-20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-58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lang w:val="en-US" w:eastAsia="zh-CN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1358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41% fusiform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54% parahippocampal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4.1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-17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-42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1028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24% isthmuscingulate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21% lingual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62% superiorfrontal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3.7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-8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74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523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38% precentral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65% postcentral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3.9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-13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-32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59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271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35% superiorparietal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eastAsia="等线" w:cs="Times New Roman"/>
                      <w:b w:val="0"/>
                      <w:color w:val="000000"/>
                      <w:kern w:val="0"/>
                      <w:sz w:val="18"/>
                      <w:szCs w:val="18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Right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100% precuneus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3.9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22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-49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49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1414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56% parahippocampal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5.1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-45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1211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34% isthmuscingulate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10% lingual</w:t>
                  </w: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60% precentral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4.6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34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-17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64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553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40% superiorfrontal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18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100% lingual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5.0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-70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-1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471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67% middletemporal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4.1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41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-76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456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33% inferiortemporal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dotted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6" w:hRule="atLeast"/>
                <w:jc w:val="center"/>
              </w:trPr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continue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widowControl/>
                    <w:spacing w:line="480" w:lineRule="auto"/>
                    <w:jc w:val="center"/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100% superiorfrontal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single" w:color="auto" w:sz="12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single" w:color="auto" w:sz="12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33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single" w:color="auto" w:sz="12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single" w:color="auto" w:sz="12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46</w:t>
                  </w:r>
                </w:p>
              </w:tc>
              <w:tc>
                <w:tcPr>
                  <w:tcW w:w="0" w:type="auto"/>
                  <w:tcBorders>
                    <w:top w:val="dotted" w:color="auto" w:sz="4" w:space="0"/>
                    <w:left w:val="nil"/>
                    <w:bottom w:val="single" w:color="auto" w:sz="12" w:space="0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kern w:val="2"/>
                      <w:sz w:val="18"/>
                      <w:szCs w:val="18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b w:val="0"/>
                      <w:color w:val="000000"/>
                      <w:sz w:val="18"/>
                      <w:szCs w:val="18"/>
                      <w:vertAlign w:val="baseline"/>
                      <w:lang w:val="en-US" w:eastAsia="zh-CN"/>
                    </w:rPr>
                    <w:t>237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95" w:afterLines="30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mMGY5YzY0OTEzNjY4NGQ2MTIyM2ExNjYwM2JkMjQifQ=="/>
  </w:docVars>
  <w:rsids>
    <w:rsidRoot w:val="00947998"/>
    <w:rsid w:val="00947998"/>
    <w:rsid w:val="00B23C35"/>
    <w:rsid w:val="00CF6D38"/>
    <w:rsid w:val="00E74D73"/>
    <w:rsid w:val="04E66BCB"/>
    <w:rsid w:val="12B47630"/>
    <w:rsid w:val="13651647"/>
    <w:rsid w:val="15C1434C"/>
    <w:rsid w:val="1C2465A3"/>
    <w:rsid w:val="273D0B66"/>
    <w:rsid w:val="2E0028ED"/>
    <w:rsid w:val="3D0752FB"/>
    <w:rsid w:val="4BBA2895"/>
    <w:rsid w:val="59B47F65"/>
    <w:rsid w:val="6DD95E87"/>
    <w:rsid w:val="6F105C31"/>
    <w:rsid w:val="722D13D1"/>
    <w:rsid w:val="7BAE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link w:val="6"/>
    <w:unhideWhenUsed/>
    <w:qFormat/>
    <w:uiPriority w:val="99"/>
    <w:pPr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HTML 预设格式 字符"/>
    <w:basedOn w:val="5"/>
    <w:link w:val="2"/>
    <w:uiPriority w:val="99"/>
    <w:rPr>
      <w:rFonts w:ascii="宋体" w:hAnsi="宋体" w:eastAsia="宋体" w:cs="宋体"/>
      <w:kern w:val="0"/>
      <w:sz w:val="24"/>
      <w:szCs w:val="24"/>
    </w:rPr>
  </w:style>
  <w:style w:type="table" w:customStyle="1" w:styleId="7">
    <w:name w:val="网格型1"/>
    <w:basedOn w:val="3"/>
    <w:autoRedefine/>
    <w:unhideWhenUsed/>
    <w:qFormat/>
    <w:uiPriority w:val="99"/>
    <w:rPr>
      <w:rFonts w:ascii="Times New Roman" w:hAnsi="宋体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</Words>
  <Characters>409</Characters>
  <Lines>3</Lines>
  <Paragraphs>1</Paragraphs>
  <TotalTime>8</TotalTime>
  <ScaleCrop>false</ScaleCrop>
  <LinksUpToDate>false</LinksUpToDate>
  <CharactersWithSpaces>479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2023-08-09T13:23:00Z</dcterms:created>
  <dc:creator>Chengxiang Liu</dc:creator>
  <cp:lastModifiedBy>卞冰阳</cp:lastModifiedBy>
  <dcterms:modified xsi:type="dcterms:W3CDTF">2024-04-24T13:22:01Z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D40F195DD2164F6A9A14BEBC321994DB_13</vt:lpwstr>
  </property>
</Properties>
</file>