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66A16" w14:textId="77777777" w:rsidR="00565038" w:rsidRPr="00B07833" w:rsidRDefault="00565038" w:rsidP="00565038">
      <w:pPr>
        <w:pStyle w:val="Caption"/>
        <w:jc w:val="both"/>
        <w:rPr>
          <w:rFonts w:ascii="Times New Roman" w:hAnsi="Times New Roman" w:cs="Times New Roman"/>
          <w:color w:val="000000" w:themeColor="text1"/>
        </w:rPr>
      </w:pPr>
      <w:r w:rsidRPr="00B07833">
        <w:rPr>
          <w:rFonts w:ascii="Times New Roman" w:hAnsi="Times New Roman" w:cs="Times New Roman"/>
          <w:i w:val="0"/>
          <w:iCs w:val="0"/>
          <w:color w:val="000000" w:themeColor="text1"/>
        </w:rPr>
        <w:t xml:space="preserve">Supplemental Digital Appendix </w:t>
      </w:r>
      <w:r w:rsidRPr="00B07833">
        <w:rPr>
          <w:rFonts w:ascii="Times New Roman" w:hAnsi="Times New Roman" w:cs="Times New Roman"/>
          <w:i w:val="0"/>
          <w:iCs w:val="0"/>
          <w:color w:val="000000" w:themeColor="text1"/>
        </w:rPr>
        <w:fldChar w:fldCharType="begin"/>
      </w:r>
      <w:r w:rsidRPr="00B07833">
        <w:rPr>
          <w:rFonts w:ascii="Times New Roman" w:hAnsi="Times New Roman" w:cs="Times New Roman"/>
          <w:i w:val="0"/>
          <w:iCs w:val="0"/>
          <w:color w:val="000000" w:themeColor="text1"/>
        </w:rPr>
        <w:instrText xml:space="preserve"> SEQ Supplemental_Digital_Appendix \* ARABIC </w:instrText>
      </w:r>
      <w:r w:rsidRPr="00B07833">
        <w:rPr>
          <w:rFonts w:ascii="Times New Roman" w:hAnsi="Times New Roman" w:cs="Times New Roman"/>
          <w:i w:val="0"/>
          <w:iCs w:val="0"/>
          <w:color w:val="000000" w:themeColor="text1"/>
        </w:rPr>
        <w:fldChar w:fldCharType="separate"/>
      </w:r>
      <w:r>
        <w:rPr>
          <w:rFonts w:ascii="Times New Roman" w:hAnsi="Times New Roman" w:cs="Times New Roman"/>
          <w:i w:val="0"/>
          <w:iCs w:val="0"/>
          <w:noProof/>
          <w:color w:val="000000" w:themeColor="text1"/>
        </w:rPr>
        <w:t>1</w:t>
      </w:r>
      <w:r w:rsidRPr="00B07833">
        <w:rPr>
          <w:rFonts w:ascii="Times New Roman" w:hAnsi="Times New Roman" w:cs="Times New Roman"/>
          <w:i w:val="0"/>
          <w:iCs w:val="0"/>
          <w:color w:val="000000" w:themeColor="text1"/>
        </w:rPr>
        <w:fldChar w:fldCharType="end"/>
      </w:r>
      <w:r w:rsidRPr="00B07833">
        <w:rPr>
          <w:rFonts w:ascii="Times New Roman" w:hAnsi="Times New Roman" w:cs="Times New Roman"/>
          <w:i w:val="0"/>
          <w:iCs w:val="0"/>
          <w:color w:val="000000" w:themeColor="text1"/>
        </w:rPr>
        <w:t>: Figure of Participants and Actors in Different Scenarios of the RER</w:t>
      </w:r>
    </w:p>
    <w:p w14:paraId="3F70BC23" w14:textId="77777777" w:rsidR="00565038" w:rsidRDefault="00565038" w:rsidP="00565038">
      <w:pPr>
        <w:keepNext/>
        <w:spacing w:line="480" w:lineRule="auto"/>
        <w:jc w:val="both"/>
      </w:pPr>
      <w:r w:rsidRPr="007C3811">
        <w:rPr>
          <w:rFonts w:ascii="Times New Roman" w:hAnsi="Times New Roman" w:cs="Times New Roman"/>
          <w:noProof/>
          <w:color w:val="000000" w:themeColor="text1"/>
          <w:sz w:val="18"/>
          <w:szCs w:val="18"/>
          <w:lang w:val="ca-ES" w:eastAsia="ca-ES"/>
        </w:rPr>
        <w:drawing>
          <wp:inline distT="0" distB="0" distL="0" distR="0" wp14:anchorId="16E277C4" wp14:editId="36250528">
            <wp:extent cx="5731510" cy="1445260"/>
            <wp:effectExtent l="0" t="0" r="0" b="2540"/>
            <wp:docPr id="1806230404" name="Picture 1" descr="A collage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30404" name="Picture 1" descr="A collage of people in a room&#10;&#10;Description automatically generated"/>
                    <pic:cNvPicPr/>
                  </pic:nvPicPr>
                  <pic:blipFill>
                    <a:blip r:embed="rId4"/>
                    <a:stretch>
                      <a:fillRect/>
                    </a:stretch>
                  </pic:blipFill>
                  <pic:spPr>
                    <a:xfrm>
                      <a:off x="0" y="0"/>
                      <a:ext cx="5731510" cy="1445260"/>
                    </a:xfrm>
                    <a:prstGeom prst="rect">
                      <a:avLst/>
                    </a:prstGeom>
                  </pic:spPr>
                </pic:pic>
              </a:graphicData>
            </a:graphic>
          </wp:inline>
        </w:drawing>
      </w:r>
    </w:p>
    <w:p w14:paraId="62EE6500" w14:textId="77777777" w:rsidR="00565038" w:rsidRDefault="00565038" w:rsidP="00565038">
      <w:pPr>
        <w:jc w:val="both"/>
        <w:rPr>
          <w:rFonts w:ascii="Times New Roman" w:hAnsi="Times New Roman" w:cs="Times New Roman"/>
          <w:color w:val="000000" w:themeColor="text1"/>
          <w:sz w:val="18"/>
          <w:szCs w:val="18"/>
        </w:rPr>
      </w:pPr>
      <w:r w:rsidRPr="00BD31A6">
        <w:rPr>
          <w:rFonts w:ascii="Times New Roman" w:hAnsi="Times New Roman" w:cs="Times New Roman"/>
          <w:color w:val="000000" w:themeColor="text1"/>
          <w:sz w:val="18"/>
          <w:szCs w:val="18"/>
        </w:rPr>
        <w:t xml:space="preserve">Note: </w:t>
      </w:r>
      <w:r w:rsidRPr="00006F69">
        <w:rPr>
          <w:rFonts w:ascii="Times New Roman" w:hAnsi="Times New Roman" w:cs="Times New Roman"/>
          <w:color w:val="000000" w:themeColor="text1"/>
          <w:sz w:val="18"/>
          <w:szCs w:val="18"/>
        </w:rPr>
        <w:t xml:space="preserve">The images below capture distinct moments from two sessions of the RER experience. The first image showcases one of the intricate puzzle boxes, essential for acquiring one of the necessary codes for progression. The second image depicts the </w:t>
      </w:r>
      <w:r>
        <w:rPr>
          <w:rFonts w:ascii="Times New Roman" w:hAnsi="Times New Roman" w:cs="Times New Roman"/>
          <w:color w:val="000000" w:themeColor="text1"/>
          <w:sz w:val="18"/>
          <w:szCs w:val="18"/>
        </w:rPr>
        <w:t>Passport</w:t>
      </w:r>
      <w:r w:rsidRPr="00006F69">
        <w:rPr>
          <w:rFonts w:ascii="Times New Roman" w:hAnsi="Times New Roman" w:cs="Times New Roman"/>
          <w:color w:val="000000" w:themeColor="text1"/>
          <w:sz w:val="18"/>
          <w:szCs w:val="18"/>
        </w:rPr>
        <w:t xml:space="preserve"> Office', where participants must solve a language-based puzzle by decoding codes to advance further. The third and fourth images provide a glimpse into the varied interactive encounters within the RER, featuring a scenario with a corrupt official demanding a bribe and a quarantine zone setup, respectively. These images illustrate the diversity and complexity of the challenges that participants face in the RER.</w:t>
      </w:r>
      <w:r>
        <w:rPr>
          <w:rFonts w:ascii="Times New Roman" w:hAnsi="Times New Roman" w:cs="Times New Roman"/>
          <w:color w:val="000000" w:themeColor="text1"/>
          <w:sz w:val="18"/>
          <w:szCs w:val="18"/>
        </w:rPr>
        <w:t xml:space="preserve"> </w:t>
      </w:r>
      <w:r w:rsidRPr="00424696">
        <w:rPr>
          <w:rFonts w:ascii="Times New Roman" w:hAnsi="Times New Roman" w:cs="Times New Roman"/>
          <w:color w:val="000000" w:themeColor="text1"/>
          <w:sz w:val="18"/>
          <w:szCs w:val="18"/>
        </w:rPr>
        <w:t>All participants featured in these images have given their consent for the photographs to be taken and used for this purpose.</w:t>
      </w:r>
      <w:r>
        <w:rPr>
          <w:rFonts w:ascii="Times New Roman" w:hAnsi="Times New Roman" w:cs="Times New Roman"/>
          <w:color w:val="000000" w:themeColor="text1"/>
          <w:sz w:val="18"/>
          <w:szCs w:val="18"/>
        </w:rPr>
        <w:t xml:space="preserve"> Additionally, faces were blurred for privacy.</w:t>
      </w:r>
    </w:p>
    <w:p w14:paraId="6EA5AC7B" w14:textId="77777777" w:rsidR="00565038" w:rsidRDefault="00565038" w:rsidP="00565038">
      <w:pPr>
        <w:pStyle w:val="Caption"/>
        <w:keepNext/>
        <w:jc w:val="both"/>
        <w:rPr>
          <w:rFonts w:ascii="Times New Roman" w:hAnsi="Times New Roman" w:cs="Times New Roman"/>
          <w:i w:val="0"/>
          <w:iCs w:val="0"/>
          <w:color w:val="000000" w:themeColor="text1"/>
          <w:sz w:val="24"/>
          <w:szCs w:val="24"/>
        </w:rPr>
      </w:pPr>
    </w:p>
    <w:p w14:paraId="64D6D1B5" w14:textId="77777777" w:rsidR="00565038" w:rsidRPr="00B07833" w:rsidRDefault="00565038" w:rsidP="00565038">
      <w:pPr>
        <w:pStyle w:val="Caption"/>
        <w:rPr>
          <w:rFonts w:ascii="Times New Roman" w:hAnsi="Times New Roman" w:cs="Times New Roman"/>
          <w:i w:val="0"/>
          <w:color w:val="000000" w:themeColor="text1"/>
        </w:rPr>
      </w:pPr>
      <w:bookmarkStart w:id="0" w:name="_Ref152790750"/>
      <w:r w:rsidRPr="00B07833">
        <w:rPr>
          <w:i w:val="0"/>
          <w:color w:val="000000" w:themeColor="text1"/>
        </w:rPr>
        <w:t xml:space="preserve">Supplemental Digital Appendix </w:t>
      </w:r>
      <w:r w:rsidRPr="00B07833">
        <w:rPr>
          <w:i w:val="0"/>
          <w:iCs w:val="0"/>
          <w:color w:val="000000" w:themeColor="text1"/>
        </w:rPr>
        <w:fldChar w:fldCharType="begin"/>
      </w:r>
      <w:r w:rsidRPr="00B07833">
        <w:rPr>
          <w:i w:val="0"/>
          <w:iCs w:val="0"/>
          <w:color w:val="000000" w:themeColor="text1"/>
        </w:rPr>
        <w:instrText xml:space="preserve"> SEQ Supplemental_Digital_Appendix \* ARABIC </w:instrText>
      </w:r>
      <w:r w:rsidRPr="00B07833">
        <w:rPr>
          <w:i w:val="0"/>
          <w:iCs w:val="0"/>
          <w:color w:val="000000" w:themeColor="text1"/>
        </w:rPr>
        <w:fldChar w:fldCharType="separate"/>
      </w:r>
      <w:r>
        <w:rPr>
          <w:i w:val="0"/>
          <w:iCs w:val="0"/>
          <w:noProof/>
          <w:color w:val="000000" w:themeColor="text1"/>
        </w:rPr>
        <w:t>2</w:t>
      </w:r>
      <w:r w:rsidRPr="00B07833">
        <w:rPr>
          <w:i w:val="0"/>
          <w:iCs w:val="0"/>
          <w:color w:val="000000" w:themeColor="text1"/>
        </w:rPr>
        <w:fldChar w:fldCharType="end"/>
      </w:r>
      <w:r w:rsidRPr="00B07833">
        <w:rPr>
          <w:i w:val="0"/>
          <w:iCs w:val="0"/>
          <w:color w:val="000000" w:themeColor="text1"/>
        </w:rPr>
        <w:t>:</w:t>
      </w:r>
      <w:r w:rsidRPr="00B07833">
        <w:rPr>
          <w:i w:val="0"/>
          <w:color w:val="000000" w:themeColor="text1"/>
        </w:rPr>
        <w:t xml:space="preserve"> Exploratory Factor Analysis Results</w:t>
      </w:r>
      <w:r w:rsidRPr="00B07833">
        <w:rPr>
          <w:i w:val="0"/>
          <w:iCs w:val="0"/>
          <w:color w:val="000000" w:themeColor="text1"/>
        </w:rPr>
        <w:t xml:space="preserve"> with</w:t>
      </w:r>
      <w:r w:rsidRPr="00B07833">
        <w:rPr>
          <w:i w:val="0"/>
          <w:color w:val="000000" w:themeColor="text1"/>
        </w:rPr>
        <w:t xml:space="preserve"> Eigenvalues and Explained Variance</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3"/>
        <w:gridCol w:w="617"/>
        <w:gridCol w:w="918"/>
        <w:gridCol w:w="1104"/>
        <w:gridCol w:w="643"/>
        <w:gridCol w:w="918"/>
        <w:gridCol w:w="1104"/>
        <w:gridCol w:w="660"/>
        <w:gridCol w:w="459"/>
        <w:gridCol w:w="437"/>
        <w:gridCol w:w="1073"/>
      </w:tblGrid>
      <w:tr w:rsidR="00565038" w:rsidRPr="000E5E00" w14:paraId="4CC1776C" w14:textId="77777777" w:rsidTr="002D640D">
        <w:tc>
          <w:tcPr>
            <w:tcW w:w="0" w:type="auto"/>
            <w:hideMark/>
          </w:tcPr>
          <w:p w14:paraId="203803AB" w14:textId="77777777" w:rsidR="00565038" w:rsidRPr="00221190" w:rsidRDefault="00565038" w:rsidP="002D640D">
            <w:pPr>
              <w:rPr>
                <w:rFonts w:ascii="Times New Roman" w:hAnsi="Times New Roman" w:cs="Times New Roman"/>
                <w:i/>
                <w:sz w:val="18"/>
                <w:szCs w:val="18"/>
              </w:rPr>
            </w:pPr>
          </w:p>
        </w:tc>
        <w:tc>
          <w:tcPr>
            <w:tcW w:w="0" w:type="auto"/>
            <w:hideMark/>
          </w:tcPr>
          <w:p w14:paraId="1FF174B7" w14:textId="77777777" w:rsidR="00565038" w:rsidRPr="00221190" w:rsidRDefault="00565038" w:rsidP="002D640D">
            <w:pPr>
              <w:rPr>
                <w:rFonts w:ascii="Times New Roman" w:hAnsi="Times New Roman" w:cs="Times New Roman"/>
                <w:i/>
                <w:sz w:val="18"/>
                <w:szCs w:val="18"/>
              </w:rPr>
            </w:pPr>
          </w:p>
        </w:tc>
        <w:tc>
          <w:tcPr>
            <w:tcW w:w="0" w:type="auto"/>
            <w:gridSpan w:val="2"/>
            <w:hideMark/>
          </w:tcPr>
          <w:p w14:paraId="0D174FCC"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Initial Eigenvalues</w:t>
            </w:r>
          </w:p>
        </w:tc>
        <w:tc>
          <w:tcPr>
            <w:tcW w:w="0" w:type="auto"/>
            <w:gridSpan w:val="3"/>
            <w:hideMark/>
          </w:tcPr>
          <w:p w14:paraId="525D0B3E"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Extraction Sums of Squared Loadings</w:t>
            </w:r>
          </w:p>
        </w:tc>
        <w:tc>
          <w:tcPr>
            <w:tcW w:w="0" w:type="auto"/>
            <w:gridSpan w:val="4"/>
            <w:hideMark/>
          </w:tcPr>
          <w:p w14:paraId="568523F6"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Rotation Sums of Squared Loadings</w:t>
            </w:r>
          </w:p>
        </w:tc>
      </w:tr>
      <w:tr w:rsidR="00565038" w:rsidRPr="000E5E00" w14:paraId="2A9BEC48" w14:textId="77777777" w:rsidTr="002D640D">
        <w:tc>
          <w:tcPr>
            <w:tcW w:w="0" w:type="auto"/>
            <w:tcBorders>
              <w:bottom w:val="single" w:sz="4" w:space="0" w:color="auto"/>
            </w:tcBorders>
            <w:hideMark/>
          </w:tcPr>
          <w:p w14:paraId="350F4905"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Component</w:t>
            </w:r>
          </w:p>
        </w:tc>
        <w:tc>
          <w:tcPr>
            <w:tcW w:w="0" w:type="auto"/>
            <w:tcBorders>
              <w:bottom w:val="single" w:sz="4" w:space="0" w:color="auto"/>
            </w:tcBorders>
            <w:hideMark/>
          </w:tcPr>
          <w:p w14:paraId="2671160A"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Total</w:t>
            </w:r>
          </w:p>
        </w:tc>
        <w:tc>
          <w:tcPr>
            <w:tcW w:w="0" w:type="auto"/>
            <w:tcBorders>
              <w:bottom w:val="single" w:sz="4" w:space="0" w:color="auto"/>
            </w:tcBorders>
            <w:hideMark/>
          </w:tcPr>
          <w:p w14:paraId="5B675393"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 of Variance</w:t>
            </w:r>
          </w:p>
        </w:tc>
        <w:tc>
          <w:tcPr>
            <w:tcW w:w="0" w:type="auto"/>
            <w:tcBorders>
              <w:bottom w:val="single" w:sz="4" w:space="0" w:color="auto"/>
            </w:tcBorders>
            <w:hideMark/>
          </w:tcPr>
          <w:p w14:paraId="25FE155B"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Cumulative %</w:t>
            </w:r>
          </w:p>
        </w:tc>
        <w:tc>
          <w:tcPr>
            <w:tcW w:w="0" w:type="auto"/>
            <w:tcBorders>
              <w:bottom w:val="single" w:sz="4" w:space="0" w:color="auto"/>
            </w:tcBorders>
            <w:hideMark/>
          </w:tcPr>
          <w:p w14:paraId="1F860D91"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Total</w:t>
            </w:r>
          </w:p>
        </w:tc>
        <w:tc>
          <w:tcPr>
            <w:tcW w:w="0" w:type="auto"/>
            <w:tcBorders>
              <w:bottom w:val="single" w:sz="4" w:space="0" w:color="auto"/>
            </w:tcBorders>
            <w:hideMark/>
          </w:tcPr>
          <w:p w14:paraId="74C32E6B"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 of Variance</w:t>
            </w:r>
          </w:p>
        </w:tc>
        <w:tc>
          <w:tcPr>
            <w:tcW w:w="0" w:type="auto"/>
            <w:tcBorders>
              <w:bottom w:val="single" w:sz="4" w:space="0" w:color="auto"/>
            </w:tcBorders>
            <w:hideMark/>
          </w:tcPr>
          <w:p w14:paraId="7ED8A84B"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Cumulative %</w:t>
            </w:r>
          </w:p>
        </w:tc>
        <w:tc>
          <w:tcPr>
            <w:tcW w:w="0" w:type="auto"/>
            <w:tcBorders>
              <w:bottom w:val="single" w:sz="4" w:space="0" w:color="auto"/>
            </w:tcBorders>
            <w:hideMark/>
          </w:tcPr>
          <w:p w14:paraId="58BD34F7"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Total</w:t>
            </w:r>
          </w:p>
        </w:tc>
        <w:tc>
          <w:tcPr>
            <w:tcW w:w="0" w:type="auto"/>
            <w:gridSpan w:val="2"/>
            <w:tcBorders>
              <w:bottom w:val="single" w:sz="4" w:space="0" w:color="auto"/>
            </w:tcBorders>
            <w:hideMark/>
          </w:tcPr>
          <w:p w14:paraId="6DA5BAF9"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 of Variance</w:t>
            </w:r>
          </w:p>
        </w:tc>
        <w:tc>
          <w:tcPr>
            <w:tcW w:w="0" w:type="auto"/>
            <w:tcBorders>
              <w:bottom w:val="single" w:sz="4" w:space="0" w:color="auto"/>
            </w:tcBorders>
            <w:hideMark/>
          </w:tcPr>
          <w:p w14:paraId="0A02DB18"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Cumulative %</w:t>
            </w:r>
          </w:p>
        </w:tc>
      </w:tr>
      <w:tr w:rsidR="00565038" w:rsidRPr="000E5E00" w14:paraId="0C4D5B49" w14:textId="77777777" w:rsidTr="002D640D">
        <w:tc>
          <w:tcPr>
            <w:tcW w:w="0" w:type="auto"/>
            <w:tcBorders>
              <w:top w:val="single" w:sz="4" w:space="0" w:color="auto"/>
            </w:tcBorders>
            <w:hideMark/>
          </w:tcPr>
          <w:p w14:paraId="3AC4415A"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1</w:t>
            </w:r>
          </w:p>
        </w:tc>
        <w:tc>
          <w:tcPr>
            <w:tcW w:w="0" w:type="auto"/>
            <w:tcBorders>
              <w:top w:val="single" w:sz="4" w:space="0" w:color="auto"/>
            </w:tcBorders>
            <w:hideMark/>
          </w:tcPr>
          <w:p w14:paraId="160BE035"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4.12</w:t>
            </w:r>
          </w:p>
        </w:tc>
        <w:tc>
          <w:tcPr>
            <w:tcW w:w="0" w:type="auto"/>
            <w:tcBorders>
              <w:top w:val="single" w:sz="4" w:space="0" w:color="auto"/>
            </w:tcBorders>
            <w:hideMark/>
          </w:tcPr>
          <w:p w14:paraId="60A501CE"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27.514</w:t>
            </w:r>
          </w:p>
        </w:tc>
        <w:tc>
          <w:tcPr>
            <w:tcW w:w="0" w:type="auto"/>
            <w:tcBorders>
              <w:top w:val="single" w:sz="4" w:space="0" w:color="auto"/>
            </w:tcBorders>
            <w:hideMark/>
          </w:tcPr>
          <w:p w14:paraId="354330A6"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27.514</w:t>
            </w:r>
          </w:p>
        </w:tc>
        <w:tc>
          <w:tcPr>
            <w:tcW w:w="0" w:type="auto"/>
            <w:tcBorders>
              <w:top w:val="single" w:sz="4" w:space="0" w:color="auto"/>
            </w:tcBorders>
            <w:hideMark/>
          </w:tcPr>
          <w:p w14:paraId="6DAE30F6"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4.127</w:t>
            </w:r>
          </w:p>
        </w:tc>
        <w:tc>
          <w:tcPr>
            <w:tcW w:w="0" w:type="auto"/>
            <w:tcBorders>
              <w:top w:val="single" w:sz="4" w:space="0" w:color="auto"/>
            </w:tcBorders>
            <w:hideMark/>
          </w:tcPr>
          <w:p w14:paraId="4E993358"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27.514</w:t>
            </w:r>
          </w:p>
        </w:tc>
        <w:tc>
          <w:tcPr>
            <w:tcW w:w="0" w:type="auto"/>
            <w:tcBorders>
              <w:top w:val="single" w:sz="4" w:space="0" w:color="auto"/>
            </w:tcBorders>
            <w:hideMark/>
          </w:tcPr>
          <w:p w14:paraId="6653990C"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27.514</w:t>
            </w:r>
          </w:p>
        </w:tc>
        <w:tc>
          <w:tcPr>
            <w:tcW w:w="0" w:type="auto"/>
            <w:tcBorders>
              <w:top w:val="single" w:sz="4" w:space="0" w:color="auto"/>
            </w:tcBorders>
            <w:hideMark/>
          </w:tcPr>
          <w:p w14:paraId="302358A6"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3.248</w:t>
            </w:r>
          </w:p>
        </w:tc>
        <w:tc>
          <w:tcPr>
            <w:tcW w:w="0" w:type="auto"/>
            <w:gridSpan w:val="2"/>
            <w:tcBorders>
              <w:top w:val="single" w:sz="4" w:space="0" w:color="auto"/>
            </w:tcBorders>
            <w:hideMark/>
          </w:tcPr>
          <w:p w14:paraId="570C925F"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21</w:t>
            </w:r>
          </w:p>
        </w:tc>
        <w:tc>
          <w:tcPr>
            <w:tcW w:w="0" w:type="auto"/>
            <w:tcBorders>
              <w:top w:val="single" w:sz="4" w:space="0" w:color="auto"/>
            </w:tcBorders>
            <w:hideMark/>
          </w:tcPr>
          <w:p w14:paraId="18583DF3"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21</w:t>
            </w:r>
          </w:p>
        </w:tc>
      </w:tr>
      <w:tr w:rsidR="00565038" w:rsidRPr="000E5E00" w14:paraId="326A7995" w14:textId="77777777" w:rsidTr="002D640D">
        <w:tc>
          <w:tcPr>
            <w:tcW w:w="0" w:type="auto"/>
            <w:hideMark/>
          </w:tcPr>
          <w:p w14:paraId="0EB3C85A"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2</w:t>
            </w:r>
          </w:p>
        </w:tc>
        <w:tc>
          <w:tcPr>
            <w:tcW w:w="0" w:type="auto"/>
            <w:hideMark/>
          </w:tcPr>
          <w:p w14:paraId="2219ED74"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3.05</w:t>
            </w:r>
          </w:p>
        </w:tc>
        <w:tc>
          <w:tcPr>
            <w:tcW w:w="0" w:type="auto"/>
            <w:hideMark/>
          </w:tcPr>
          <w:p w14:paraId="57B73CED"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20.354</w:t>
            </w:r>
          </w:p>
        </w:tc>
        <w:tc>
          <w:tcPr>
            <w:tcW w:w="0" w:type="auto"/>
            <w:hideMark/>
          </w:tcPr>
          <w:p w14:paraId="2BA93C5F"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47.868</w:t>
            </w:r>
          </w:p>
        </w:tc>
        <w:tc>
          <w:tcPr>
            <w:tcW w:w="0" w:type="auto"/>
            <w:hideMark/>
          </w:tcPr>
          <w:p w14:paraId="167DCE0C"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3.053</w:t>
            </w:r>
          </w:p>
        </w:tc>
        <w:tc>
          <w:tcPr>
            <w:tcW w:w="0" w:type="auto"/>
            <w:hideMark/>
          </w:tcPr>
          <w:p w14:paraId="73566B69"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20.354</w:t>
            </w:r>
          </w:p>
        </w:tc>
        <w:tc>
          <w:tcPr>
            <w:tcW w:w="0" w:type="auto"/>
            <w:hideMark/>
          </w:tcPr>
          <w:p w14:paraId="55639F2B"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47.868</w:t>
            </w:r>
          </w:p>
        </w:tc>
        <w:tc>
          <w:tcPr>
            <w:tcW w:w="0" w:type="auto"/>
            <w:hideMark/>
          </w:tcPr>
          <w:p w14:paraId="69DE108E"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3.167</w:t>
            </w:r>
          </w:p>
        </w:tc>
        <w:tc>
          <w:tcPr>
            <w:tcW w:w="0" w:type="auto"/>
            <w:gridSpan w:val="2"/>
            <w:hideMark/>
          </w:tcPr>
          <w:p w14:paraId="072E12EC"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21</w:t>
            </w:r>
          </w:p>
        </w:tc>
        <w:tc>
          <w:tcPr>
            <w:tcW w:w="0" w:type="auto"/>
            <w:hideMark/>
          </w:tcPr>
          <w:p w14:paraId="0D989A77"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42</w:t>
            </w:r>
          </w:p>
        </w:tc>
      </w:tr>
      <w:tr w:rsidR="00565038" w:rsidRPr="000E5E00" w14:paraId="072D2AC1" w14:textId="77777777" w:rsidTr="002D640D">
        <w:tc>
          <w:tcPr>
            <w:tcW w:w="0" w:type="auto"/>
            <w:hideMark/>
          </w:tcPr>
          <w:p w14:paraId="39C7255E"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3</w:t>
            </w:r>
          </w:p>
        </w:tc>
        <w:tc>
          <w:tcPr>
            <w:tcW w:w="0" w:type="auto"/>
            <w:hideMark/>
          </w:tcPr>
          <w:p w14:paraId="27F151A1"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1.55</w:t>
            </w:r>
          </w:p>
        </w:tc>
        <w:tc>
          <w:tcPr>
            <w:tcW w:w="0" w:type="auto"/>
            <w:hideMark/>
          </w:tcPr>
          <w:p w14:paraId="6FD55617"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10.332</w:t>
            </w:r>
          </w:p>
        </w:tc>
        <w:tc>
          <w:tcPr>
            <w:tcW w:w="0" w:type="auto"/>
            <w:hideMark/>
          </w:tcPr>
          <w:p w14:paraId="6654B0EE"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58.200</w:t>
            </w:r>
          </w:p>
        </w:tc>
        <w:tc>
          <w:tcPr>
            <w:tcW w:w="0" w:type="auto"/>
            <w:hideMark/>
          </w:tcPr>
          <w:p w14:paraId="5A148EF9"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1.550</w:t>
            </w:r>
          </w:p>
        </w:tc>
        <w:tc>
          <w:tcPr>
            <w:tcW w:w="0" w:type="auto"/>
            <w:hideMark/>
          </w:tcPr>
          <w:p w14:paraId="61BDD19A"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10.332</w:t>
            </w:r>
          </w:p>
        </w:tc>
        <w:tc>
          <w:tcPr>
            <w:tcW w:w="0" w:type="auto"/>
            <w:hideMark/>
          </w:tcPr>
          <w:p w14:paraId="4A1EF768"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58.200</w:t>
            </w:r>
          </w:p>
        </w:tc>
        <w:tc>
          <w:tcPr>
            <w:tcW w:w="0" w:type="auto"/>
            <w:hideMark/>
          </w:tcPr>
          <w:p w14:paraId="2106314B"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2.068</w:t>
            </w:r>
          </w:p>
        </w:tc>
        <w:tc>
          <w:tcPr>
            <w:tcW w:w="0" w:type="auto"/>
            <w:gridSpan w:val="2"/>
            <w:hideMark/>
          </w:tcPr>
          <w:p w14:paraId="059DBBED"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13</w:t>
            </w:r>
          </w:p>
        </w:tc>
        <w:tc>
          <w:tcPr>
            <w:tcW w:w="0" w:type="auto"/>
            <w:hideMark/>
          </w:tcPr>
          <w:p w14:paraId="0F3F36FC"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56</w:t>
            </w:r>
          </w:p>
        </w:tc>
      </w:tr>
      <w:tr w:rsidR="00565038" w:rsidRPr="000E5E00" w14:paraId="28DADFB1" w14:textId="77777777" w:rsidTr="002D640D">
        <w:tc>
          <w:tcPr>
            <w:tcW w:w="0" w:type="auto"/>
            <w:hideMark/>
          </w:tcPr>
          <w:p w14:paraId="6ACDF358"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4</w:t>
            </w:r>
          </w:p>
        </w:tc>
        <w:tc>
          <w:tcPr>
            <w:tcW w:w="0" w:type="auto"/>
            <w:hideMark/>
          </w:tcPr>
          <w:p w14:paraId="79FD70E0"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1.13</w:t>
            </w:r>
          </w:p>
        </w:tc>
        <w:tc>
          <w:tcPr>
            <w:tcW w:w="0" w:type="auto"/>
            <w:hideMark/>
          </w:tcPr>
          <w:p w14:paraId="0AE02F99"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7.567</w:t>
            </w:r>
          </w:p>
        </w:tc>
        <w:tc>
          <w:tcPr>
            <w:tcW w:w="0" w:type="auto"/>
            <w:hideMark/>
          </w:tcPr>
          <w:p w14:paraId="558EBB8D"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65.766</w:t>
            </w:r>
          </w:p>
        </w:tc>
        <w:tc>
          <w:tcPr>
            <w:tcW w:w="0" w:type="auto"/>
            <w:hideMark/>
          </w:tcPr>
          <w:p w14:paraId="5FBDE830"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1.135</w:t>
            </w:r>
          </w:p>
        </w:tc>
        <w:tc>
          <w:tcPr>
            <w:tcW w:w="0" w:type="auto"/>
            <w:hideMark/>
          </w:tcPr>
          <w:p w14:paraId="13815CB8"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7.567</w:t>
            </w:r>
          </w:p>
        </w:tc>
        <w:tc>
          <w:tcPr>
            <w:tcW w:w="0" w:type="auto"/>
            <w:hideMark/>
          </w:tcPr>
          <w:p w14:paraId="64CECC2B"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65.766</w:t>
            </w:r>
          </w:p>
        </w:tc>
        <w:tc>
          <w:tcPr>
            <w:tcW w:w="0" w:type="auto"/>
            <w:hideMark/>
          </w:tcPr>
          <w:p w14:paraId="6C7B78D7"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1.339</w:t>
            </w:r>
          </w:p>
        </w:tc>
        <w:tc>
          <w:tcPr>
            <w:tcW w:w="0" w:type="auto"/>
            <w:gridSpan w:val="2"/>
            <w:hideMark/>
          </w:tcPr>
          <w:p w14:paraId="57D7CD89"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8</w:t>
            </w:r>
          </w:p>
        </w:tc>
        <w:tc>
          <w:tcPr>
            <w:tcW w:w="0" w:type="auto"/>
            <w:hideMark/>
          </w:tcPr>
          <w:p w14:paraId="0CF4DD4F"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65</w:t>
            </w:r>
          </w:p>
        </w:tc>
      </w:tr>
      <w:tr w:rsidR="00565038" w:rsidRPr="000E5E00" w14:paraId="2BF57FC5" w14:textId="77777777" w:rsidTr="002D640D">
        <w:tc>
          <w:tcPr>
            <w:tcW w:w="0" w:type="auto"/>
            <w:hideMark/>
          </w:tcPr>
          <w:p w14:paraId="6FC4416B"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5</w:t>
            </w:r>
          </w:p>
        </w:tc>
        <w:tc>
          <w:tcPr>
            <w:tcW w:w="0" w:type="auto"/>
            <w:hideMark/>
          </w:tcPr>
          <w:p w14:paraId="570EA7F2"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1.08</w:t>
            </w:r>
          </w:p>
        </w:tc>
        <w:tc>
          <w:tcPr>
            <w:tcW w:w="0" w:type="auto"/>
            <w:hideMark/>
          </w:tcPr>
          <w:p w14:paraId="684DD557"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7.251</w:t>
            </w:r>
          </w:p>
        </w:tc>
        <w:tc>
          <w:tcPr>
            <w:tcW w:w="0" w:type="auto"/>
            <w:hideMark/>
          </w:tcPr>
          <w:p w14:paraId="0CFE5010"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73.017</w:t>
            </w:r>
          </w:p>
        </w:tc>
        <w:tc>
          <w:tcPr>
            <w:tcW w:w="0" w:type="auto"/>
            <w:hideMark/>
          </w:tcPr>
          <w:p w14:paraId="1352270B"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1.088</w:t>
            </w:r>
          </w:p>
        </w:tc>
        <w:tc>
          <w:tcPr>
            <w:tcW w:w="0" w:type="auto"/>
            <w:hideMark/>
          </w:tcPr>
          <w:p w14:paraId="51B0916F"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7.251</w:t>
            </w:r>
          </w:p>
        </w:tc>
        <w:tc>
          <w:tcPr>
            <w:tcW w:w="0" w:type="auto"/>
            <w:hideMark/>
          </w:tcPr>
          <w:p w14:paraId="7DC83141"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73.017</w:t>
            </w:r>
          </w:p>
        </w:tc>
        <w:tc>
          <w:tcPr>
            <w:tcW w:w="0" w:type="auto"/>
            <w:hideMark/>
          </w:tcPr>
          <w:p w14:paraId="041673F7"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1.131</w:t>
            </w:r>
          </w:p>
        </w:tc>
        <w:tc>
          <w:tcPr>
            <w:tcW w:w="0" w:type="auto"/>
            <w:gridSpan w:val="2"/>
            <w:hideMark/>
          </w:tcPr>
          <w:p w14:paraId="6C6B8D31"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7</w:t>
            </w:r>
          </w:p>
        </w:tc>
        <w:tc>
          <w:tcPr>
            <w:tcW w:w="0" w:type="auto"/>
            <w:hideMark/>
          </w:tcPr>
          <w:p w14:paraId="75146F0F"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73</w:t>
            </w:r>
          </w:p>
        </w:tc>
      </w:tr>
      <w:tr w:rsidR="00565038" w:rsidRPr="000E5E00" w14:paraId="79E7478A" w14:textId="77777777" w:rsidTr="002D640D">
        <w:tc>
          <w:tcPr>
            <w:tcW w:w="0" w:type="auto"/>
            <w:hideMark/>
          </w:tcPr>
          <w:p w14:paraId="04338302"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6</w:t>
            </w:r>
          </w:p>
        </w:tc>
        <w:tc>
          <w:tcPr>
            <w:tcW w:w="0" w:type="auto"/>
            <w:hideMark/>
          </w:tcPr>
          <w:p w14:paraId="4735A06B"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842</w:t>
            </w:r>
          </w:p>
        </w:tc>
        <w:tc>
          <w:tcPr>
            <w:tcW w:w="0" w:type="auto"/>
            <w:hideMark/>
          </w:tcPr>
          <w:p w14:paraId="6F5807A7"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5.612</w:t>
            </w:r>
          </w:p>
        </w:tc>
        <w:tc>
          <w:tcPr>
            <w:tcW w:w="0" w:type="auto"/>
            <w:hideMark/>
          </w:tcPr>
          <w:p w14:paraId="1F2A8941"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78.629</w:t>
            </w:r>
          </w:p>
        </w:tc>
        <w:tc>
          <w:tcPr>
            <w:tcW w:w="0" w:type="auto"/>
            <w:hideMark/>
          </w:tcPr>
          <w:p w14:paraId="3DE0588E" w14:textId="77777777" w:rsidR="00565038" w:rsidRPr="00221190" w:rsidRDefault="00565038" w:rsidP="002D640D">
            <w:pPr>
              <w:rPr>
                <w:rFonts w:ascii="Times New Roman" w:hAnsi="Times New Roman" w:cs="Times New Roman"/>
                <w:sz w:val="18"/>
                <w:szCs w:val="18"/>
              </w:rPr>
            </w:pPr>
          </w:p>
        </w:tc>
        <w:tc>
          <w:tcPr>
            <w:tcW w:w="0" w:type="auto"/>
            <w:hideMark/>
          </w:tcPr>
          <w:p w14:paraId="62B22689" w14:textId="77777777" w:rsidR="00565038" w:rsidRPr="00221190" w:rsidRDefault="00565038" w:rsidP="002D640D">
            <w:pPr>
              <w:rPr>
                <w:rFonts w:ascii="Times New Roman" w:hAnsi="Times New Roman" w:cs="Times New Roman"/>
                <w:sz w:val="18"/>
                <w:szCs w:val="18"/>
              </w:rPr>
            </w:pPr>
          </w:p>
        </w:tc>
        <w:tc>
          <w:tcPr>
            <w:tcW w:w="0" w:type="auto"/>
            <w:hideMark/>
          </w:tcPr>
          <w:p w14:paraId="677D45A3" w14:textId="77777777" w:rsidR="00565038" w:rsidRPr="00221190" w:rsidRDefault="00565038" w:rsidP="002D640D">
            <w:pPr>
              <w:rPr>
                <w:rFonts w:ascii="Times New Roman" w:hAnsi="Times New Roman" w:cs="Times New Roman"/>
                <w:sz w:val="18"/>
                <w:szCs w:val="18"/>
              </w:rPr>
            </w:pPr>
          </w:p>
        </w:tc>
        <w:tc>
          <w:tcPr>
            <w:tcW w:w="0" w:type="auto"/>
            <w:hideMark/>
          </w:tcPr>
          <w:p w14:paraId="4BE55F52" w14:textId="77777777" w:rsidR="00565038" w:rsidRPr="00221190" w:rsidRDefault="00565038" w:rsidP="002D640D">
            <w:pPr>
              <w:rPr>
                <w:rFonts w:ascii="Times New Roman" w:hAnsi="Times New Roman" w:cs="Times New Roman"/>
                <w:sz w:val="18"/>
                <w:szCs w:val="18"/>
              </w:rPr>
            </w:pPr>
          </w:p>
        </w:tc>
        <w:tc>
          <w:tcPr>
            <w:tcW w:w="0" w:type="auto"/>
            <w:gridSpan w:val="2"/>
            <w:hideMark/>
          </w:tcPr>
          <w:p w14:paraId="3986B637" w14:textId="77777777" w:rsidR="00565038" w:rsidRPr="00221190" w:rsidRDefault="00565038" w:rsidP="002D640D">
            <w:pPr>
              <w:rPr>
                <w:rFonts w:ascii="Times New Roman" w:hAnsi="Times New Roman" w:cs="Times New Roman"/>
                <w:sz w:val="18"/>
                <w:szCs w:val="18"/>
              </w:rPr>
            </w:pPr>
          </w:p>
        </w:tc>
        <w:tc>
          <w:tcPr>
            <w:tcW w:w="0" w:type="auto"/>
            <w:hideMark/>
          </w:tcPr>
          <w:p w14:paraId="00092544" w14:textId="77777777" w:rsidR="00565038" w:rsidRPr="00221190" w:rsidRDefault="00565038" w:rsidP="002D640D">
            <w:pPr>
              <w:rPr>
                <w:rFonts w:ascii="Times New Roman" w:hAnsi="Times New Roman" w:cs="Times New Roman"/>
                <w:sz w:val="18"/>
                <w:szCs w:val="18"/>
              </w:rPr>
            </w:pPr>
          </w:p>
        </w:tc>
      </w:tr>
      <w:tr w:rsidR="00565038" w:rsidRPr="000E5E00" w14:paraId="1D7014E4" w14:textId="77777777" w:rsidTr="002D640D">
        <w:tc>
          <w:tcPr>
            <w:tcW w:w="0" w:type="auto"/>
            <w:tcBorders>
              <w:bottom w:val="single" w:sz="4" w:space="0" w:color="auto"/>
            </w:tcBorders>
            <w:hideMark/>
          </w:tcPr>
          <w:p w14:paraId="38B06EEC" w14:textId="77777777" w:rsidR="00565038" w:rsidRPr="00221190" w:rsidRDefault="00565038" w:rsidP="002D640D">
            <w:pPr>
              <w:rPr>
                <w:rFonts w:ascii="Times New Roman" w:hAnsi="Times New Roman" w:cs="Times New Roman"/>
                <w:i/>
                <w:sz w:val="18"/>
                <w:szCs w:val="18"/>
              </w:rPr>
            </w:pPr>
            <w:r w:rsidRPr="00221190">
              <w:rPr>
                <w:rFonts w:ascii="Times New Roman" w:hAnsi="Times New Roman" w:cs="Times New Roman"/>
                <w:sz w:val="18"/>
                <w:szCs w:val="18"/>
              </w:rPr>
              <w:t>7</w:t>
            </w:r>
          </w:p>
        </w:tc>
        <w:tc>
          <w:tcPr>
            <w:tcW w:w="0" w:type="auto"/>
            <w:tcBorders>
              <w:bottom w:val="single" w:sz="4" w:space="0" w:color="auto"/>
            </w:tcBorders>
            <w:hideMark/>
          </w:tcPr>
          <w:p w14:paraId="639C29AD"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.685</w:t>
            </w:r>
          </w:p>
        </w:tc>
        <w:tc>
          <w:tcPr>
            <w:tcW w:w="0" w:type="auto"/>
            <w:tcBorders>
              <w:bottom w:val="single" w:sz="4" w:space="0" w:color="auto"/>
            </w:tcBorders>
            <w:hideMark/>
          </w:tcPr>
          <w:p w14:paraId="78F7B8CC"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4.563</w:t>
            </w:r>
          </w:p>
        </w:tc>
        <w:tc>
          <w:tcPr>
            <w:tcW w:w="0" w:type="auto"/>
            <w:tcBorders>
              <w:bottom w:val="single" w:sz="4" w:space="0" w:color="auto"/>
            </w:tcBorders>
            <w:hideMark/>
          </w:tcPr>
          <w:p w14:paraId="527959FA" w14:textId="77777777" w:rsidR="00565038" w:rsidRPr="00221190" w:rsidRDefault="00565038" w:rsidP="002D640D">
            <w:pPr>
              <w:rPr>
                <w:rFonts w:ascii="Times New Roman" w:hAnsi="Times New Roman" w:cs="Times New Roman"/>
                <w:sz w:val="18"/>
                <w:szCs w:val="18"/>
              </w:rPr>
            </w:pPr>
            <w:r w:rsidRPr="00221190">
              <w:rPr>
                <w:rFonts w:ascii="Times New Roman" w:hAnsi="Times New Roman" w:cs="Times New Roman"/>
                <w:sz w:val="18"/>
                <w:szCs w:val="18"/>
              </w:rPr>
              <w:t>83.193</w:t>
            </w:r>
          </w:p>
        </w:tc>
        <w:tc>
          <w:tcPr>
            <w:tcW w:w="0" w:type="auto"/>
            <w:tcBorders>
              <w:bottom w:val="single" w:sz="4" w:space="0" w:color="auto"/>
            </w:tcBorders>
            <w:hideMark/>
          </w:tcPr>
          <w:p w14:paraId="147DAD01" w14:textId="77777777" w:rsidR="00565038" w:rsidRPr="00221190" w:rsidRDefault="00565038" w:rsidP="002D640D">
            <w:pPr>
              <w:rPr>
                <w:rFonts w:ascii="Times New Roman" w:hAnsi="Times New Roman" w:cs="Times New Roman"/>
                <w:sz w:val="18"/>
                <w:szCs w:val="18"/>
              </w:rPr>
            </w:pPr>
          </w:p>
        </w:tc>
        <w:tc>
          <w:tcPr>
            <w:tcW w:w="0" w:type="auto"/>
            <w:tcBorders>
              <w:bottom w:val="single" w:sz="4" w:space="0" w:color="auto"/>
            </w:tcBorders>
            <w:hideMark/>
          </w:tcPr>
          <w:p w14:paraId="3462C965" w14:textId="77777777" w:rsidR="00565038" w:rsidRPr="00221190" w:rsidRDefault="00565038" w:rsidP="002D640D">
            <w:pPr>
              <w:rPr>
                <w:rFonts w:ascii="Times New Roman" w:hAnsi="Times New Roman" w:cs="Times New Roman"/>
                <w:sz w:val="18"/>
                <w:szCs w:val="18"/>
              </w:rPr>
            </w:pPr>
          </w:p>
        </w:tc>
        <w:tc>
          <w:tcPr>
            <w:tcW w:w="0" w:type="auto"/>
            <w:tcBorders>
              <w:bottom w:val="single" w:sz="4" w:space="0" w:color="auto"/>
            </w:tcBorders>
            <w:hideMark/>
          </w:tcPr>
          <w:p w14:paraId="4CD4ECDA" w14:textId="77777777" w:rsidR="00565038" w:rsidRPr="00221190" w:rsidRDefault="00565038" w:rsidP="002D640D">
            <w:pPr>
              <w:rPr>
                <w:rFonts w:ascii="Times New Roman" w:hAnsi="Times New Roman" w:cs="Times New Roman"/>
                <w:sz w:val="18"/>
                <w:szCs w:val="18"/>
              </w:rPr>
            </w:pPr>
          </w:p>
        </w:tc>
        <w:tc>
          <w:tcPr>
            <w:tcW w:w="0" w:type="auto"/>
            <w:tcBorders>
              <w:bottom w:val="single" w:sz="4" w:space="0" w:color="auto"/>
            </w:tcBorders>
            <w:hideMark/>
          </w:tcPr>
          <w:p w14:paraId="1F8F33C6" w14:textId="77777777" w:rsidR="00565038" w:rsidRPr="00221190" w:rsidRDefault="00565038" w:rsidP="002D640D">
            <w:pPr>
              <w:rPr>
                <w:rFonts w:ascii="Times New Roman" w:hAnsi="Times New Roman" w:cs="Times New Roman"/>
                <w:sz w:val="18"/>
                <w:szCs w:val="18"/>
              </w:rPr>
            </w:pPr>
          </w:p>
        </w:tc>
        <w:tc>
          <w:tcPr>
            <w:tcW w:w="0" w:type="auto"/>
            <w:gridSpan w:val="2"/>
            <w:tcBorders>
              <w:bottom w:val="single" w:sz="4" w:space="0" w:color="auto"/>
            </w:tcBorders>
            <w:hideMark/>
          </w:tcPr>
          <w:p w14:paraId="53C1FED5" w14:textId="77777777" w:rsidR="00565038" w:rsidRPr="00221190" w:rsidRDefault="00565038" w:rsidP="002D640D">
            <w:pPr>
              <w:rPr>
                <w:rFonts w:ascii="Times New Roman" w:hAnsi="Times New Roman" w:cs="Times New Roman"/>
                <w:sz w:val="18"/>
                <w:szCs w:val="18"/>
              </w:rPr>
            </w:pPr>
          </w:p>
        </w:tc>
        <w:tc>
          <w:tcPr>
            <w:tcW w:w="0" w:type="auto"/>
            <w:tcBorders>
              <w:bottom w:val="single" w:sz="4" w:space="0" w:color="auto"/>
            </w:tcBorders>
            <w:hideMark/>
          </w:tcPr>
          <w:p w14:paraId="545A0B4B" w14:textId="77777777" w:rsidR="00565038" w:rsidRPr="00221190" w:rsidRDefault="00565038" w:rsidP="002D640D">
            <w:pPr>
              <w:rPr>
                <w:rFonts w:ascii="Times New Roman" w:hAnsi="Times New Roman" w:cs="Times New Roman"/>
                <w:sz w:val="18"/>
                <w:szCs w:val="18"/>
              </w:rPr>
            </w:pPr>
          </w:p>
        </w:tc>
      </w:tr>
      <w:tr w:rsidR="00565038" w:rsidRPr="000E5E00" w14:paraId="372783E6" w14:textId="77777777" w:rsidTr="002D640D">
        <w:trPr>
          <w:gridAfter w:val="2"/>
        </w:trPr>
        <w:tc>
          <w:tcPr>
            <w:tcW w:w="0" w:type="auto"/>
            <w:gridSpan w:val="9"/>
            <w:tcBorders>
              <w:top w:val="nil"/>
              <w:left w:val="nil"/>
              <w:bottom w:val="nil"/>
              <w:right w:val="nil"/>
            </w:tcBorders>
          </w:tcPr>
          <w:p w14:paraId="6FDE1DBB" w14:textId="77777777" w:rsidR="00565038" w:rsidRPr="000E5E00" w:rsidRDefault="00565038" w:rsidP="002D640D">
            <w:pPr>
              <w:keepNext/>
              <w:rPr>
                <w:rFonts w:ascii="Times New Roman" w:eastAsia="Calibri" w:hAnsi="Times New Roman" w:cs="Times New Roman"/>
                <w:noProof/>
                <w:sz w:val="18"/>
                <w:szCs w:val="18"/>
              </w:rPr>
            </w:pPr>
            <w:r w:rsidRPr="000E5E00">
              <w:rPr>
                <w:rFonts w:ascii="Times New Roman" w:eastAsia="Calibri" w:hAnsi="Times New Roman" w:cs="Times New Roman"/>
                <w:noProof/>
                <w:sz w:val="18"/>
                <w:szCs w:val="18"/>
              </w:rPr>
              <w:t>Note: The table presents the results of an exploratory factor analysis, showing the initial eigenvalues, extraction sums of squared loadings, and rotation sums of squared loadings for each of the first seven components. The total variance explained by each component is also provided, as well as the cumulative percentage of variance.</w:t>
            </w:r>
          </w:p>
        </w:tc>
      </w:tr>
    </w:tbl>
    <w:p w14:paraId="01FBD6DD" w14:textId="77777777" w:rsidR="00565038" w:rsidRDefault="00565038" w:rsidP="00565038">
      <w:pPr>
        <w:spacing w:after="0"/>
        <w:rPr>
          <w:rFonts w:ascii="Times New Roman" w:hAnsi="Times New Roman" w:cs="Times New Roman"/>
          <w:color w:val="000000" w:themeColor="text1"/>
          <w:sz w:val="24"/>
        </w:rPr>
      </w:pPr>
      <w:r>
        <w:rPr>
          <w:rFonts w:ascii="Times New Roman" w:hAnsi="Times New Roman" w:cs="Times New Roman"/>
          <w:i/>
          <w:iCs/>
          <w:color w:val="000000" w:themeColor="text1"/>
          <w:sz w:val="24"/>
        </w:rPr>
        <w:br w:type="page"/>
      </w:r>
    </w:p>
    <w:p w14:paraId="356E9AA0" w14:textId="77777777" w:rsidR="00565038" w:rsidRPr="00B07833" w:rsidRDefault="00565038" w:rsidP="00565038">
      <w:pPr>
        <w:pStyle w:val="Caption"/>
        <w:keepNext/>
        <w:jc w:val="both"/>
        <w:rPr>
          <w:rFonts w:ascii="Times New Roman" w:hAnsi="Times New Roman" w:cs="Times New Roman"/>
          <w:i w:val="0"/>
          <w:iCs w:val="0"/>
          <w:color w:val="000000" w:themeColor="text1"/>
          <w:sz w:val="24"/>
          <w:szCs w:val="24"/>
        </w:rPr>
      </w:pPr>
    </w:p>
    <w:p w14:paraId="6F2ECAC2" w14:textId="77777777" w:rsidR="00565038" w:rsidRPr="00B07833" w:rsidRDefault="00565038" w:rsidP="00565038">
      <w:pPr>
        <w:pStyle w:val="Caption"/>
        <w:keepNext/>
        <w:rPr>
          <w:rFonts w:ascii="Times New Roman" w:hAnsi="Times New Roman" w:cs="Times New Roman"/>
          <w:color w:val="000000" w:themeColor="text1"/>
        </w:rPr>
      </w:pPr>
      <w:bookmarkStart w:id="1" w:name="_Ref152790871"/>
      <w:r w:rsidRPr="00B07833">
        <w:rPr>
          <w:rFonts w:ascii="Times New Roman" w:hAnsi="Times New Roman" w:cs="Times New Roman"/>
          <w:i w:val="0"/>
          <w:iCs w:val="0"/>
          <w:color w:val="000000" w:themeColor="text1"/>
        </w:rPr>
        <w:t xml:space="preserve">Supplemental Digital Appendix </w:t>
      </w:r>
      <w:r w:rsidRPr="00B07833">
        <w:rPr>
          <w:rFonts w:ascii="Times New Roman" w:hAnsi="Times New Roman" w:cs="Times New Roman"/>
          <w:i w:val="0"/>
          <w:iCs w:val="0"/>
          <w:color w:val="000000" w:themeColor="text1"/>
        </w:rPr>
        <w:fldChar w:fldCharType="begin"/>
      </w:r>
      <w:r w:rsidRPr="00B07833">
        <w:rPr>
          <w:rFonts w:ascii="Times New Roman" w:hAnsi="Times New Roman" w:cs="Times New Roman"/>
          <w:i w:val="0"/>
          <w:iCs w:val="0"/>
          <w:color w:val="000000" w:themeColor="text1"/>
        </w:rPr>
        <w:instrText xml:space="preserve"> SEQ Supplemental_Digital_Appendix \* ARABIC </w:instrText>
      </w:r>
      <w:r w:rsidRPr="00B07833">
        <w:rPr>
          <w:rFonts w:ascii="Times New Roman" w:hAnsi="Times New Roman" w:cs="Times New Roman"/>
          <w:i w:val="0"/>
          <w:iCs w:val="0"/>
          <w:color w:val="000000" w:themeColor="text1"/>
        </w:rPr>
        <w:fldChar w:fldCharType="separate"/>
      </w:r>
      <w:r>
        <w:rPr>
          <w:rFonts w:ascii="Times New Roman" w:hAnsi="Times New Roman" w:cs="Times New Roman"/>
          <w:i w:val="0"/>
          <w:iCs w:val="0"/>
          <w:noProof/>
          <w:color w:val="000000" w:themeColor="text1"/>
        </w:rPr>
        <w:t>3</w:t>
      </w:r>
      <w:r w:rsidRPr="00B07833">
        <w:rPr>
          <w:rFonts w:ascii="Times New Roman" w:hAnsi="Times New Roman" w:cs="Times New Roman"/>
          <w:i w:val="0"/>
          <w:iCs w:val="0"/>
          <w:color w:val="000000" w:themeColor="text1"/>
        </w:rPr>
        <w:fldChar w:fldCharType="end"/>
      </w:r>
      <w:r w:rsidRPr="00B07833">
        <w:rPr>
          <w:rFonts w:ascii="Times New Roman" w:hAnsi="Times New Roman" w:cs="Times New Roman"/>
          <w:i w:val="0"/>
          <w:iCs w:val="0"/>
          <w:color w:val="000000" w:themeColor="text1"/>
        </w:rPr>
        <w:t>: Reliability Analysis of Outcome Indicators in Intercultural Competence, Self-efficacy, and Knowledge Scales</w:t>
      </w:r>
      <w:bookmarkEnd w:id="1"/>
    </w:p>
    <w:tbl>
      <w:tblPr>
        <w:tblW w:w="5000" w:type="pct"/>
        <w:tblLook w:val="04A0" w:firstRow="1" w:lastRow="0" w:firstColumn="1" w:lastColumn="0" w:noHBand="0" w:noVBand="1"/>
      </w:tblPr>
      <w:tblGrid>
        <w:gridCol w:w="1185"/>
        <w:gridCol w:w="1521"/>
        <w:gridCol w:w="3131"/>
        <w:gridCol w:w="657"/>
        <w:gridCol w:w="657"/>
        <w:gridCol w:w="657"/>
        <w:gridCol w:w="1218"/>
      </w:tblGrid>
      <w:tr w:rsidR="00565038" w:rsidRPr="00E47B4E" w14:paraId="574F7B1A" w14:textId="77777777" w:rsidTr="002D640D">
        <w:trPr>
          <w:trHeight w:val="680"/>
        </w:trPr>
        <w:tc>
          <w:tcPr>
            <w:tcW w:w="640" w:type="pct"/>
            <w:tcBorders>
              <w:left w:val="nil"/>
              <w:bottom w:val="single" w:sz="4" w:space="0" w:color="auto"/>
              <w:right w:val="nil"/>
            </w:tcBorders>
            <w:shd w:val="clear" w:color="auto" w:fill="auto"/>
            <w:vAlign w:val="center"/>
            <w:hideMark/>
          </w:tcPr>
          <w:p w14:paraId="71257520"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Outcome Indicator</w:t>
            </w:r>
          </w:p>
        </w:tc>
        <w:tc>
          <w:tcPr>
            <w:tcW w:w="843" w:type="pct"/>
            <w:tcBorders>
              <w:left w:val="nil"/>
              <w:bottom w:val="single" w:sz="4" w:space="0" w:color="auto"/>
              <w:right w:val="nil"/>
            </w:tcBorders>
            <w:shd w:val="clear" w:color="auto" w:fill="auto"/>
            <w:vAlign w:val="center"/>
            <w:hideMark/>
          </w:tcPr>
          <w:p w14:paraId="450B482F"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Subscale</w:t>
            </w:r>
          </w:p>
        </w:tc>
        <w:tc>
          <w:tcPr>
            <w:tcW w:w="1822" w:type="pct"/>
            <w:tcBorders>
              <w:left w:val="nil"/>
              <w:bottom w:val="single" w:sz="4" w:space="0" w:color="auto"/>
              <w:right w:val="nil"/>
            </w:tcBorders>
            <w:shd w:val="clear" w:color="auto" w:fill="auto"/>
            <w:noWrap/>
            <w:vAlign w:val="center"/>
            <w:hideMark/>
          </w:tcPr>
          <w:p w14:paraId="5CDCFAC7"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Area of focus</w:t>
            </w:r>
          </w:p>
        </w:tc>
        <w:tc>
          <w:tcPr>
            <w:tcW w:w="318" w:type="pct"/>
            <w:tcBorders>
              <w:left w:val="nil"/>
              <w:bottom w:val="single" w:sz="4" w:space="0" w:color="auto"/>
              <w:right w:val="nil"/>
            </w:tcBorders>
            <w:shd w:val="clear" w:color="auto" w:fill="auto"/>
            <w:vAlign w:val="center"/>
            <w:hideMark/>
          </w:tcPr>
          <w:p w14:paraId="248D9DFA"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Item #</w:t>
            </w:r>
          </w:p>
        </w:tc>
        <w:tc>
          <w:tcPr>
            <w:tcW w:w="1377" w:type="pct"/>
            <w:gridSpan w:val="3"/>
            <w:tcBorders>
              <w:left w:val="nil"/>
              <w:bottom w:val="single" w:sz="4" w:space="0" w:color="auto"/>
              <w:right w:val="nil"/>
            </w:tcBorders>
            <w:shd w:val="clear" w:color="auto" w:fill="auto"/>
            <w:vAlign w:val="center"/>
            <w:hideMark/>
          </w:tcPr>
          <w:p w14:paraId="67F2590F"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Cronbach's Alpha</w:t>
            </w:r>
          </w:p>
        </w:tc>
      </w:tr>
      <w:tr w:rsidR="00565038" w:rsidRPr="00E47B4E" w14:paraId="2C41E188" w14:textId="77777777" w:rsidTr="002D640D">
        <w:trPr>
          <w:gridAfter w:val="1"/>
          <w:wAfter w:w="741" w:type="pct"/>
          <w:trHeight w:val="320"/>
        </w:trPr>
        <w:tc>
          <w:tcPr>
            <w:tcW w:w="640" w:type="pct"/>
            <w:vMerge w:val="restart"/>
            <w:tcBorders>
              <w:top w:val="nil"/>
              <w:left w:val="nil"/>
              <w:right w:val="nil"/>
            </w:tcBorders>
            <w:shd w:val="clear" w:color="auto" w:fill="auto"/>
            <w:noWrap/>
            <w:vAlign w:val="center"/>
            <w:hideMark/>
          </w:tcPr>
          <w:p w14:paraId="1F326871"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Intercultural Competence</w:t>
            </w:r>
          </w:p>
        </w:tc>
        <w:tc>
          <w:tcPr>
            <w:tcW w:w="843" w:type="pct"/>
            <w:tcBorders>
              <w:top w:val="nil"/>
              <w:left w:val="nil"/>
              <w:right w:val="nil"/>
            </w:tcBorders>
            <w:shd w:val="clear" w:color="auto" w:fill="auto"/>
            <w:noWrap/>
            <w:vAlign w:val="center"/>
            <w:hideMark/>
          </w:tcPr>
          <w:p w14:paraId="6BDD8247" w14:textId="77777777" w:rsidR="00565038" w:rsidRPr="008239C6" w:rsidRDefault="00565038" w:rsidP="002D640D">
            <w:pPr>
              <w:jc w:val="right"/>
              <w:rPr>
                <w:rFonts w:ascii="Times New Roman" w:hAnsi="Times New Roman" w:cs="Times New Roman"/>
                <w:sz w:val="18"/>
                <w:szCs w:val="18"/>
              </w:rPr>
            </w:pPr>
            <w:r w:rsidRPr="008239C6">
              <w:rPr>
                <w:rFonts w:ascii="Times New Roman" w:hAnsi="Times New Roman" w:cs="Times New Roman"/>
                <w:sz w:val="18"/>
                <w:szCs w:val="18"/>
              </w:rPr>
              <w:t>Subjective Knowledge</w:t>
            </w:r>
          </w:p>
        </w:tc>
        <w:tc>
          <w:tcPr>
            <w:tcW w:w="1822" w:type="pct"/>
            <w:tcBorders>
              <w:top w:val="nil"/>
              <w:left w:val="nil"/>
              <w:right w:val="nil"/>
            </w:tcBorders>
            <w:shd w:val="clear" w:color="auto" w:fill="auto"/>
            <w:noWrap/>
            <w:vAlign w:val="center"/>
            <w:hideMark/>
          </w:tcPr>
          <w:p w14:paraId="2BDBC5B8"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Self-perceived knowledge-base on health disparities of VMRs</w:t>
            </w:r>
          </w:p>
        </w:tc>
        <w:tc>
          <w:tcPr>
            <w:tcW w:w="318" w:type="pct"/>
            <w:tcBorders>
              <w:top w:val="nil"/>
              <w:left w:val="nil"/>
              <w:right w:val="nil"/>
            </w:tcBorders>
            <w:shd w:val="clear" w:color="auto" w:fill="auto"/>
            <w:noWrap/>
            <w:vAlign w:val="center"/>
            <w:hideMark/>
          </w:tcPr>
          <w:p w14:paraId="293CFB49"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4</w:t>
            </w:r>
          </w:p>
        </w:tc>
        <w:tc>
          <w:tcPr>
            <w:tcW w:w="318" w:type="pct"/>
            <w:vMerge w:val="restart"/>
            <w:tcBorders>
              <w:top w:val="nil"/>
              <w:left w:val="nil"/>
              <w:right w:val="nil"/>
            </w:tcBorders>
            <w:shd w:val="clear" w:color="auto" w:fill="auto"/>
            <w:noWrap/>
            <w:vAlign w:val="center"/>
            <w:hideMark/>
          </w:tcPr>
          <w:p w14:paraId="2380F863"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0.79</w:t>
            </w:r>
          </w:p>
        </w:tc>
        <w:tc>
          <w:tcPr>
            <w:tcW w:w="318" w:type="pct"/>
            <w:tcBorders>
              <w:top w:val="nil"/>
              <w:left w:val="nil"/>
              <w:right w:val="nil"/>
            </w:tcBorders>
            <w:shd w:val="clear" w:color="auto" w:fill="auto"/>
            <w:noWrap/>
            <w:vAlign w:val="center"/>
            <w:hideMark/>
          </w:tcPr>
          <w:p w14:paraId="25C5B1C7"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0.86</w:t>
            </w:r>
          </w:p>
        </w:tc>
      </w:tr>
      <w:tr w:rsidR="00565038" w:rsidRPr="00E47B4E" w14:paraId="0B330329" w14:textId="77777777" w:rsidTr="002D640D">
        <w:trPr>
          <w:gridAfter w:val="1"/>
          <w:wAfter w:w="741" w:type="pct"/>
          <w:trHeight w:val="320"/>
        </w:trPr>
        <w:tc>
          <w:tcPr>
            <w:tcW w:w="640" w:type="pct"/>
            <w:vMerge/>
            <w:vAlign w:val="center"/>
            <w:hideMark/>
          </w:tcPr>
          <w:p w14:paraId="7675E7C2" w14:textId="77777777" w:rsidR="00565038" w:rsidRPr="008239C6" w:rsidRDefault="00565038" w:rsidP="002D640D">
            <w:pPr>
              <w:rPr>
                <w:rFonts w:ascii="Times New Roman" w:hAnsi="Times New Roman" w:cs="Times New Roman"/>
                <w:sz w:val="18"/>
                <w:szCs w:val="18"/>
              </w:rPr>
            </w:pPr>
          </w:p>
        </w:tc>
        <w:tc>
          <w:tcPr>
            <w:tcW w:w="843" w:type="pct"/>
            <w:tcBorders>
              <w:top w:val="nil"/>
              <w:left w:val="nil"/>
              <w:right w:val="nil"/>
            </w:tcBorders>
            <w:shd w:val="clear" w:color="auto" w:fill="auto"/>
            <w:noWrap/>
            <w:vAlign w:val="center"/>
            <w:hideMark/>
          </w:tcPr>
          <w:p w14:paraId="2448F703" w14:textId="77777777" w:rsidR="00565038" w:rsidRPr="008239C6" w:rsidRDefault="00565038" w:rsidP="002D640D">
            <w:pPr>
              <w:jc w:val="right"/>
              <w:rPr>
                <w:rFonts w:ascii="Times New Roman" w:hAnsi="Times New Roman" w:cs="Times New Roman"/>
                <w:sz w:val="18"/>
                <w:szCs w:val="18"/>
              </w:rPr>
            </w:pPr>
            <w:r w:rsidRPr="008239C6">
              <w:rPr>
                <w:rFonts w:ascii="Times New Roman" w:hAnsi="Times New Roman" w:cs="Times New Roman"/>
                <w:sz w:val="18"/>
                <w:szCs w:val="18"/>
              </w:rPr>
              <w:t>Attitudes</w:t>
            </w:r>
          </w:p>
        </w:tc>
        <w:tc>
          <w:tcPr>
            <w:tcW w:w="1822" w:type="pct"/>
            <w:tcBorders>
              <w:top w:val="nil"/>
              <w:left w:val="nil"/>
              <w:right w:val="nil"/>
            </w:tcBorders>
            <w:shd w:val="clear" w:color="auto" w:fill="auto"/>
            <w:noWrap/>
            <w:vAlign w:val="center"/>
            <w:hideMark/>
          </w:tcPr>
          <w:p w14:paraId="1E38F98C"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Attitudes towards factors contributing to health disparities of VMRs</w:t>
            </w:r>
          </w:p>
        </w:tc>
        <w:tc>
          <w:tcPr>
            <w:tcW w:w="318" w:type="pct"/>
            <w:tcBorders>
              <w:top w:val="nil"/>
              <w:left w:val="nil"/>
              <w:right w:val="nil"/>
            </w:tcBorders>
            <w:shd w:val="clear" w:color="auto" w:fill="auto"/>
            <w:noWrap/>
            <w:vAlign w:val="center"/>
            <w:hideMark/>
          </w:tcPr>
          <w:p w14:paraId="0ACA1FF8"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6</w:t>
            </w:r>
          </w:p>
        </w:tc>
        <w:tc>
          <w:tcPr>
            <w:tcW w:w="318" w:type="pct"/>
            <w:vMerge/>
            <w:vAlign w:val="center"/>
            <w:hideMark/>
          </w:tcPr>
          <w:p w14:paraId="073911BD" w14:textId="77777777" w:rsidR="00565038" w:rsidRPr="008239C6" w:rsidRDefault="00565038" w:rsidP="002D640D">
            <w:pPr>
              <w:rPr>
                <w:rFonts w:ascii="Times New Roman" w:hAnsi="Times New Roman" w:cs="Times New Roman"/>
                <w:sz w:val="18"/>
                <w:szCs w:val="18"/>
              </w:rPr>
            </w:pPr>
          </w:p>
        </w:tc>
        <w:tc>
          <w:tcPr>
            <w:tcW w:w="318" w:type="pct"/>
            <w:tcBorders>
              <w:top w:val="nil"/>
              <w:left w:val="nil"/>
              <w:right w:val="nil"/>
            </w:tcBorders>
            <w:shd w:val="clear" w:color="auto" w:fill="auto"/>
            <w:noWrap/>
            <w:vAlign w:val="center"/>
            <w:hideMark/>
          </w:tcPr>
          <w:p w14:paraId="336A2C52"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0.84</w:t>
            </w:r>
          </w:p>
        </w:tc>
      </w:tr>
      <w:tr w:rsidR="00565038" w:rsidRPr="00E47B4E" w14:paraId="3A1FC5D6" w14:textId="77777777" w:rsidTr="002D640D">
        <w:trPr>
          <w:gridAfter w:val="1"/>
          <w:wAfter w:w="741" w:type="pct"/>
          <w:trHeight w:val="320"/>
        </w:trPr>
        <w:tc>
          <w:tcPr>
            <w:tcW w:w="640" w:type="pct"/>
            <w:vMerge/>
            <w:vAlign w:val="center"/>
            <w:hideMark/>
          </w:tcPr>
          <w:p w14:paraId="3F0CE64E" w14:textId="77777777" w:rsidR="00565038" w:rsidRPr="008239C6" w:rsidRDefault="00565038" w:rsidP="002D640D">
            <w:pPr>
              <w:rPr>
                <w:rFonts w:ascii="Times New Roman" w:hAnsi="Times New Roman" w:cs="Times New Roman"/>
                <w:sz w:val="18"/>
                <w:szCs w:val="18"/>
              </w:rPr>
            </w:pPr>
          </w:p>
        </w:tc>
        <w:tc>
          <w:tcPr>
            <w:tcW w:w="843" w:type="pct"/>
            <w:tcBorders>
              <w:top w:val="nil"/>
              <w:left w:val="nil"/>
              <w:right w:val="nil"/>
            </w:tcBorders>
            <w:shd w:val="clear" w:color="auto" w:fill="auto"/>
            <w:noWrap/>
            <w:vAlign w:val="center"/>
            <w:hideMark/>
          </w:tcPr>
          <w:p w14:paraId="6CEC10D4" w14:textId="77777777" w:rsidR="00565038" w:rsidRPr="008239C6" w:rsidRDefault="00565038" w:rsidP="002D640D">
            <w:pPr>
              <w:jc w:val="right"/>
              <w:rPr>
                <w:rFonts w:ascii="Times New Roman" w:hAnsi="Times New Roman" w:cs="Times New Roman"/>
                <w:sz w:val="18"/>
                <w:szCs w:val="18"/>
              </w:rPr>
            </w:pPr>
            <w:r w:rsidRPr="008239C6">
              <w:rPr>
                <w:rFonts w:ascii="Times New Roman" w:hAnsi="Times New Roman" w:cs="Times New Roman"/>
                <w:sz w:val="18"/>
                <w:szCs w:val="18"/>
              </w:rPr>
              <w:t>Awareness</w:t>
            </w:r>
          </w:p>
        </w:tc>
        <w:tc>
          <w:tcPr>
            <w:tcW w:w="1822" w:type="pct"/>
            <w:tcBorders>
              <w:top w:val="nil"/>
              <w:left w:val="nil"/>
              <w:right w:val="nil"/>
            </w:tcBorders>
            <w:shd w:val="clear" w:color="auto" w:fill="auto"/>
            <w:noWrap/>
            <w:vAlign w:val="center"/>
            <w:hideMark/>
          </w:tcPr>
          <w:p w14:paraId="374E94B2"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Awareness of racial, ethnic, or cultural stereotypes related to VMRs</w:t>
            </w:r>
          </w:p>
        </w:tc>
        <w:tc>
          <w:tcPr>
            <w:tcW w:w="318" w:type="pct"/>
            <w:tcBorders>
              <w:top w:val="nil"/>
              <w:left w:val="nil"/>
              <w:right w:val="nil"/>
            </w:tcBorders>
            <w:shd w:val="clear" w:color="auto" w:fill="auto"/>
            <w:noWrap/>
            <w:vAlign w:val="center"/>
            <w:hideMark/>
          </w:tcPr>
          <w:p w14:paraId="5CAB37EB"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1</w:t>
            </w:r>
          </w:p>
        </w:tc>
        <w:tc>
          <w:tcPr>
            <w:tcW w:w="318" w:type="pct"/>
            <w:vMerge/>
            <w:vAlign w:val="center"/>
            <w:hideMark/>
          </w:tcPr>
          <w:p w14:paraId="2F8D289C" w14:textId="77777777" w:rsidR="00565038" w:rsidRPr="008239C6" w:rsidRDefault="00565038" w:rsidP="002D640D">
            <w:pPr>
              <w:rPr>
                <w:rFonts w:ascii="Times New Roman" w:hAnsi="Times New Roman" w:cs="Times New Roman"/>
                <w:sz w:val="18"/>
                <w:szCs w:val="18"/>
              </w:rPr>
            </w:pPr>
          </w:p>
        </w:tc>
        <w:tc>
          <w:tcPr>
            <w:tcW w:w="318" w:type="pct"/>
            <w:tcBorders>
              <w:top w:val="nil"/>
              <w:left w:val="nil"/>
              <w:right w:val="nil"/>
            </w:tcBorders>
            <w:shd w:val="clear" w:color="auto" w:fill="auto"/>
            <w:noWrap/>
            <w:vAlign w:val="center"/>
            <w:hideMark/>
          </w:tcPr>
          <w:p w14:paraId="555BB446"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w:t>
            </w:r>
          </w:p>
        </w:tc>
      </w:tr>
      <w:tr w:rsidR="00565038" w:rsidRPr="00E47B4E" w14:paraId="7DB8D8F4" w14:textId="77777777" w:rsidTr="002D640D">
        <w:trPr>
          <w:gridAfter w:val="1"/>
          <w:wAfter w:w="741" w:type="pct"/>
          <w:trHeight w:val="320"/>
        </w:trPr>
        <w:tc>
          <w:tcPr>
            <w:tcW w:w="640" w:type="pct"/>
            <w:vMerge/>
            <w:vAlign w:val="center"/>
            <w:hideMark/>
          </w:tcPr>
          <w:p w14:paraId="6FF56580" w14:textId="77777777" w:rsidR="00565038" w:rsidRPr="008239C6" w:rsidRDefault="00565038" w:rsidP="002D640D">
            <w:pPr>
              <w:rPr>
                <w:rFonts w:ascii="Times New Roman" w:hAnsi="Times New Roman" w:cs="Times New Roman"/>
                <w:sz w:val="18"/>
                <w:szCs w:val="18"/>
              </w:rPr>
            </w:pPr>
          </w:p>
        </w:tc>
        <w:tc>
          <w:tcPr>
            <w:tcW w:w="843" w:type="pct"/>
            <w:tcBorders>
              <w:top w:val="nil"/>
              <w:left w:val="nil"/>
              <w:right w:val="nil"/>
            </w:tcBorders>
            <w:shd w:val="clear" w:color="auto" w:fill="auto"/>
            <w:noWrap/>
            <w:vAlign w:val="center"/>
            <w:hideMark/>
          </w:tcPr>
          <w:p w14:paraId="3443D9A2" w14:textId="77777777" w:rsidR="00565038" w:rsidRPr="008239C6" w:rsidRDefault="00565038" w:rsidP="002D640D">
            <w:pPr>
              <w:jc w:val="right"/>
              <w:rPr>
                <w:rFonts w:ascii="Times New Roman" w:hAnsi="Times New Roman" w:cs="Times New Roman"/>
                <w:sz w:val="18"/>
                <w:szCs w:val="18"/>
              </w:rPr>
            </w:pPr>
            <w:r w:rsidRPr="008239C6">
              <w:rPr>
                <w:rFonts w:ascii="Times New Roman" w:hAnsi="Times New Roman" w:cs="Times New Roman"/>
                <w:sz w:val="18"/>
                <w:szCs w:val="18"/>
              </w:rPr>
              <w:t>Importance</w:t>
            </w:r>
          </w:p>
        </w:tc>
        <w:tc>
          <w:tcPr>
            <w:tcW w:w="1822" w:type="pct"/>
            <w:tcBorders>
              <w:top w:val="nil"/>
              <w:left w:val="nil"/>
              <w:right w:val="nil"/>
            </w:tcBorders>
            <w:shd w:val="clear" w:color="auto" w:fill="auto"/>
            <w:noWrap/>
            <w:vAlign w:val="center"/>
            <w:hideMark/>
          </w:tcPr>
          <w:p w14:paraId="2A00F8B0"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Importance of cultural competency training for health professionals</w:t>
            </w:r>
          </w:p>
        </w:tc>
        <w:tc>
          <w:tcPr>
            <w:tcW w:w="318" w:type="pct"/>
            <w:tcBorders>
              <w:top w:val="nil"/>
              <w:left w:val="nil"/>
              <w:right w:val="nil"/>
            </w:tcBorders>
            <w:shd w:val="clear" w:color="auto" w:fill="auto"/>
            <w:noWrap/>
            <w:vAlign w:val="center"/>
            <w:hideMark/>
          </w:tcPr>
          <w:p w14:paraId="025153CE"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1</w:t>
            </w:r>
          </w:p>
        </w:tc>
        <w:tc>
          <w:tcPr>
            <w:tcW w:w="318" w:type="pct"/>
            <w:vMerge/>
            <w:vAlign w:val="center"/>
            <w:hideMark/>
          </w:tcPr>
          <w:p w14:paraId="0508AD7A" w14:textId="77777777" w:rsidR="00565038" w:rsidRPr="008239C6" w:rsidRDefault="00565038" w:rsidP="002D640D">
            <w:pPr>
              <w:rPr>
                <w:rFonts w:ascii="Times New Roman" w:hAnsi="Times New Roman" w:cs="Times New Roman"/>
                <w:sz w:val="18"/>
                <w:szCs w:val="18"/>
              </w:rPr>
            </w:pPr>
          </w:p>
        </w:tc>
        <w:tc>
          <w:tcPr>
            <w:tcW w:w="318" w:type="pct"/>
            <w:tcBorders>
              <w:top w:val="nil"/>
              <w:left w:val="nil"/>
              <w:right w:val="nil"/>
            </w:tcBorders>
            <w:shd w:val="clear" w:color="auto" w:fill="auto"/>
            <w:noWrap/>
            <w:vAlign w:val="center"/>
            <w:hideMark/>
          </w:tcPr>
          <w:p w14:paraId="38F3D82C"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w:t>
            </w:r>
          </w:p>
        </w:tc>
      </w:tr>
      <w:tr w:rsidR="00565038" w:rsidRPr="00E47B4E" w14:paraId="451F6C24" w14:textId="77777777" w:rsidTr="002D640D">
        <w:trPr>
          <w:gridAfter w:val="1"/>
          <w:wAfter w:w="741" w:type="pct"/>
          <w:trHeight w:val="660"/>
        </w:trPr>
        <w:tc>
          <w:tcPr>
            <w:tcW w:w="640" w:type="pct"/>
            <w:vMerge/>
            <w:vAlign w:val="center"/>
            <w:hideMark/>
          </w:tcPr>
          <w:p w14:paraId="3767F669" w14:textId="77777777" w:rsidR="00565038" w:rsidRPr="008239C6" w:rsidRDefault="00565038" w:rsidP="002D640D">
            <w:pPr>
              <w:rPr>
                <w:rFonts w:ascii="Times New Roman" w:hAnsi="Times New Roman" w:cs="Times New Roman"/>
                <w:sz w:val="18"/>
                <w:szCs w:val="18"/>
              </w:rPr>
            </w:pPr>
          </w:p>
        </w:tc>
        <w:tc>
          <w:tcPr>
            <w:tcW w:w="843" w:type="pct"/>
            <w:tcBorders>
              <w:top w:val="nil"/>
              <w:left w:val="nil"/>
              <w:bottom w:val="dashed" w:sz="4" w:space="0" w:color="auto"/>
              <w:right w:val="nil"/>
            </w:tcBorders>
            <w:shd w:val="clear" w:color="auto" w:fill="auto"/>
            <w:noWrap/>
            <w:vAlign w:val="center"/>
            <w:hideMark/>
          </w:tcPr>
          <w:p w14:paraId="2A64F808" w14:textId="77777777" w:rsidR="00565038" w:rsidRPr="008239C6" w:rsidRDefault="00565038" w:rsidP="002D640D">
            <w:pPr>
              <w:jc w:val="right"/>
              <w:rPr>
                <w:rFonts w:ascii="Times New Roman" w:hAnsi="Times New Roman" w:cs="Times New Roman"/>
                <w:sz w:val="18"/>
                <w:szCs w:val="18"/>
              </w:rPr>
            </w:pPr>
            <w:r w:rsidRPr="008239C6">
              <w:rPr>
                <w:rFonts w:ascii="Times New Roman" w:hAnsi="Times New Roman" w:cs="Times New Roman"/>
                <w:sz w:val="18"/>
                <w:szCs w:val="18"/>
              </w:rPr>
              <w:t>Empathy</w:t>
            </w:r>
          </w:p>
        </w:tc>
        <w:tc>
          <w:tcPr>
            <w:tcW w:w="1822" w:type="pct"/>
            <w:tcBorders>
              <w:top w:val="nil"/>
              <w:left w:val="nil"/>
              <w:bottom w:val="dashed" w:sz="4" w:space="0" w:color="auto"/>
              <w:right w:val="nil"/>
            </w:tcBorders>
            <w:shd w:val="clear" w:color="auto" w:fill="auto"/>
            <w:noWrap/>
            <w:vAlign w:val="center"/>
            <w:hideMark/>
          </w:tcPr>
          <w:p w14:paraId="7E8C153B"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Empathic perspective taking &amp; empathic awareness related to VMR</w:t>
            </w:r>
          </w:p>
        </w:tc>
        <w:tc>
          <w:tcPr>
            <w:tcW w:w="318" w:type="pct"/>
            <w:tcBorders>
              <w:top w:val="nil"/>
              <w:left w:val="nil"/>
              <w:bottom w:val="dashed" w:sz="4" w:space="0" w:color="auto"/>
              <w:right w:val="nil"/>
            </w:tcBorders>
            <w:shd w:val="clear" w:color="auto" w:fill="auto"/>
            <w:noWrap/>
            <w:vAlign w:val="center"/>
            <w:hideMark/>
          </w:tcPr>
          <w:p w14:paraId="5F177FD4"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3</w:t>
            </w:r>
          </w:p>
        </w:tc>
        <w:tc>
          <w:tcPr>
            <w:tcW w:w="318" w:type="pct"/>
            <w:vMerge/>
            <w:tcBorders>
              <w:bottom w:val="dashed" w:sz="4" w:space="0" w:color="auto"/>
            </w:tcBorders>
            <w:vAlign w:val="center"/>
            <w:hideMark/>
          </w:tcPr>
          <w:p w14:paraId="238FCA8C" w14:textId="77777777" w:rsidR="00565038" w:rsidRPr="008239C6" w:rsidRDefault="00565038" w:rsidP="002D640D">
            <w:pPr>
              <w:rPr>
                <w:rFonts w:ascii="Times New Roman" w:hAnsi="Times New Roman" w:cs="Times New Roman"/>
                <w:sz w:val="18"/>
                <w:szCs w:val="18"/>
              </w:rPr>
            </w:pPr>
          </w:p>
        </w:tc>
        <w:tc>
          <w:tcPr>
            <w:tcW w:w="318" w:type="pct"/>
            <w:tcBorders>
              <w:top w:val="nil"/>
              <w:left w:val="nil"/>
              <w:bottom w:val="dashed" w:sz="4" w:space="0" w:color="auto"/>
              <w:right w:val="nil"/>
            </w:tcBorders>
            <w:shd w:val="clear" w:color="auto" w:fill="auto"/>
            <w:noWrap/>
            <w:vAlign w:val="center"/>
            <w:hideMark/>
          </w:tcPr>
          <w:p w14:paraId="5E5A313A"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0.7</w:t>
            </w:r>
          </w:p>
        </w:tc>
      </w:tr>
      <w:tr w:rsidR="00565038" w:rsidRPr="00E47B4E" w14:paraId="21ABABC2" w14:textId="77777777" w:rsidTr="002D640D">
        <w:trPr>
          <w:gridAfter w:val="1"/>
          <w:wAfter w:w="741" w:type="pct"/>
          <w:trHeight w:val="320"/>
        </w:trPr>
        <w:tc>
          <w:tcPr>
            <w:tcW w:w="640" w:type="pct"/>
            <w:tcBorders>
              <w:top w:val="nil"/>
              <w:left w:val="nil"/>
              <w:right w:val="nil"/>
            </w:tcBorders>
            <w:shd w:val="clear" w:color="auto" w:fill="auto"/>
            <w:noWrap/>
            <w:vAlign w:val="center"/>
            <w:hideMark/>
          </w:tcPr>
          <w:p w14:paraId="61847466"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Self-efficacy</w:t>
            </w:r>
          </w:p>
        </w:tc>
        <w:tc>
          <w:tcPr>
            <w:tcW w:w="843" w:type="pct"/>
            <w:tcBorders>
              <w:top w:val="dashed" w:sz="4" w:space="0" w:color="auto"/>
              <w:left w:val="nil"/>
              <w:right w:val="nil"/>
            </w:tcBorders>
            <w:shd w:val="clear" w:color="auto" w:fill="auto"/>
            <w:noWrap/>
            <w:vAlign w:val="center"/>
            <w:hideMark/>
          </w:tcPr>
          <w:p w14:paraId="3172464C" w14:textId="77777777" w:rsidR="00565038" w:rsidRPr="008239C6" w:rsidRDefault="00565038" w:rsidP="002D640D">
            <w:pPr>
              <w:jc w:val="center"/>
              <w:rPr>
                <w:rFonts w:ascii="Times New Roman" w:hAnsi="Times New Roman" w:cs="Times New Roman"/>
                <w:sz w:val="18"/>
                <w:szCs w:val="18"/>
              </w:rPr>
            </w:pPr>
            <w:r w:rsidRPr="008239C6">
              <w:rPr>
                <w:rFonts w:ascii="Times New Roman" w:hAnsi="Times New Roman" w:cs="Times New Roman"/>
                <w:noProof/>
                <w:sz w:val="18"/>
                <w:szCs w:val="18"/>
              </w:rPr>
              <w:t>-</w:t>
            </w:r>
          </w:p>
        </w:tc>
        <w:tc>
          <w:tcPr>
            <w:tcW w:w="1822" w:type="pct"/>
            <w:tcBorders>
              <w:top w:val="dashed" w:sz="4" w:space="0" w:color="auto"/>
              <w:left w:val="nil"/>
              <w:right w:val="nil"/>
            </w:tcBorders>
            <w:shd w:val="clear" w:color="auto" w:fill="auto"/>
            <w:noWrap/>
            <w:vAlign w:val="center"/>
            <w:hideMark/>
          </w:tcPr>
          <w:p w14:paraId="07FF91E7"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Awareness on the personal capacity to assess factors related VMR</w:t>
            </w:r>
          </w:p>
        </w:tc>
        <w:tc>
          <w:tcPr>
            <w:tcW w:w="318" w:type="pct"/>
            <w:tcBorders>
              <w:top w:val="dashed" w:sz="4" w:space="0" w:color="auto"/>
              <w:left w:val="nil"/>
              <w:right w:val="nil"/>
            </w:tcBorders>
            <w:shd w:val="clear" w:color="auto" w:fill="auto"/>
            <w:noWrap/>
            <w:vAlign w:val="center"/>
            <w:hideMark/>
          </w:tcPr>
          <w:p w14:paraId="728CF88C"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4</w:t>
            </w:r>
          </w:p>
        </w:tc>
        <w:tc>
          <w:tcPr>
            <w:tcW w:w="318" w:type="pct"/>
            <w:tcBorders>
              <w:top w:val="dashed" w:sz="4" w:space="0" w:color="auto"/>
              <w:left w:val="nil"/>
              <w:right w:val="nil"/>
            </w:tcBorders>
            <w:shd w:val="clear" w:color="auto" w:fill="auto"/>
            <w:noWrap/>
            <w:vAlign w:val="center"/>
            <w:hideMark/>
          </w:tcPr>
          <w:p w14:paraId="25280474"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0.87</w:t>
            </w:r>
          </w:p>
        </w:tc>
        <w:tc>
          <w:tcPr>
            <w:tcW w:w="318" w:type="pct"/>
            <w:tcBorders>
              <w:top w:val="dashed" w:sz="4" w:space="0" w:color="auto"/>
              <w:left w:val="nil"/>
              <w:right w:val="nil"/>
            </w:tcBorders>
            <w:shd w:val="clear" w:color="auto" w:fill="auto"/>
            <w:noWrap/>
            <w:vAlign w:val="center"/>
            <w:hideMark/>
          </w:tcPr>
          <w:p w14:paraId="0B3F97B5"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 </w:t>
            </w:r>
          </w:p>
        </w:tc>
      </w:tr>
      <w:tr w:rsidR="00565038" w:rsidRPr="00E47B4E" w14:paraId="7E90B2FC" w14:textId="77777777" w:rsidTr="002D640D">
        <w:trPr>
          <w:gridAfter w:val="1"/>
          <w:wAfter w:w="741" w:type="pct"/>
          <w:trHeight w:val="320"/>
        </w:trPr>
        <w:tc>
          <w:tcPr>
            <w:tcW w:w="640" w:type="pct"/>
            <w:tcBorders>
              <w:top w:val="nil"/>
              <w:left w:val="nil"/>
              <w:bottom w:val="single" w:sz="2" w:space="0" w:color="auto"/>
              <w:right w:val="nil"/>
            </w:tcBorders>
            <w:shd w:val="clear" w:color="auto" w:fill="auto"/>
            <w:noWrap/>
            <w:vAlign w:val="center"/>
            <w:hideMark/>
          </w:tcPr>
          <w:p w14:paraId="51E9035F"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Knowledge</w:t>
            </w:r>
          </w:p>
        </w:tc>
        <w:tc>
          <w:tcPr>
            <w:tcW w:w="843" w:type="pct"/>
            <w:tcBorders>
              <w:top w:val="nil"/>
              <w:left w:val="nil"/>
              <w:bottom w:val="single" w:sz="2" w:space="0" w:color="auto"/>
              <w:right w:val="nil"/>
            </w:tcBorders>
            <w:shd w:val="clear" w:color="auto" w:fill="auto"/>
            <w:noWrap/>
            <w:vAlign w:val="center"/>
            <w:hideMark/>
          </w:tcPr>
          <w:p w14:paraId="733341CE" w14:textId="77777777" w:rsidR="00565038" w:rsidRPr="008239C6" w:rsidRDefault="00565038" w:rsidP="002D640D">
            <w:pPr>
              <w:jc w:val="center"/>
              <w:rPr>
                <w:rFonts w:ascii="Times New Roman" w:hAnsi="Times New Roman" w:cs="Times New Roman"/>
                <w:sz w:val="18"/>
                <w:szCs w:val="18"/>
              </w:rPr>
            </w:pPr>
            <w:r w:rsidRPr="008239C6">
              <w:rPr>
                <w:rFonts w:ascii="Times New Roman" w:hAnsi="Times New Roman" w:cs="Times New Roman"/>
                <w:noProof/>
                <w:sz w:val="18"/>
                <w:szCs w:val="18"/>
              </w:rPr>
              <w:t>-</w:t>
            </w:r>
          </w:p>
        </w:tc>
        <w:tc>
          <w:tcPr>
            <w:tcW w:w="1822" w:type="pct"/>
            <w:tcBorders>
              <w:top w:val="nil"/>
              <w:left w:val="nil"/>
              <w:bottom w:val="single" w:sz="2" w:space="0" w:color="auto"/>
              <w:right w:val="nil"/>
            </w:tcBorders>
            <w:shd w:val="clear" w:color="auto" w:fill="auto"/>
            <w:noWrap/>
            <w:vAlign w:val="center"/>
            <w:hideMark/>
          </w:tcPr>
          <w:p w14:paraId="10706410"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 xml:space="preserve">Objective epidemiological/public health knowledge-base on VMRs </w:t>
            </w:r>
          </w:p>
        </w:tc>
        <w:tc>
          <w:tcPr>
            <w:tcW w:w="318" w:type="pct"/>
            <w:tcBorders>
              <w:top w:val="nil"/>
              <w:left w:val="nil"/>
              <w:bottom w:val="single" w:sz="2" w:space="0" w:color="auto"/>
              <w:right w:val="nil"/>
            </w:tcBorders>
            <w:shd w:val="clear" w:color="auto" w:fill="auto"/>
            <w:noWrap/>
            <w:vAlign w:val="center"/>
            <w:hideMark/>
          </w:tcPr>
          <w:p w14:paraId="42BB86C4"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5</w:t>
            </w:r>
          </w:p>
        </w:tc>
        <w:tc>
          <w:tcPr>
            <w:tcW w:w="318" w:type="pct"/>
            <w:tcBorders>
              <w:top w:val="nil"/>
              <w:left w:val="nil"/>
              <w:bottom w:val="single" w:sz="2" w:space="0" w:color="auto"/>
              <w:right w:val="nil"/>
            </w:tcBorders>
            <w:shd w:val="clear" w:color="auto" w:fill="auto"/>
            <w:noWrap/>
            <w:vAlign w:val="center"/>
            <w:hideMark/>
          </w:tcPr>
          <w:p w14:paraId="2F2DD596"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w:t>
            </w:r>
          </w:p>
        </w:tc>
        <w:tc>
          <w:tcPr>
            <w:tcW w:w="318" w:type="pct"/>
            <w:tcBorders>
              <w:top w:val="nil"/>
              <w:left w:val="nil"/>
              <w:bottom w:val="single" w:sz="2" w:space="0" w:color="auto"/>
              <w:right w:val="nil"/>
            </w:tcBorders>
            <w:shd w:val="clear" w:color="auto" w:fill="auto"/>
            <w:noWrap/>
            <w:vAlign w:val="center"/>
            <w:hideMark/>
          </w:tcPr>
          <w:p w14:paraId="0C67A0CE" w14:textId="77777777" w:rsidR="00565038" w:rsidRPr="008239C6" w:rsidRDefault="00565038" w:rsidP="002D640D">
            <w:pPr>
              <w:rPr>
                <w:rFonts w:ascii="Times New Roman" w:hAnsi="Times New Roman" w:cs="Times New Roman"/>
                <w:sz w:val="18"/>
                <w:szCs w:val="18"/>
              </w:rPr>
            </w:pPr>
            <w:r w:rsidRPr="008239C6">
              <w:rPr>
                <w:rFonts w:ascii="Times New Roman" w:hAnsi="Times New Roman" w:cs="Times New Roman"/>
                <w:sz w:val="18"/>
                <w:szCs w:val="18"/>
              </w:rPr>
              <w:t> </w:t>
            </w:r>
          </w:p>
        </w:tc>
      </w:tr>
      <w:tr w:rsidR="00565038" w:rsidRPr="00E47B4E" w14:paraId="033F56C8" w14:textId="77777777" w:rsidTr="002D640D">
        <w:trPr>
          <w:trHeight w:val="320"/>
        </w:trPr>
        <w:tc>
          <w:tcPr>
            <w:tcW w:w="5000" w:type="pct"/>
            <w:gridSpan w:val="7"/>
            <w:tcBorders>
              <w:top w:val="single" w:sz="2" w:space="0" w:color="auto"/>
              <w:left w:val="nil"/>
              <w:right w:val="nil"/>
            </w:tcBorders>
            <w:shd w:val="clear" w:color="auto" w:fill="auto"/>
            <w:noWrap/>
            <w:vAlign w:val="center"/>
          </w:tcPr>
          <w:p w14:paraId="102F5793" w14:textId="77777777" w:rsidR="00565038" w:rsidRPr="008239C6" w:rsidRDefault="00565038" w:rsidP="002D640D">
            <w:pPr>
              <w:rPr>
                <w:rFonts w:ascii="Times New Roman" w:hAnsi="Times New Roman" w:cs="Times New Roman"/>
                <w:noProof/>
                <w:sz w:val="18"/>
                <w:szCs w:val="18"/>
              </w:rPr>
            </w:pPr>
            <w:r w:rsidRPr="00E47B4E">
              <w:rPr>
                <w:rFonts w:ascii="Times New Roman" w:hAnsi="Times New Roman" w:cs="Times New Roman"/>
                <w:noProof/>
                <w:sz w:val="18"/>
                <w:szCs w:val="18"/>
              </w:rPr>
              <w:t>Note: The table presents the reliability analysis results for each subscale and item of the outcome indicators. Cronbach's alpha coefficient is reported for each subscale and for the overall scale, indicating the internal consistency reliability. The number of items included in each subscale is reported.</w:t>
            </w:r>
          </w:p>
        </w:tc>
      </w:tr>
    </w:tbl>
    <w:p w14:paraId="2FF0E8DC" w14:textId="77777777" w:rsidR="00565038" w:rsidRDefault="00565038" w:rsidP="00565038">
      <w:pPr>
        <w:spacing w:after="0"/>
      </w:pPr>
      <w:r>
        <w:br w:type="page"/>
      </w:r>
    </w:p>
    <w:p w14:paraId="48220E39" w14:textId="77777777" w:rsidR="00565038" w:rsidRDefault="00565038" w:rsidP="00565038">
      <w:pPr>
        <w:spacing w:line="480" w:lineRule="auto"/>
        <w:jc w:val="both"/>
      </w:pPr>
    </w:p>
    <w:p w14:paraId="5D888A6E" w14:textId="77777777" w:rsidR="00565038" w:rsidRPr="00B07833" w:rsidRDefault="00565038" w:rsidP="00565038">
      <w:pPr>
        <w:pStyle w:val="Caption"/>
        <w:keepNext/>
        <w:jc w:val="both"/>
        <w:rPr>
          <w:rFonts w:ascii="Times New Roman" w:hAnsi="Times New Roman" w:cs="Times New Roman"/>
          <w:i w:val="0"/>
          <w:iCs w:val="0"/>
          <w:color w:val="000000" w:themeColor="text1"/>
        </w:rPr>
      </w:pPr>
      <w:bookmarkStart w:id="2" w:name="_Ref152791003"/>
      <w:r w:rsidRPr="00B07833">
        <w:rPr>
          <w:rFonts w:ascii="Times New Roman" w:hAnsi="Times New Roman" w:cs="Times New Roman"/>
          <w:i w:val="0"/>
          <w:iCs w:val="0"/>
          <w:color w:val="000000" w:themeColor="text1"/>
        </w:rPr>
        <w:t xml:space="preserve">Supplemental Digital Appendix </w:t>
      </w:r>
      <w:r w:rsidRPr="00B07833">
        <w:rPr>
          <w:rFonts w:ascii="Times New Roman" w:hAnsi="Times New Roman" w:cs="Times New Roman"/>
          <w:i w:val="0"/>
          <w:iCs w:val="0"/>
          <w:color w:val="000000" w:themeColor="text1"/>
        </w:rPr>
        <w:fldChar w:fldCharType="begin"/>
      </w:r>
      <w:r w:rsidRPr="00B07833">
        <w:rPr>
          <w:rFonts w:ascii="Times New Roman" w:hAnsi="Times New Roman" w:cs="Times New Roman"/>
          <w:i w:val="0"/>
          <w:iCs w:val="0"/>
          <w:color w:val="000000" w:themeColor="text1"/>
        </w:rPr>
        <w:instrText xml:space="preserve"> SEQ Supplemental_Digital_Appendix \* ARABIC </w:instrText>
      </w:r>
      <w:r w:rsidRPr="00B07833">
        <w:rPr>
          <w:rFonts w:ascii="Times New Roman" w:hAnsi="Times New Roman" w:cs="Times New Roman"/>
          <w:i w:val="0"/>
          <w:iCs w:val="0"/>
          <w:color w:val="000000" w:themeColor="text1"/>
        </w:rPr>
        <w:fldChar w:fldCharType="separate"/>
      </w:r>
      <w:r>
        <w:rPr>
          <w:rFonts w:ascii="Times New Roman" w:hAnsi="Times New Roman" w:cs="Times New Roman"/>
          <w:i w:val="0"/>
          <w:iCs w:val="0"/>
          <w:noProof/>
          <w:color w:val="000000" w:themeColor="text1"/>
        </w:rPr>
        <w:t>4</w:t>
      </w:r>
      <w:r w:rsidRPr="00B07833">
        <w:rPr>
          <w:rFonts w:ascii="Times New Roman" w:hAnsi="Times New Roman" w:cs="Times New Roman"/>
          <w:i w:val="0"/>
          <w:iCs w:val="0"/>
          <w:color w:val="000000" w:themeColor="text1"/>
        </w:rPr>
        <w:fldChar w:fldCharType="end"/>
      </w:r>
      <w:r w:rsidRPr="00B07833">
        <w:rPr>
          <w:rFonts w:ascii="Times New Roman" w:hAnsi="Times New Roman" w:cs="Times New Roman"/>
          <w:i w:val="0"/>
          <w:iCs w:val="0"/>
          <w:color w:val="000000" w:themeColor="text1"/>
        </w:rPr>
        <w:t>: Pretest to assess the impact on Intercultural Competence, Self-efficacy, and Knowledge of the Refuge Escape Room</w:t>
      </w:r>
      <w:bookmarkEnd w:id="2"/>
    </w:p>
    <w:p w14:paraId="5A33831D" w14:textId="77777777" w:rsidR="00565038" w:rsidRPr="0015672D" w:rsidRDefault="00565038" w:rsidP="00565038">
      <w:pPr>
        <w:spacing w:line="480" w:lineRule="auto"/>
        <w:jc w:val="both"/>
        <w:rPr>
          <w:rFonts w:ascii="Times New Roman" w:hAnsi="Times New Roman" w:cs="Times New Roman"/>
          <w:szCs w:val="21"/>
        </w:rPr>
      </w:pPr>
      <w:r w:rsidRPr="00B07833">
        <w:rPr>
          <w:rFonts w:ascii="Times New Roman" w:hAnsi="Times New Roman" w:cs="Times New Roman"/>
          <w:noProof/>
          <w:szCs w:val="21"/>
          <w:lang w:val="ca-ES" w:eastAsia="ca-ES"/>
        </w:rPr>
        <w:drawing>
          <wp:inline distT="0" distB="0" distL="0" distR="0" wp14:anchorId="2CF384CC" wp14:editId="4543A0AE">
            <wp:extent cx="5381427" cy="7888581"/>
            <wp:effectExtent l="19050" t="19050" r="10160" b="17780"/>
            <wp:docPr id="10" name="Picture 10" descr="A paper with text and a box&#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aper with text and a box&#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85812" cy="7895009"/>
                    </a:xfrm>
                    <a:prstGeom prst="rect">
                      <a:avLst/>
                    </a:prstGeom>
                    <a:noFill/>
                    <a:ln>
                      <a:solidFill>
                        <a:schemeClr val="accent1"/>
                      </a:solidFill>
                    </a:ln>
                  </pic:spPr>
                </pic:pic>
              </a:graphicData>
            </a:graphic>
          </wp:inline>
        </w:drawing>
      </w:r>
    </w:p>
    <w:p w14:paraId="0539D19F" w14:textId="77777777" w:rsidR="00565038" w:rsidRPr="0015672D" w:rsidRDefault="00565038" w:rsidP="00565038">
      <w:pPr>
        <w:spacing w:line="480" w:lineRule="auto"/>
        <w:jc w:val="both"/>
        <w:rPr>
          <w:rFonts w:ascii="Times New Roman" w:hAnsi="Times New Roman" w:cs="Times New Roman"/>
          <w:szCs w:val="21"/>
        </w:rPr>
      </w:pPr>
      <w:r w:rsidRPr="00B07833">
        <w:rPr>
          <w:rFonts w:ascii="Times New Roman" w:hAnsi="Times New Roman" w:cs="Times New Roman"/>
          <w:noProof/>
          <w:szCs w:val="21"/>
          <w:lang w:val="ca-ES" w:eastAsia="ca-ES"/>
        </w:rPr>
        <w:lastRenderedPageBreak/>
        <w:drawing>
          <wp:inline distT="0" distB="0" distL="0" distR="0" wp14:anchorId="769A7755" wp14:editId="4E78022F">
            <wp:extent cx="5531783" cy="7889059"/>
            <wp:effectExtent l="19050" t="19050" r="12065" b="17145"/>
            <wp:docPr id="11" name="Picture 11" descr="A questionnaire with many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questionnaire with many boxes&#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1796" cy="7889077"/>
                    </a:xfrm>
                    <a:prstGeom prst="rect">
                      <a:avLst/>
                    </a:prstGeom>
                    <a:noFill/>
                    <a:ln>
                      <a:solidFill>
                        <a:schemeClr val="accent1"/>
                      </a:solidFill>
                    </a:ln>
                  </pic:spPr>
                </pic:pic>
              </a:graphicData>
            </a:graphic>
          </wp:inline>
        </w:drawing>
      </w:r>
    </w:p>
    <w:p w14:paraId="162B6B53" w14:textId="77777777" w:rsidR="00565038" w:rsidRPr="0015672D" w:rsidRDefault="00565038" w:rsidP="00565038">
      <w:pPr>
        <w:spacing w:line="480" w:lineRule="auto"/>
        <w:jc w:val="both"/>
        <w:rPr>
          <w:rFonts w:ascii="Times New Roman" w:hAnsi="Times New Roman" w:cs="Times New Roman"/>
          <w:szCs w:val="21"/>
        </w:rPr>
      </w:pPr>
    </w:p>
    <w:p w14:paraId="1AC10939" w14:textId="77777777" w:rsidR="00565038" w:rsidRPr="0015672D" w:rsidRDefault="00565038" w:rsidP="00565038">
      <w:pPr>
        <w:spacing w:line="480" w:lineRule="auto"/>
        <w:jc w:val="both"/>
        <w:rPr>
          <w:rFonts w:ascii="Times New Roman" w:hAnsi="Times New Roman" w:cs="Times New Roman"/>
          <w:szCs w:val="21"/>
        </w:rPr>
      </w:pPr>
    </w:p>
    <w:p w14:paraId="7A8BA0C7" w14:textId="77777777" w:rsidR="00565038" w:rsidRPr="00B07833" w:rsidRDefault="00565038" w:rsidP="00565038">
      <w:pPr>
        <w:pStyle w:val="Caption"/>
        <w:keepNext/>
        <w:jc w:val="both"/>
        <w:rPr>
          <w:rFonts w:ascii="Times New Roman" w:hAnsi="Times New Roman" w:cs="Times New Roman"/>
          <w:i w:val="0"/>
          <w:iCs w:val="0"/>
          <w:color w:val="000000" w:themeColor="text1"/>
        </w:rPr>
      </w:pPr>
      <w:r w:rsidRPr="00B07833">
        <w:rPr>
          <w:rFonts w:ascii="Times New Roman" w:hAnsi="Times New Roman" w:cs="Times New Roman"/>
          <w:i w:val="0"/>
          <w:iCs w:val="0"/>
          <w:color w:val="000000" w:themeColor="text1"/>
        </w:rPr>
        <w:lastRenderedPageBreak/>
        <w:t xml:space="preserve">Supplemental Digital Appendix </w:t>
      </w:r>
      <w:r w:rsidRPr="00B07833">
        <w:rPr>
          <w:rFonts w:ascii="Times New Roman" w:hAnsi="Times New Roman" w:cs="Times New Roman"/>
          <w:i w:val="0"/>
          <w:iCs w:val="0"/>
          <w:color w:val="000000" w:themeColor="text1"/>
        </w:rPr>
        <w:fldChar w:fldCharType="begin"/>
      </w:r>
      <w:r w:rsidRPr="00B07833">
        <w:rPr>
          <w:rFonts w:ascii="Times New Roman" w:hAnsi="Times New Roman" w:cs="Times New Roman"/>
          <w:i w:val="0"/>
          <w:iCs w:val="0"/>
          <w:color w:val="000000" w:themeColor="text1"/>
        </w:rPr>
        <w:instrText xml:space="preserve"> SEQ Supplemental_Digital_Appendix \* ARABIC </w:instrText>
      </w:r>
      <w:r w:rsidRPr="00B07833">
        <w:rPr>
          <w:rFonts w:ascii="Times New Roman" w:hAnsi="Times New Roman" w:cs="Times New Roman"/>
          <w:i w:val="0"/>
          <w:iCs w:val="0"/>
          <w:color w:val="000000" w:themeColor="text1"/>
        </w:rPr>
        <w:fldChar w:fldCharType="separate"/>
      </w:r>
      <w:r>
        <w:rPr>
          <w:rFonts w:ascii="Times New Roman" w:hAnsi="Times New Roman" w:cs="Times New Roman"/>
          <w:i w:val="0"/>
          <w:iCs w:val="0"/>
          <w:noProof/>
          <w:color w:val="000000" w:themeColor="text1"/>
        </w:rPr>
        <w:t>5</w:t>
      </w:r>
      <w:r w:rsidRPr="00B07833">
        <w:rPr>
          <w:rFonts w:ascii="Times New Roman" w:hAnsi="Times New Roman" w:cs="Times New Roman"/>
          <w:i w:val="0"/>
          <w:iCs w:val="0"/>
          <w:color w:val="000000" w:themeColor="text1"/>
        </w:rPr>
        <w:fldChar w:fldCharType="end"/>
      </w:r>
      <w:r w:rsidRPr="00B07833">
        <w:rPr>
          <w:rFonts w:ascii="Times New Roman" w:hAnsi="Times New Roman" w:cs="Times New Roman"/>
          <w:i w:val="0"/>
          <w:iCs w:val="0"/>
          <w:color w:val="000000" w:themeColor="text1"/>
        </w:rPr>
        <w:t>: Posttest to assess the impact on Intercultural Competence, Self-efficacy, and Knowledge of the Refuge Escape Room</w:t>
      </w:r>
    </w:p>
    <w:p w14:paraId="59A3E0A9" w14:textId="77777777" w:rsidR="00565038" w:rsidRPr="0015672D" w:rsidRDefault="00565038" w:rsidP="00565038">
      <w:pPr>
        <w:spacing w:line="480" w:lineRule="auto"/>
        <w:jc w:val="both"/>
        <w:rPr>
          <w:rFonts w:ascii="Times New Roman" w:hAnsi="Times New Roman" w:cs="Times New Roman"/>
          <w:szCs w:val="21"/>
        </w:rPr>
      </w:pPr>
      <w:r w:rsidRPr="00B07833">
        <w:rPr>
          <w:rFonts w:ascii="Times New Roman" w:hAnsi="Times New Roman" w:cs="Times New Roman"/>
          <w:noProof/>
          <w:szCs w:val="21"/>
          <w:lang w:val="ca-ES" w:eastAsia="ca-ES"/>
        </w:rPr>
        <w:drawing>
          <wp:inline distT="0" distB="0" distL="0" distR="0" wp14:anchorId="36975B04" wp14:editId="6CF8B025">
            <wp:extent cx="5170381" cy="7441564"/>
            <wp:effectExtent l="19050" t="19050" r="11430" b="26670"/>
            <wp:docPr id="12" name="Picture 12" descr="A questionnaire with multiple ans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questionnaire with multiple answer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6516" cy="7450394"/>
                    </a:xfrm>
                    <a:prstGeom prst="rect">
                      <a:avLst/>
                    </a:prstGeom>
                    <a:noFill/>
                    <a:ln>
                      <a:solidFill>
                        <a:schemeClr val="accent1"/>
                      </a:solidFill>
                    </a:ln>
                  </pic:spPr>
                </pic:pic>
              </a:graphicData>
            </a:graphic>
          </wp:inline>
        </w:drawing>
      </w:r>
    </w:p>
    <w:p w14:paraId="7EEEA2A9" w14:textId="77777777" w:rsidR="00565038" w:rsidRPr="0015672D" w:rsidRDefault="00565038" w:rsidP="00565038">
      <w:pPr>
        <w:spacing w:line="480" w:lineRule="auto"/>
        <w:jc w:val="both"/>
        <w:rPr>
          <w:rFonts w:ascii="Times New Roman" w:hAnsi="Times New Roman" w:cs="Times New Roman"/>
          <w:szCs w:val="21"/>
        </w:rPr>
        <w:sectPr w:rsidR="00565038" w:rsidRPr="0015672D" w:rsidSect="00565038">
          <w:pgSz w:w="11906" w:h="16838"/>
          <w:pgMar w:top="1440" w:right="1440" w:bottom="1440" w:left="1440" w:header="709" w:footer="709" w:gutter="0"/>
          <w:cols w:space="708"/>
          <w:docGrid w:linePitch="360"/>
        </w:sectPr>
      </w:pPr>
      <w:r w:rsidRPr="0015672D">
        <w:rPr>
          <w:rFonts w:ascii="Times New Roman" w:hAnsi="Times New Roman" w:cs="Times New Roman"/>
          <w:szCs w:val="21"/>
        </w:rPr>
        <w:t xml:space="preserve"> </w:t>
      </w:r>
    </w:p>
    <w:p w14:paraId="23E3237C" w14:textId="77777777" w:rsidR="00565038" w:rsidRPr="0015672D" w:rsidRDefault="00565038" w:rsidP="00565038">
      <w:pPr>
        <w:spacing w:line="480" w:lineRule="auto"/>
        <w:jc w:val="both"/>
        <w:rPr>
          <w:rFonts w:ascii="Times New Roman" w:hAnsi="Times New Roman" w:cs="Times New Roman"/>
          <w:szCs w:val="21"/>
        </w:rPr>
      </w:pPr>
      <w:r w:rsidRPr="00B07833">
        <w:rPr>
          <w:rFonts w:ascii="Times New Roman" w:hAnsi="Times New Roman" w:cs="Times New Roman"/>
          <w:noProof/>
          <w:szCs w:val="21"/>
          <w:lang w:val="ca-ES" w:eastAsia="ca-ES"/>
        </w:rPr>
        <w:lastRenderedPageBreak/>
        <w:drawing>
          <wp:inline distT="0" distB="0" distL="0" distR="0" wp14:anchorId="6D23B3A6" wp14:editId="1B8A6AF0">
            <wp:extent cx="5490280" cy="7811009"/>
            <wp:effectExtent l="19050" t="19050" r="15240" b="19050"/>
            <wp:docPr id="13" name="Picture 13" descr="A paper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aper with text and images&#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0292" cy="7811027"/>
                    </a:xfrm>
                    <a:prstGeom prst="rect">
                      <a:avLst/>
                    </a:prstGeom>
                    <a:noFill/>
                    <a:ln>
                      <a:solidFill>
                        <a:schemeClr val="accent1"/>
                      </a:solidFill>
                    </a:ln>
                  </pic:spPr>
                </pic:pic>
              </a:graphicData>
            </a:graphic>
          </wp:inline>
        </w:drawing>
      </w:r>
    </w:p>
    <w:p w14:paraId="5BD509B6" w14:textId="77777777" w:rsidR="00565038" w:rsidRPr="00543D04" w:rsidRDefault="00565038" w:rsidP="00565038">
      <w:pPr>
        <w:spacing w:after="0"/>
        <w:rPr>
          <w:rFonts w:ascii="Times New Roman" w:hAnsi="Times New Roman" w:cs="Times New Roman"/>
          <w:szCs w:val="21"/>
        </w:rPr>
      </w:pPr>
    </w:p>
    <w:p w14:paraId="47F57BFC" w14:textId="77777777" w:rsidR="009002C6" w:rsidRDefault="009002C6"/>
    <w:sectPr w:rsidR="009002C6" w:rsidSect="0056503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38"/>
    <w:rsid w:val="00316D26"/>
    <w:rsid w:val="00565038"/>
    <w:rsid w:val="009002C6"/>
    <w:rsid w:val="00921D6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E379"/>
  <w15:chartTrackingRefBased/>
  <w15:docId w15:val="{17FFC8E2-3193-4508-80F3-FEFB3E8B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038"/>
    <w:pPr>
      <w:spacing w:after="60" w:line="240" w:lineRule="auto"/>
    </w:pPr>
    <w:rPr>
      <w:rFonts w:ascii="Calibri" w:hAnsi="Calibri"/>
      <w:kern w:val="0"/>
      <w:sz w:val="21"/>
      <w:szCs w:val="24"/>
      <w:lang w:val="en-US"/>
      <w14:ligatures w14:val="none"/>
    </w:rPr>
  </w:style>
  <w:style w:type="paragraph" w:styleId="Heading1">
    <w:name w:val="heading 1"/>
    <w:basedOn w:val="Normal"/>
    <w:next w:val="Normal"/>
    <w:link w:val="Heading1Char"/>
    <w:uiPriority w:val="9"/>
    <w:qFormat/>
    <w:rsid w:val="0056503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56503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56503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56503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IN"/>
      <w14:ligatures w14:val="standardContextual"/>
    </w:rPr>
  </w:style>
  <w:style w:type="paragraph" w:styleId="Heading5">
    <w:name w:val="heading 5"/>
    <w:basedOn w:val="Normal"/>
    <w:next w:val="Normal"/>
    <w:link w:val="Heading5Char"/>
    <w:uiPriority w:val="9"/>
    <w:semiHidden/>
    <w:unhideWhenUsed/>
    <w:qFormat/>
    <w:rsid w:val="0056503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IN"/>
      <w14:ligatures w14:val="standardContextual"/>
    </w:rPr>
  </w:style>
  <w:style w:type="paragraph" w:styleId="Heading6">
    <w:name w:val="heading 6"/>
    <w:basedOn w:val="Normal"/>
    <w:next w:val="Normal"/>
    <w:link w:val="Heading6Char"/>
    <w:uiPriority w:val="9"/>
    <w:semiHidden/>
    <w:unhideWhenUsed/>
    <w:qFormat/>
    <w:rsid w:val="00565038"/>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val="en-IN"/>
      <w14:ligatures w14:val="standardContextual"/>
    </w:rPr>
  </w:style>
  <w:style w:type="paragraph" w:styleId="Heading7">
    <w:name w:val="heading 7"/>
    <w:basedOn w:val="Normal"/>
    <w:next w:val="Normal"/>
    <w:link w:val="Heading7Char"/>
    <w:uiPriority w:val="9"/>
    <w:semiHidden/>
    <w:unhideWhenUsed/>
    <w:qFormat/>
    <w:rsid w:val="00565038"/>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val="en-IN"/>
      <w14:ligatures w14:val="standardContextual"/>
    </w:rPr>
  </w:style>
  <w:style w:type="paragraph" w:styleId="Heading8">
    <w:name w:val="heading 8"/>
    <w:basedOn w:val="Normal"/>
    <w:next w:val="Normal"/>
    <w:link w:val="Heading8Char"/>
    <w:uiPriority w:val="9"/>
    <w:semiHidden/>
    <w:unhideWhenUsed/>
    <w:qFormat/>
    <w:rsid w:val="00565038"/>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lang w:val="en-IN"/>
      <w14:ligatures w14:val="standardContextual"/>
    </w:rPr>
  </w:style>
  <w:style w:type="paragraph" w:styleId="Heading9">
    <w:name w:val="heading 9"/>
    <w:basedOn w:val="Normal"/>
    <w:next w:val="Normal"/>
    <w:link w:val="Heading9Char"/>
    <w:uiPriority w:val="9"/>
    <w:semiHidden/>
    <w:unhideWhenUsed/>
    <w:qFormat/>
    <w:rsid w:val="00565038"/>
    <w:pPr>
      <w:keepNext/>
      <w:keepLines/>
      <w:spacing w:after="0" w:line="259" w:lineRule="auto"/>
      <w:outlineLvl w:val="8"/>
    </w:pPr>
    <w:rPr>
      <w:rFonts w:asciiTheme="minorHAnsi" w:eastAsiaTheme="majorEastAsia" w:hAnsiTheme="minorHAnsi" w:cstheme="majorBidi"/>
      <w:color w:val="272727" w:themeColor="text1" w:themeTint="D8"/>
      <w:kern w:val="2"/>
      <w:sz w:val="22"/>
      <w:szCs w:val="2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0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0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0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0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0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038"/>
    <w:rPr>
      <w:rFonts w:eastAsiaTheme="majorEastAsia" w:cstheme="majorBidi"/>
      <w:color w:val="272727" w:themeColor="text1" w:themeTint="D8"/>
    </w:rPr>
  </w:style>
  <w:style w:type="paragraph" w:styleId="Title">
    <w:name w:val="Title"/>
    <w:basedOn w:val="Normal"/>
    <w:next w:val="Normal"/>
    <w:link w:val="TitleChar"/>
    <w:uiPriority w:val="10"/>
    <w:qFormat/>
    <w:rsid w:val="00565038"/>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5650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03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5650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038"/>
    <w:pPr>
      <w:spacing w:before="160" w:after="160" w:line="259" w:lineRule="auto"/>
      <w:jc w:val="center"/>
    </w:pPr>
    <w:rPr>
      <w:rFonts w:asciiTheme="minorHAnsi" w:hAnsiTheme="minorHAnsi"/>
      <w:i/>
      <w:iCs/>
      <w:color w:val="404040" w:themeColor="text1" w:themeTint="BF"/>
      <w:kern w:val="2"/>
      <w:sz w:val="22"/>
      <w:szCs w:val="22"/>
      <w:lang w:val="en-IN"/>
      <w14:ligatures w14:val="standardContextual"/>
    </w:rPr>
  </w:style>
  <w:style w:type="character" w:customStyle="1" w:styleId="QuoteChar">
    <w:name w:val="Quote Char"/>
    <w:basedOn w:val="DefaultParagraphFont"/>
    <w:link w:val="Quote"/>
    <w:uiPriority w:val="29"/>
    <w:rsid w:val="00565038"/>
    <w:rPr>
      <w:i/>
      <w:iCs/>
      <w:color w:val="404040" w:themeColor="text1" w:themeTint="BF"/>
    </w:rPr>
  </w:style>
  <w:style w:type="paragraph" w:styleId="ListParagraph">
    <w:name w:val="List Paragraph"/>
    <w:basedOn w:val="Normal"/>
    <w:uiPriority w:val="34"/>
    <w:qFormat/>
    <w:rsid w:val="00565038"/>
    <w:pPr>
      <w:spacing w:after="160" w:line="259" w:lineRule="auto"/>
      <w:ind w:left="720"/>
      <w:contextualSpacing/>
    </w:pPr>
    <w:rPr>
      <w:rFonts w:asciiTheme="minorHAnsi" w:hAnsiTheme="minorHAnsi"/>
      <w:kern w:val="2"/>
      <w:sz w:val="22"/>
      <w:szCs w:val="22"/>
      <w:lang w:val="en-IN"/>
      <w14:ligatures w14:val="standardContextual"/>
    </w:rPr>
  </w:style>
  <w:style w:type="character" w:styleId="IntenseEmphasis">
    <w:name w:val="Intense Emphasis"/>
    <w:basedOn w:val="DefaultParagraphFont"/>
    <w:uiPriority w:val="21"/>
    <w:qFormat/>
    <w:rsid w:val="00565038"/>
    <w:rPr>
      <w:i/>
      <w:iCs/>
      <w:color w:val="0F4761" w:themeColor="accent1" w:themeShade="BF"/>
    </w:rPr>
  </w:style>
  <w:style w:type="paragraph" w:styleId="IntenseQuote">
    <w:name w:val="Intense Quote"/>
    <w:basedOn w:val="Normal"/>
    <w:next w:val="Normal"/>
    <w:link w:val="IntenseQuoteChar"/>
    <w:uiPriority w:val="30"/>
    <w:qFormat/>
    <w:rsid w:val="0056503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lang w:val="en-IN"/>
      <w14:ligatures w14:val="standardContextual"/>
    </w:rPr>
  </w:style>
  <w:style w:type="character" w:customStyle="1" w:styleId="IntenseQuoteChar">
    <w:name w:val="Intense Quote Char"/>
    <w:basedOn w:val="DefaultParagraphFont"/>
    <w:link w:val="IntenseQuote"/>
    <w:uiPriority w:val="30"/>
    <w:rsid w:val="00565038"/>
    <w:rPr>
      <w:i/>
      <w:iCs/>
      <w:color w:val="0F4761" w:themeColor="accent1" w:themeShade="BF"/>
    </w:rPr>
  </w:style>
  <w:style w:type="character" w:styleId="IntenseReference">
    <w:name w:val="Intense Reference"/>
    <w:basedOn w:val="DefaultParagraphFont"/>
    <w:uiPriority w:val="32"/>
    <w:qFormat/>
    <w:rsid w:val="00565038"/>
    <w:rPr>
      <w:b/>
      <w:bCs/>
      <w:smallCaps/>
      <w:color w:val="0F4761" w:themeColor="accent1" w:themeShade="BF"/>
      <w:spacing w:val="5"/>
    </w:rPr>
  </w:style>
  <w:style w:type="paragraph" w:styleId="Caption">
    <w:name w:val="caption"/>
    <w:basedOn w:val="Normal"/>
    <w:next w:val="Normal"/>
    <w:uiPriority w:val="35"/>
    <w:unhideWhenUsed/>
    <w:qFormat/>
    <w:rsid w:val="00565038"/>
    <w:pPr>
      <w:spacing w:after="200"/>
    </w:pPr>
    <w:rPr>
      <w:i/>
      <w:iCs/>
      <w:color w:val="0E2841" w:themeColor="text2"/>
      <w:sz w:val="18"/>
      <w:szCs w:val="18"/>
    </w:rPr>
  </w:style>
  <w:style w:type="table" w:styleId="TableGrid">
    <w:name w:val="Table Grid"/>
    <w:basedOn w:val="TableNormal"/>
    <w:uiPriority w:val="39"/>
    <w:rsid w:val="00565038"/>
    <w:pPr>
      <w:spacing w:after="0" w:line="240" w:lineRule="auto"/>
    </w:pPr>
    <w:rPr>
      <w:kern w:val="0"/>
      <w:sz w:val="24"/>
      <w:szCs w:val="24"/>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539</Words>
  <Characters>3074</Characters>
  <Application>Microsoft Office Word</Application>
  <DocSecurity>0</DocSecurity>
  <Lines>25</Lines>
  <Paragraphs>7</Paragraphs>
  <ScaleCrop>false</ScaleCrop>
  <Company>Springer Nature</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2024-08-21T18:41:00Z</dcterms:created>
  <dcterms:modified xsi:type="dcterms:W3CDTF">2024-08-21T18:41:00Z</dcterms:modified>
</cp:coreProperties>
</file>