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480" w:lineRule="auto"/>
        <w:jc w:val="left"/>
        <w:rPr>
          <w:sz w:val="22"/>
          <w:szCs w:val="22"/>
        </w:rPr>
      </w:pPr>
      <w:bookmarkStart w:colFirst="0" w:colLast="0" w:name="_6og4l1k7tbio" w:id="0"/>
      <w:bookmarkEnd w:id="0"/>
      <w:r w:rsidDel="00000000" w:rsidR="00000000" w:rsidRPr="00000000">
        <w:rPr>
          <w:sz w:val="22"/>
          <w:szCs w:val="22"/>
          <w:rtl w:val="0"/>
        </w:rPr>
        <w:t xml:space="preserve">Supplementary Information</w:t>
      </w:r>
    </w:p>
    <w:p w:rsidR="00000000" w:rsidDel="00000000" w:rsidP="00000000" w:rsidRDefault="00000000" w:rsidRPr="00000000" w14:paraId="00000002">
      <w:pPr>
        <w:pStyle w:val="Heading1"/>
        <w:spacing w:line="480" w:lineRule="auto"/>
        <w:jc w:val="left"/>
        <w:rPr/>
      </w:pPr>
      <w:bookmarkStart w:colFirst="0" w:colLast="0" w:name="_8ug69nvydp2r" w:id="1"/>
      <w:bookmarkEnd w:id="1"/>
      <w:r w:rsidDel="00000000" w:rsidR="00000000" w:rsidRPr="00000000">
        <w:rPr>
          <w:rtl w:val="0"/>
        </w:rPr>
        <w:t xml:space="preserve">Methods</w:t>
      </w:r>
      <w:r w:rsidDel="00000000" w:rsidR="00000000" w:rsidRPr="00000000">
        <w:rPr>
          <w:rtl w:val="0"/>
        </w:rPr>
      </w:r>
    </w:p>
    <w:p w:rsidR="00000000" w:rsidDel="00000000" w:rsidP="00000000" w:rsidRDefault="00000000" w:rsidRPr="00000000" w14:paraId="00000003">
      <w:pPr>
        <w:spacing w:line="480" w:lineRule="auto"/>
        <w:rPr>
          <w:i w:val="1"/>
        </w:rPr>
      </w:pPr>
      <w:r w:rsidDel="00000000" w:rsidR="00000000" w:rsidRPr="00000000">
        <w:rPr>
          <w:i w:val="1"/>
          <w:rtl w:val="0"/>
        </w:rPr>
        <w:t xml:space="preserve">RNA-Seq data</w:t>
      </w:r>
    </w:p>
    <w:p w:rsidR="00000000" w:rsidDel="00000000" w:rsidP="00000000" w:rsidRDefault="00000000" w:rsidRPr="00000000" w14:paraId="00000004">
      <w:pPr>
        <w:spacing w:line="480" w:lineRule="auto"/>
        <w:rPr/>
      </w:pPr>
      <w:r w:rsidDel="00000000" w:rsidR="00000000" w:rsidRPr="00000000">
        <w:rPr>
          <w:rtl w:val="0"/>
        </w:rPr>
        <w:t xml:space="preserve">FASTQ reads from 3,853 RNA-Seq data (6.5 terabytes, 13 terabasepairs) were mined from NCBI GEO/SRA, using the following search query: “</w:t>
      </w:r>
      <w:r w:rsidDel="00000000" w:rsidR="00000000" w:rsidRPr="00000000">
        <w:rPr>
          <w:rtl w:val="0"/>
        </w:rPr>
        <w:t xml:space="preserve">(crohn OR colitis OR ibd) AND expression AND sequencing AND sapiens</w:t>
      </w:r>
      <w:r w:rsidDel="00000000" w:rsidR="00000000" w:rsidRPr="00000000">
        <w:rPr>
          <w:rtl w:val="0"/>
        </w:rPr>
        <w:t xml:space="preserve">”.</w:t>
      </w:r>
    </w:p>
    <w:p w:rsidR="00000000" w:rsidDel="00000000" w:rsidP="00000000" w:rsidRDefault="00000000" w:rsidRPr="00000000" w14:paraId="00000005">
      <w:pPr>
        <w:spacing w:line="480" w:lineRule="auto"/>
        <w:rPr/>
      </w:pPr>
      <w:r w:rsidDel="00000000" w:rsidR="00000000" w:rsidRPr="00000000">
        <w:rPr>
          <w:rtl w:val="0"/>
        </w:rPr>
        <w:t xml:space="preserve">The software and algorithms used for the analysis and construction of the IBD TaMMA platform are listed </w:t>
      </w:r>
      <w:r w:rsidDel="00000000" w:rsidR="00000000" w:rsidRPr="00000000">
        <w:rPr>
          <w:rtl w:val="0"/>
        </w:rPr>
        <w:t xml:space="preserve">below:</w:t>
      </w:r>
    </w:p>
    <w:p w:rsidR="00000000" w:rsidDel="00000000" w:rsidP="00000000" w:rsidRDefault="00000000" w:rsidRPr="00000000" w14:paraId="00000006">
      <w:pPr>
        <w:pStyle w:val="Heading2"/>
        <w:spacing w:line="480" w:lineRule="auto"/>
        <w:jc w:val="left"/>
        <w:rPr/>
      </w:pPr>
      <w:bookmarkStart w:colFirst="0" w:colLast="0" w:name="_7edpl23oqk9d" w:id="2"/>
      <w:bookmarkEnd w:id="2"/>
      <w:r w:rsidDel="00000000" w:rsidR="00000000" w:rsidRPr="00000000">
        <w:rPr>
          <w:rtl w:val="0"/>
        </w:rPr>
        <w:t xml:space="preserve">Meta-analysis</w:t>
      </w:r>
    </w:p>
    <w:p w:rsidR="00000000" w:rsidDel="00000000" w:rsidP="00000000" w:rsidRDefault="00000000" w:rsidRPr="00000000" w14:paraId="00000007">
      <w:pPr>
        <w:spacing w:line="480" w:lineRule="auto"/>
        <w:ind w:left="0" w:firstLine="0"/>
        <w:rPr/>
      </w:pPr>
      <w:r w:rsidDel="00000000" w:rsidR="00000000" w:rsidRPr="00000000">
        <w:rPr>
          <w:rtl w:val="0"/>
        </w:rPr>
        <w:t xml:space="preserve">The pipelines for RNA-Seq data download and analysis were designed with Snakemake</w:t>
      </w:r>
      <w:hyperlink r:id="rId6">
        <w:r w:rsidDel="00000000" w:rsidR="00000000" w:rsidRPr="00000000">
          <w:rPr>
            <w:color w:val="000000"/>
            <w:u w:val="none"/>
            <w:vertAlign w:val="superscript"/>
            <w:rtl w:val="0"/>
          </w:rPr>
          <w:t xml:space="preserve">3</w:t>
        </w:r>
      </w:hyperlink>
      <w:r w:rsidDel="00000000" w:rsidR="00000000" w:rsidRPr="00000000">
        <w:rPr>
          <w:rtl w:val="0"/>
        </w:rPr>
        <w:t xml:space="preserve">.</w:t>
      </w:r>
    </w:p>
    <w:p w:rsidR="00000000" w:rsidDel="00000000" w:rsidP="00000000" w:rsidRDefault="00000000" w:rsidRPr="00000000" w14:paraId="00000008">
      <w:pPr>
        <w:spacing w:line="480" w:lineRule="auto"/>
        <w:ind w:left="0" w:firstLine="0"/>
        <w:rPr/>
      </w:pPr>
      <w:r w:rsidDel="00000000" w:rsidR="00000000" w:rsidRPr="00000000">
        <w:rPr>
          <w:rtl w:val="0"/>
        </w:rPr>
        <w:t xml:space="preserve">FASTQ file download from NCBI SRA and initial QC filtering were performed with fastq-dump (</w:t>
      </w:r>
      <w:hyperlink r:id="rId7">
        <w:r w:rsidDel="00000000" w:rsidR="00000000" w:rsidRPr="00000000">
          <w:rPr>
            <w:color w:val="1155cc"/>
            <w:u w:val="single"/>
            <w:rtl w:val="0"/>
          </w:rPr>
          <w:t xml:space="preserve">https://trace.ncbi.nlm.nih.gov/Traces/sra/sra.cgi?view=toolkit_doc&amp;f=fastq-dump</w:t>
        </w:r>
      </w:hyperlink>
      <w:r w:rsidDel="00000000" w:rsidR="00000000" w:rsidRPr="00000000">
        <w:rPr>
          <w:rtl w:val="0"/>
        </w:rPr>
        <w:t xml:space="preserve">). Additional quality checks and adaptor trimming were performed with FastQC (</w:t>
      </w:r>
      <w:hyperlink r:id="rId8">
        <w:r w:rsidDel="00000000" w:rsidR="00000000" w:rsidRPr="00000000">
          <w:rPr>
            <w:color w:val="1155cc"/>
            <w:u w:val="single"/>
            <w:rtl w:val="0"/>
          </w:rPr>
          <w:t xml:space="preserve">https://www.bioinformatics.babraham.ac.uk/projects/fastqc/</w:t>
        </w:r>
      </w:hyperlink>
      <w:r w:rsidDel="00000000" w:rsidR="00000000" w:rsidRPr="00000000">
        <w:rPr>
          <w:rtl w:val="0"/>
        </w:rPr>
        <w:t xml:space="preserve">) and Trimmomatic</w:t>
      </w:r>
      <w:hyperlink r:id="rId9">
        <w:r w:rsidDel="00000000" w:rsidR="00000000" w:rsidRPr="00000000">
          <w:rPr>
            <w:color w:val="000000"/>
            <w:u w:val="none"/>
            <w:vertAlign w:val="superscript"/>
            <w:rtl w:val="0"/>
          </w:rPr>
          <w:t xml:space="preserve">4</w:t>
        </w:r>
      </w:hyperlink>
      <w:r w:rsidDel="00000000" w:rsidR="00000000" w:rsidRPr="00000000">
        <w:rPr>
          <w:rtl w:val="0"/>
        </w:rPr>
        <w:t xml:space="preserve">.</w:t>
      </w:r>
    </w:p>
    <w:p w:rsidR="00000000" w:rsidDel="00000000" w:rsidP="00000000" w:rsidRDefault="00000000" w:rsidRPr="00000000" w14:paraId="00000009">
      <w:pPr>
        <w:spacing w:line="480" w:lineRule="auto"/>
        <w:ind w:left="0" w:firstLine="0"/>
        <w:rPr/>
      </w:pPr>
      <w:r w:rsidDel="00000000" w:rsidR="00000000" w:rsidRPr="00000000">
        <w:rPr>
          <w:rtl w:val="0"/>
        </w:rPr>
        <w:t xml:space="preserve">Read mapping to the human reference genome (GRCh38 primary genome assembly), finalized with GENCODE v35 gene annotations</w:t>
      </w:r>
      <w:hyperlink r:id="rId10">
        <w:r w:rsidDel="00000000" w:rsidR="00000000" w:rsidRPr="00000000">
          <w:rPr>
            <w:color w:val="000000"/>
            <w:u w:val="none"/>
            <w:vertAlign w:val="superscript"/>
            <w:rtl w:val="0"/>
          </w:rPr>
          <w:t xml:space="preserve">5</w:t>
        </w:r>
      </w:hyperlink>
      <w:r w:rsidDel="00000000" w:rsidR="00000000" w:rsidRPr="00000000">
        <w:rPr>
          <w:rtl w:val="0"/>
        </w:rPr>
        <w:t xml:space="preserve">, and gene quantification were performed with STAR</w:t>
      </w:r>
      <w:hyperlink r:id="rId11">
        <w:r w:rsidDel="00000000" w:rsidR="00000000" w:rsidRPr="00000000">
          <w:rPr>
            <w:color w:val="000000"/>
            <w:u w:val="none"/>
            <w:vertAlign w:val="superscript"/>
            <w:rtl w:val="0"/>
          </w:rPr>
          <w:t xml:space="preserve">6</w:t>
        </w:r>
      </w:hyperlink>
      <w:r w:rsidDel="00000000" w:rsidR="00000000" w:rsidRPr="00000000">
        <w:rPr>
          <w:rtl w:val="0"/>
        </w:rPr>
        <w:t xml:space="preserve">. Post-mapping QC was performed with RSeQC</w:t>
      </w:r>
      <w:hyperlink r:id="rId12">
        <w:r w:rsidDel="00000000" w:rsidR="00000000" w:rsidRPr="00000000">
          <w:rPr>
            <w:color w:val="000000"/>
            <w:u w:val="none"/>
            <w:vertAlign w:val="superscript"/>
            <w:rtl w:val="0"/>
          </w:rPr>
          <w:t xml:space="preserve">7</w:t>
        </w:r>
      </w:hyperlink>
      <w:r w:rsidDel="00000000" w:rsidR="00000000" w:rsidRPr="00000000">
        <w:rPr>
          <w:rtl w:val="0"/>
        </w:rPr>
        <w:t xml:space="preserve"> and MultiQC</w:t>
      </w:r>
      <w:hyperlink r:id="rId13">
        <w:r w:rsidDel="00000000" w:rsidR="00000000" w:rsidRPr="00000000">
          <w:rPr>
            <w:color w:val="000000"/>
            <w:u w:val="none"/>
            <w:vertAlign w:val="superscript"/>
            <w:rtl w:val="0"/>
          </w:rPr>
          <w:t xml:space="preserve">8</w:t>
        </w:r>
      </w:hyperlink>
      <w:r w:rsidDel="00000000" w:rsidR="00000000" w:rsidRPr="00000000">
        <w:rPr>
          <w:rtl w:val="0"/>
        </w:rPr>
        <w:t xml:space="preserve">.</w:t>
      </w:r>
    </w:p>
    <w:p w:rsidR="00000000" w:rsidDel="00000000" w:rsidP="00000000" w:rsidRDefault="00000000" w:rsidRPr="00000000" w14:paraId="0000000A">
      <w:pPr>
        <w:spacing w:line="480" w:lineRule="auto"/>
        <w:ind w:left="0" w:firstLine="0"/>
        <w:rPr/>
      </w:pPr>
      <w:r w:rsidDel="00000000" w:rsidR="00000000" w:rsidRPr="00000000">
        <w:rPr>
          <w:rtl w:val="0"/>
        </w:rPr>
        <w:t xml:space="preserve">Batch effect detection and correction were performed with COMBAT</w:t>
      </w:r>
      <w:hyperlink r:id="rId14">
        <w:r w:rsidDel="00000000" w:rsidR="00000000" w:rsidRPr="00000000">
          <w:rPr>
            <w:color w:val="000000"/>
            <w:u w:val="none"/>
            <w:vertAlign w:val="superscript"/>
            <w:rtl w:val="0"/>
          </w:rPr>
          <w:t xml:space="preserve">1</w:t>
        </w:r>
      </w:hyperlink>
      <w:r w:rsidDel="00000000" w:rsidR="00000000" w:rsidRPr="00000000">
        <w:rPr>
          <w:rtl w:val="0"/>
        </w:rPr>
        <w:t xml:space="preserve">, within the Surrogate Variable Analysis R package (</w:t>
      </w:r>
      <w:hyperlink r:id="rId15">
        <w:r w:rsidDel="00000000" w:rsidR="00000000" w:rsidRPr="00000000">
          <w:rPr>
            <w:color w:val="1155cc"/>
            <w:u w:val="single"/>
            <w:rtl w:val="0"/>
          </w:rPr>
          <w:t xml:space="preserve">https://bioconductor.org/packages/release/bioc/html/sva.html</w:t>
        </w:r>
      </w:hyperlink>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0B">
      <w:pPr>
        <w:spacing w:line="480" w:lineRule="auto"/>
        <w:ind w:left="0" w:firstLine="0"/>
        <w:rPr/>
      </w:pPr>
      <w:r w:rsidDel="00000000" w:rsidR="00000000" w:rsidRPr="00000000">
        <w:rPr>
          <w:rtl w:val="0"/>
        </w:rPr>
        <w:t xml:space="preserve">Differential human gene expression and differential species/family/order abundance analyses were performed with DESeq2</w:t>
      </w:r>
      <w:hyperlink r:id="rId16">
        <w:r w:rsidDel="00000000" w:rsidR="00000000" w:rsidRPr="00000000">
          <w:rPr>
            <w:color w:val="000000"/>
            <w:u w:val="none"/>
            <w:vertAlign w:val="superscript"/>
            <w:rtl w:val="0"/>
          </w:rPr>
          <w:t xml:space="preserve">9</w:t>
        </w:r>
      </w:hyperlink>
      <w:r w:rsidDel="00000000" w:rsidR="00000000" w:rsidRPr="00000000">
        <w:rPr>
          <w:rtl w:val="0"/>
        </w:rPr>
        <w:t xml:space="preserve">. Multi-core parallelization was achieved with BiocParallel (</w:t>
      </w:r>
      <w:hyperlink r:id="rId17">
        <w:r w:rsidDel="00000000" w:rsidR="00000000" w:rsidRPr="00000000">
          <w:rPr>
            <w:color w:val="1155cc"/>
            <w:u w:val="single"/>
            <w:rtl w:val="0"/>
          </w:rPr>
          <w:t xml:space="preserve">https://github.com/Bioconductor/BiocParallel</w:t>
        </w:r>
      </w:hyperlink>
      <w:r w:rsidDel="00000000" w:rsidR="00000000" w:rsidRPr="00000000">
        <w:rPr>
          <w:rtl w:val="0"/>
        </w:rPr>
        <w:t xml:space="preserve">). Gene-level annotations were managed by ensembldb</w:t>
      </w:r>
      <w:hyperlink r:id="rId18">
        <w:r w:rsidDel="00000000" w:rsidR="00000000" w:rsidRPr="00000000">
          <w:rPr>
            <w:color w:val="000000"/>
            <w:u w:val="none"/>
            <w:vertAlign w:val="superscript"/>
            <w:rtl w:val="0"/>
          </w:rPr>
          <w:t xml:space="preserve">10</w:t>
        </w:r>
      </w:hyperlink>
      <w:r w:rsidDel="00000000" w:rsidR="00000000" w:rsidRPr="00000000">
        <w:rPr>
          <w:rtl w:val="0"/>
        </w:rPr>
        <w:t xml:space="preserve"> and EnsDb.Hsapiens.v86 (</w:t>
      </w:r>
      <w:hyperlink r:id="rId19">
        <w:r w:rsidDel="00000000" w:rsidR="00000000" w:rsidRPr="00000000">
          <w:rPr>
            <w:color w:val="1155cc"/>
            <w:u w:val="single"/>
            <w:rtl w:val="0"/>
          </w:rPr>
          <w:t xml:space="preserve">http://bioconductor.org/packages/release/data/annotation/html/EnsDb.Hsapiens.v86.html</w:t>
        </w:r>
      </w:hyperlink>
      <w:r w:rsidDel="00000000" w:rsidR="00000000" w:rsidRPr="00000000">
        <w:rPr>
          <w:rtl w:val="0"/>
        </w:rPr>
        <w:t xml:space="preserve">).</w:t>
      </w:r>
    </w:p>
    <w:p w:rsidR="00000000" w:rsidDel="00000000" w:rsidP="00000000" w:rsidRDefault="00000000" w:rsidRPr="00000000" w14:paraId="0000000C">
      <w:pPr>
        <w:widowControl w:val="0"/>
        <w:spacing w:line="480" w:lineRule="auto"/>
        <w:rPr/>
      </w:pPr>
      <w:r w:rsidDel="00000000" w:rsidR="00000000" w:rsidRPr="00000000">
        <w:rPr>
          <w:rtl w:val="0"/>
        </w:rPr>
        <w:t xml:space="preserve">The </w:t>
      </w:r>
      <w:r w:rsidDel="00000000" w:rsidR="00000000" w:rsidRPr="00000000">
        <w:rPr>
          <w:i w:val="1"/>
          <w:rtl w:val="0"/>
        </w:rPr>
        <w:t xml:space="preserve">statistics </w:t>
      </w:r>
      <w:r w:rsidDel="00000000" w:rsidR="00000000" w:rsidRPr="00000000">
        <w:rPr>
          <w:rtl w:val="0"/>
        </w:rPr>
        <w:t xml:space="preserve">for Human Differential Gene Expression, Shannon diversity, and viral entity relative abundance are shown in </w:t>
      </w:r>
      <w:r w:rsidDel="00000000" w:rsidR="00000000" w:rsidRPr="00000000">
        <w:rPr>
          <w:b w:val="1"/>
          <w:rtl w:val="0"/>
        </w:rPr>
        <w:t xml:space="preserve">Supplementary Fig. 2</w:t>
      </w:r>
      <w:r w:rsidDel="00000000" w:rsidR="00000000" w:rsidRPr="00000000">
        <w:rPr>
          <w:rtl w:val="0"/>
        </w:rPr>
        <w:t xml:space="preserve">. Comparisons with FDR&lt;1e-10 are considered statistically significant.</w:t>
      </w:r>
      <w:r w:rsidDel="00000000" w:rsidR="00000000" w:rsidRPr="00000000">
        <w:rPr>
          <w:rtl w:val="0"/>
        </w:rPr>
      </w:r>
    </w:p>
    <w:p w:rsidR="00000000" w:rsidDel="00000000" w:rsidP="00000000" w:rsidRDefault="00000000" w:rsidRPr="00000000" w14:paraId="0000000D">
      <w:pPr>
        <w:spacing w:line="480" w:lineRule="auto"/>
        <w:ind w:left="0" w:firstLine="0"/>
        <w:rPr/>
      </w:pPr>
      <w:r w:rsidDel="00000000" w:rsidR="00000000" w:rsidRPr="00000000">
        <w:rPr>
          <w:rtl w:val="0"/>
        </w:rPr>
        <w:t xml:space="preserve">Functional enrichment analysis of Gene Ontology biological process was performed with GeneSCF</w:t>
      </w:r>
      <w:hyperlink r:id="rId20">
        <w:r w:rsidDel="00000000" w:rsidR="00000000" w:rsidRPr="00000000">
          <w:rPr>
            <w:color w:val="000000"/>
            <w:u w:val="none"/>
            <w:vertAlign w:val="superscript"/>
            <w:rtl w:val="0"/>
          </w:rPr>
          <w:t xml:space="preserve">11</w:t>
        </w:r>
      </w:hyperlink>
      <w:r w:rsidDel="00000000" w:rsidR="00000000" w:rsidRPr="00000000">
        <w:rPr>
          <w:rtl w:val="0"/>
        </w:rPr>
        <w:t xml:space="preserve">, using differentially expressed genes with FDR&lt;1e-10.</w:t>
      </w:r>
    </w:p>
    <w:p w:rsidR="00000000" w:rsidDel="00000000" w:rsidP="00000000" w:rsidRDefault="00000000" w:rsidRPr="00000000" w14:paraId="0000000E">
      <w:pPr>
        <w:spacing w:line="480" w:lineRule="auto"/>
        <w:ind w:left="0" w:firstLine="0"/>
        <w:rPr/>
      </w:pPr>
      <w:r w:rsidDel="00000000" w:rsidR="00000000" w:rsidRPr="00000000">
        <w:rPr>
          <w:rtl w:val="0"/>
        </w:rPr>
        <w:t xml:space="preserve">Taxonomic classification of human genome-unmapped reads by exact k-mer matching against either archaeal, bacterial, eukaryotic, or viral genomes was performed with Kraken2</w:t>
      </w:r>
      <w:hyperlink r:id="rId21">
        <w:r w:rsidDel="00000000" w:rsidR="00000000" w:rsidRPr="00000000">
          <w:rPr>
            <w:color w:val="000000"/>
            <w:u w:val="none"/>
            <w:vertAlign w:val="superscript"/>
            <w:rtl w:val="0"/>
          </w:rPr>
          <w:t xml:space="preserve">12</w:t>
        </w:r>
      </w:hyperlink>
      <w:r w:rsidDel="00000000" w:rsidR="00000000" w:rsidRPr="00000000">
        <w:rPr>
          <w:rtl w:val="0"/>
        </w:rPr>
        <w:t xml:space="preserve">. Calculation of bacterial species Spearman diversity and Simpson dominance indices were calculated with vegan (</w:t>
      </w:r>
      <w:hyperlink r:id="rId22">
        <w:r w:rsidDel="00000000" w:rsidR="00000000" w:rsidRPr="00000000">
          <w:rPr>
            <w:color w:val="1155cc"/>
            <w:u w:val="single"/>
            <w:rtl w:val="0"/>
          </w:rPr>
          <w:t xml:space="preserve">https://github.com/vegandevs/vegan</w:t>
        </w:r>
      </w:hyperlink>
      <w:r w:rsidDel="00000000" w:rsidR="00000000" w:rsidRPr="00000000">
        <w:rPr>
          <w:rtl w:val="0"/>
        </w:rPr>
        <w:t xml:space="preserve">).</w:t>
      </w:r>
    </w:p>
    <w:p w:rsidR="00000000" w:rsidDel="00000000" w:rsidP="00000000" w:rsidRDefault="00000000" w:rsidRPr="00000000" w14:paraId="0000000F">
      <w:pPr>
        <w:spacing w:line="480" w:lineRule="auto"/>
        <w:rPr/>
      </w:pPr>
      <w:r w:rsidDel="00000000" w:rsidR="00000000" w:rsidRPr="00000000">
        <w:rPr>
          <w:rtl w:val="0"/>
        </w:rPr>
        <w:t xml:space="preserve">Low-dimensional embedding of high-dimensional data was performed with umap (</w:t>
      </w:r>
      <w:hyperlink r:id="rId23">
        <w:r w:rsidDel="00000000" w:rsidR="00000000" w:rsidRPr="00000000">
          <w:rPr>
            <w:color w:val="1155cc"/>
            <w:u w:val="single"/>
            <w:rtl w:val="0"/>
          </w:rPr>
          <w:t xml:space="preserve">https://cran.r-project.org/web/packages/umap/vignettes/umap.html</w:t>
        </w:r>
      </w:hyperlink>
      <w:r w:rsidDel="00000000" w:rsidR="00000000" w:rsidRPr="00000000">
        <w:rPr>
          <w:rtl w:val="0"/>
        </w:rPr>
        <w:t xml:space="preserve">).</w:t>
      </w:r>
    </w:p>
    <w:p w:rsidR="00000000" w:rsidDel="00000000" w:rsidP="00000000" w:rsidRDefault="00000000" w:rsidRPr="00000000" w14:paraId="00000010">
      <w:pPr>
        <w:spacing w:line="480" w:lineRule="auto"/>
        <w:rPr/>
      </w:pPr>
      <w:r w:rsidDel="00000000" w:rsidR="00000000" w:rsidRPr="00000000">
        <w:rPr>
          <w:rtl w:val="0"/>
        </w:rPr>
        <w:t xml:space="preserve">Data carpentry was performed in R with tidyverse (</w:t>
      </w:r>
      <w:hyperlink r:id="rId24">
        <w:r w:rsidDel="00000000" w:rsidR="00000000" w:rsidRPr="00000000">
          <w:rPr>
            <w:color w:val="1155cc"/>
            <w:u w:val="single"/>
            <w:rtl w:val="0"/>
          </w:rPr>
          <w:t xml:space="preserve">https://www.tidyverse.org/</w:t>
        </w:r>
      </w:hyperlink>
      <w:r w:rsidDel="00000000" w:rsidR="00000000" w:rsidRPr="00000000">
        <w:rPr>
          <w:rtl w:val="0"/>
        </w:rPr>
        <w:t xml:space="preserve">), and Python with NumPy (</w:t>
      </w:r>
      <w:hyperlink r:id="rId25">
        <w:r w:rsidDel="00000000" w:rsidR="00000000" w:rsidRPr="00000000">
          <w:rPr>
            <w:color w:val="1155cc"/>
            <w:u w:val="single"/>
            <w:rtl w:val="0"/>
          </w:rPr>
          <w:t xml:space="preserve">https://numpy.org/</w:t>
        </w:r>
      </w:hyperlink>
      <w:r w:rsidDel="00000000" w:rsidR="00000000" w:rsidRPr="00000000">
        <w:rPr>
          <w:rtl w:val="0"/>
        </w:rPr>
        <w:t xml:space="preserve">) and pandas (</w:t>
      </w:r>
      <w:hyperlink r:id="rId26">
        <w:r w:rsidDel="00000000" w:rsidR="00000000" w:rsidRPr="00000000">
          <w:rPr>
            <w:color w:val="1155cc"/>
            <w:u w:val="single"/>
            <w:rtl w:val="0"/>
          </w:rPr>
          <w:t xml:space="preserve">https://pandas.pydata.org/</w:t>
        </w:r>
      </w:hyperlink>
      <w:r w:rsidDel="00000000" w:rsidR="00000000" w:rsidRPr="00000000">
        <w:rPr>
          <w:rtl w:val="0"/>
        </w:rPr>
        <w:t xml:space="preserve">). Plots in the figures were made with ggplot2</w:t>
      </w:r>
      <w:hyperlink r:id="rId27">
        <w:r w:rsidDel="00000000" w:rsidR="00000000" w:rsidRPr="00000000">
          <w:rPr>
            <w:color w:val="000000"/>
            <w:u w:val="none"/>
            <w:vertAlign w:val="superscript"/>
            <w:rtl w:val="0"/>
          </w:rPr>
          <w:t xml:space="preserve">13</w:t>
        </w:r>
      </w:hyperlink>
      <w:r w:rsidDel="00000000" w:rsidR="00000000" w:rsidRPr="00000000">
        <w:rPr>
          <w:rtl w:val="0"/>
        </w:rPr>
        <w:t xml:space="preserve">.</w:t>
      </w:r>
    </w:p>
    <w:p w:rsidR="00000000" w:rsidDel="00000000" w:rsidP="00000000" w:rsidRDefault="00000000" w:rsidRPr="00000000" w14:paraId="00000011">
      <w:pPr>
        <w:pStyle w:val="Heading2"/>
        <w:spacing w:line="480" w:lineRule="auto"/>
        <w:jc w:val="left"/>
        <w:rPr/>
      </w:pPr>
      <w:bookmarkStart w:colFirst="0" w:colLast="0" w:name="_uzl9y4b1iafa" w:id="3"/>
      <w:bookmarkEnd w:id="3"/>
      <w:r w:rsidDel="00000000" w:rsidR="00000000" w:rsidRPr="00000000">
        <w:rPr>
          <w:rtl w:val="0"/>
        </w:rPr>
        <w:t xml:space="preserve">Web app design</w:t>
      </w:r>
    </w:p>
    <w:p w:rsidR="00000000" w:rsidDel="00000000" w:rsidP="00000000" w:rsidRDefault="00000000" w:rsidRPr="00000000" w14:paraId="00000012">
      <w:pPr>
        <w:spacing w:line="480" w:lineRule="auto"/>
        <w:ind w:left="0" w:firstLine="0"/>
        <w:rPr/>
      </w:pPr>
      <w:r w:rsidDel="00000000" w:rsidR="00000000" w:rsidRPr="00000000">
        <w:rPr>
          <w:rtl w:val="0"/>
        </w:rPr>
        <w:t xml:space="preserve">The web app was developed with Dash (</w:t>
      </w:r>
      <w:hyperlink r:id="rId28">
        <w:r w:rsidDel="00000000" w:rsidR="00000000" w:rsidRPr="00000000">
          <w:rPr>
            <w:color w:val="1155cc"/>
            <w:u w:val="single"/>
            <w:rtl w:val="0"/>
          </w:rPr>
          <w:t xml:space="preserve">https://dash.plotly.com/</w:t>
        </w:r>
      </w:hyperlink>
      <w:r w:rsidDel="00000000" w:rsidR="00000000" w:rsidRPr="00000000">
        <w:rPr>
          <w:rtl w:val="0"/>
        </w:rPr>
        <w:t xml:space="preserve">) and Plotly (</w:t>
      </w:r>
      <w:hyperlink r:id="rId29">
        <w:r w:rsidDel="00000000" w:rsidR="00000000" w:rsidRPr="00000000">
          <w:rPr>
            <w:color w:val="1155cc"/>
            <w:u w:val="single"/>
            <w:rtl w:val="0"/>
          </w:rPr>
          <w:t xml:space="preserve">https://plotly.com/</w:t>
        </w:r>
      </w:hyperlink>
      <w:r w:rsidDel="00000000" w:rsidR="00000000" w:rsidRPr="00000000">
        <w:rPr>
          <w:rtl w:val="0"/>
        </w:rPr>
        <w:t xml:space="preserve">). Code is stored in GitHub at </w:t>
      </w:r>
      <w:hyperlink r:id="rId30">
        <w:r w:rsidDel="00000000" w:rsidR="00000000" w:rsidRPr="00000000">
          <w:rPr>
            <w:color w:val="1155cc"/>
            <w:u w:val="single"/>
            <w:rtl w:val="0"/>
          </w:rPr>
          <w:t xml:space="preserve">https://github.com/Humanitas-Danese-s-omics/ibd-meta-analysis</w:t>
        </w:r>
      </w:hyperlink>
      <w:r w:rsidDel="00000000" w:rsidR="00000000" w:rsidRPr="00000000">
        <w:rPr>
          <w:rtl w:val="0"/>
        </w:rPr>
        <w:t xml:space="preserve">, and running at </w:t>
      </w:r>
      <w:hyperlink r:id="rId31">
        <w:r w:rsidDel="00000000" w:rsidR="00000000" w:rsidRPr="00000000">
          <w:rPr>
            <w:color w:val="1155cc"/>
            <w:u w:val="single"/>
            <w:rtl w:val="0"/>
          </w:rPr>
          <w:t xml:space="preserve">https://ibd-meta-analysis.herokuapp.com/</w:t>
        </w:r>
      </w:hyperlink>
      <w:r w:rsidDel="00000000" w:rsidR="00000000" w:rsidRPr="00000000">
        <w:rPr>
          <w:rtl w:val="0"/>
        </w:rPr>
        <w:t xml:space="preserve">. Data tables used within the web app are also stored in GitHub and can be found at </w:t>
      </w:r>
      <w:hyperlink r:id="rId32">
        <w:r w:rsidDel="00000000" w:rsidR="00000000" w:rsidRPr="00000000">
          <w:rPr>
            <w:color w:val="1155cc"/>
            <w:u w:val="single"/>
            <w:rtl w:val="0"/>
          </w:rPr>
          <w:t xml:space="preserve">https://github.com/Humanitas-Danese-s-omics/ibd-meta-analysis-data</w:t>
        </w:r>
      </w:hyperlink>
      <w:r w:rsidDel="00000000" w:rsidR="00000000" w:rsidRPr="00000000">
        <w:rPr>
          <w:rtl w:val="0"/>
        </w:rPr>
        <w:t xml:space="preserve">. Programmatic access to the data tables is performed by Requests (</w:t>
      </w:r>
      <w:hyperlink r:id="rId33">
        <w:r w:rsidDel="00000000" w:rsidR="00000000" w:rsidRPr="00000000">
          <w:rPr>
            <w:color w:val="1155cc"/>
            <w:u w:val="single"/>
            <w:rtl w:val="0"/>
          </w:rPr>
          <w:t xml:space="preserve">https://docs.python-requests.org/</w:t>
        </w:r>
      </w:hyperlink>
      <w:r w:rsidDel="00000000" w:rsidR="00000000" w:rsidRPr="00000000">
        <w:rPr>
          <w:rtl w:val="0"/>
        </w:rPr>
        <w:t xml:space="preserve">). The complete guide on how to use the TaMMA web app can be found at </w:t>
      </w:r>
      <w:hyperlink r:id="rId34">
        <w:r w:rsidDel="00000000" w:rsidR="00000000" w:rsidRPr="00000000">
          <w:rPr>
            <w:color w:val="1155cc"/>
            <w:u w:val="single"/>
            <w:rtl w:val="0"/>
          </w:rPr>
          <w:t xml:space="preserve">https://ibd-tamma.readthedocs.io/</w:t>
        </w:r>
      </w:hyperlink>
      <w:r w:rsidDel="00000000" w:rsidR="00000000" w:rsidRPr="00000000">
        <w:rPr>
          <w:rtl w:val="0"/>
        </w:rPr>
        <w:t xml:space="preserve">.</w:t>
      </w:r>
    </w:p>
    <w:p w:rsidR="00000000" w:rsidDel="00000000" w:rsidP="00000000" w:rsidRDefault="00000000" w:rsidRPr="00000000" w14:paraId="00000013">
      <w:pPr>
        <w:spacing w:line="480" w:lineRule="auto"/>
        <w:rPr>
          <w:i w:val="1"/>
        </w:rPr>
      </w:pPr>
      <w:r w:rsidDel="00000000" w:rsidR="00000000" w:rsidRPr="00000000">
        <w:rPr>
          <w:i w:val="1"/>
          <w:rtl w:val="0"/>
        </w:rPr>
        <w:t xml:space="preserve">NGS dark matter</w:t>
      </w:r>
    </w:p>
    <w:p w:rsidR="00000000" w:rsidDel="00000000" w:rsidP="00000000" w:rsidRDefault="00000000" w:rsidRPr="00000000" w14:paraId="00000014">
      <w:pPr>
        <w:pStyle w:val="Heading1"/>
        <w:spacing w:line="480" w:lineRule="auto"/>
        <w:rPr>
          <w:b w:val="0"/>
        </w:rPr>
      </w:pPr>
      <w:bookmarkStart w:colFirst="0" w:colLast="0" w:name="_a6ubpwa7paa3" w:id="4"/>
      <w:bookmarkEnd w:id="4"/>
      <w:r w:rsidDel="00000000" w:rsidR="00000000" w:rsidRPr="00000000">
        <w:rPr>
          <w:b w:val="0"/>
          <w:rtl w:val="0"/>
        </w:rPr>
        <w:t xml:space="preserve">Human unmapped FASTQ reads that failed to be classified by metatranscriptomics profiling have been considered as </w:t>
      </w:r>
      <w:r w:rsidDel="00000000" w:rsidR="00000000" w:rsidRPr="00000000">
        <w:rPr>
          <w:b w:val="0"/>
          <w:i w:val="1"/>
          <w:rtl w:val="0"/>
        </w:rPr>
        <w:t xml:space="preserve">NGS dark matter</w:t>
      </w:r>
      <w:r w:rsidDel="00000000" w:rsidR="00000000" w:rsidRPr="00000000">
        <w:rPr>
          <w:b w:val="0"/>
          <w:rtl w:val="0"/>
        </w:rPr>
        <w:t xml:space="preserv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10" w:before="0" w:line="480" w:lineRule="auto"/>
        <w:ind w:left="0" w:right="0" w:firstLine="0"/>
        <w:jc w:val="left"/>
        <w:rPr>
          <w:b w:val="1"/>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10" w:before="0" w:line="480" w:lineRule="auto"/>
        <w:ind w:left="0" w:right="0" w:firstLine="0"/>
        <w:jc w:val="left"/>
        <w:rPr>
          <w:b w:val="1"/>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10" w:before="0" w:line="480" w:lineRule="auto"/>
        <w:ind w:left="0" w:right="0" w:firstLine="0"/>
        <w:jc w:val="left"/>
        <w:rPr>
          <w:b w:val="1"/>
          <w:color w:val="000000"/>
          <w:u w:val="none"/>
        </w:rPr>
      </w:pPr>
      <w:r w:rsidDel="00000000" w:rsidR="00000000" w:rsidRPr="00000000">
        <w:rPr>
          <w:b w:val="1"/>
          <w:rtl w:val="0"/>
        </w:rPr>
        <w:t xml:space="preserve">Supplementary References</w:t>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35">
        <w:r w:rsidDel="00000000" w:rsidR="00000000" w:rsidRPr="00000000">
          <w:rPr>
            <w:color w:val="000000"/>
            <w:u w:val="none"/>
            <w:rtl w:val="0"/>
          </w:rPr>
          <w:t xml:space="preserve">1.</w:t>
          <w:tab/>
          <w:t xml:space="preserve">Stein, C. K. </w:t>
        </w:r>
      </w:hyperlink>
      <w:hyperlink r:id="rId36">
        <w:r w:rsidDel="00000000" w:rsidR="00000000" w:rsidRPr="00000000">
          <w:rPr>
            <w:i w:val="1"/>
            <w:color w:val="000000"/>
            <w:u w:val="none"/>
            <w:rtl w:val="0"/>
          </w:rPr>
          <w:t xml:space="preserve">et al.</w:t>
        </w:r>
      </w:hyperlink>
      <w:hyperlink r:id="rId37">
        <w:r w:rsidDel="00000000" w:rsidR="00000000" w:rsidRPr="00000000">
          <w:rPr>
            <w:color w:val="000000"/>
            <w:u w:val="none"/>
            <w:rtl w:val="0"/>
          </w:rPr>
          <w:t xml:space="preserve"> Removing batch effects from purified plasma cell gene expression microarrays with modified ComBat. </w:t>
        </w:r>
      </w:hyperlink>
      <w:hyperlink r:id="rId38">
        <w:r w:rsidDel="00000000" w:rsidR="00000000" w:rsidRPr="00000000">
          <w:rPr>
            <w:i w:val="1"/>
            <w:color w:val="000000"/>
            <w:u w:val="none"/>
            <w:rtl w:val="0"/>
          </w:rPr>
          <w:t xml:space="preserve">BMC Bioinformatics</w:t>
        </w:r>
      </w:hyperlink>
      <w:hyperlink r:id="rId39">
        <w:r w:rsidDel="00000000" w:rsidR="00000000" w:rsidRPr="00000000">
          <w:rPr>
            <w:color w:val="000000"/>
            <w:u w:val="none"/>
            <w:rtl w:val="0"/>
          </w:rPr>
          <w:t xml:space="preserve"> 16, 63 (2015).</w:t>
        </w:r>
      </w:hyperlink>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40">
        <w:r w:rsidDel="00000000" w:rsidR="00000000" w:rsidRPr="00000000">
          <w:rPr>
            <w:color w:val="000000"/>
            <w:u w:val="none"/>
            <w:rtl w:val="0"/>
          </w:rPr>
          <w:t xml:space="preserve">2.</w:t>
          <w:tab/>
          <w:t xml:space="preserve">Ungaro, F. </w:t>
        </w:r>
      </w:hyperlink>
      <w:hyperlink r:id="rId41">
        <w:r w:rsidDel="00000000" w:rsidR="00000000" w:rsidRPr="00000000">
          <w:rPr>
            <w:i w:val="1"/>
            <w:color w:val="000000"/>
            <w:u w:val="none"/>
            <w:rtl w:val="0"/>
          </w:rPr>
          <w:t xml:space="preserve">et al.</w:t>
        </w:r>
      </w:hyperlink>
      <w:hyperlink r:id="rId42">
        <w:r w:rsidDel="00000000" w:rsidR="00000000" w:rsidRPr="00000000">
          <w:rPr>
            <w:color w:val="000000"/>
            <w:u w:val="none"/>
            <w:rtl w:val="0"/>
          </w:rPr>
          <w:t xml:space="preserve"> Metagenomic analysis of intestinal mucosa revealed a specific eukaryotic gut virome signature in early-diagnosed inflammatory bowel disease. </w:t>
        </w:r>
      </w:hyperlink>
      <w:hyperlink r:id="rId43">
        <w:r w:rsidDel="00000000" w:rsidR="00000000" w:rsidRPr="00000000">
          <w:rPr>
            <w:i w:val="1"/>
            <w:color w:val="000000"/>
            <w:u w:val="none"/>
            <w:rtl w:val="0"/>
          </w:rPr>
          <w:t xml:space="preserve">Gut Microbes</w:t>
        </w:r>
      </w:hyperlink>
      <w:hyperlink r:id="rId44">
        <w:r w:rsidDel="00000000" w:rsidR="00000000" w:rsidRPr="00000000">
          <w:rPr>
            <w:color w:val="000000"/>
            <w:u w:val="none"/>
            <w:rtl w:val="0"/>
          </w:rPr>
          <w:t xml:space="preserve"> 10, 149–158 (2019).</w:t>
        </w:r>
      </w:hyperlink>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45">
        <w:r w:rsidDel="00000000" w:rsidR="00000000" w:rsidRPr="00000000">
          <w:rPr>
            <w:color w:val="000000"/>
            <w:u w:val="none"/>
            <w:rtl w:val="0"/>
          </w:rPr>
          <w:t xml:space="preserve">3.</w:t>
          <w:tab/>
          <w:t xml:space="preserve">Köster, J. &amp; Rahmann, S. Snakemake--a scalable bioinformatics workflow engine. </w:t>
        </w:r>
      </w:hyperlink>
      <w:hyperlink r:id="rId46">
        <w:r w:rsidDel="00000000" w:rsidR="00000000" w:rsidRPr="00000000">
          <w:rPr>
            <w:i w:val="1"/>
            <w:color w:val="000000"/>
            <w:u w:val="none"/>
            <w:rtl w:val="0"/>
          </w:rPr>
          <w:t xml:space="preserve">Bioinformatics</w:t>
        </w:r>
      </w:hyperlink>
      <w:hyperlink r:id="rId47">
        <w:r w:rsidDel="00000000" w:rsidR="00000000" w:rsidRPr="00000000">
          <w:rPr>
            <w:color w:val="000000"/>
            <w:u w:val="none"/>
            <w:rtl w:val="0"/>
          </w:rPr>
          <w:t xml:space="preserve"> 28, 2520–2522 (2012).</w:t>
        </w:r>
      </w:hyperlink>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48">
        <w:r w:rsidDel="00000000" w:rsidR="00000000" w:rsidRPr="00000000">
          <w:rPr>
            <w:color w:val="000000"/>
            <w:u w:val="none"/>
            <w:rtl w:val="0"/>
          </w:rPr>
          <w:t xml:space="preserve">4.</w:t>
          <w:tab/>
          <w:t xml:space="preserve">Bolger, A. M., Lohse, M. &amp; Usadel, B. Trimmomatic: a flexible trimmer for Illumina sequence data. </w:t>
        </w:r>
      </w:hyperlink>
      <w:hyperlink r:id="rId49">
        <w:r w:rsidDel="00000000" w:rsidR="00000000" w:rsidRPr="00000000">
          <w:rPr>
            <w:i w:val="1"/>
            <w:color w:val="000000"/>
            <w:u w:val="none"/>
            <w:rtl w:val="0"/>
          </w:rPr>
          <w:t xml:space="preserve">Bioinformatics</w:t>
        </w:r>
      </w:hyperlink>
      <w:hyperlink r:id="rId50">
        <w:r w:rsidDel="00000000" w:rsidR="00000000" w:rsidRPr="00000000">
          <w:rPr>
            <w:color w:val="000000"/>
            <w:u w:val="none"/>
            <w:rtl w:val="0"/>
          </w:rPr>
          <w:t xml:space="preserve"> 30, 2114–2120 (2014).</w:t>
        </w:r>
      </w:hyperlink>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51">
        <w:r w:rsidDel="00000000" w:rsidR="00000000" w:rsidRPr="00000000">
          <w:rPr>
            <w:color w:val="000000"/>
            <w:u w:val="none"/>
            <w:rtl w:val="0"/>
          </w:rPr>
          <w:t xml:space="preserve">5.</w:t>
          <w:tab/>
          <w:t xml:space="preserve">Frankish, A. </w:t>
        </w:r>
      </w:hyperlink>
      <w:hyperlink r:id="rId52">
        <w:r w:rsidDel="00000000" w:rsidR="00000000" w:rsidRPr="00000000">
          <w:rPr>
            <w:i w:val="1"/>
            <w:color w:val="000000"/>
            <w:u w:val="none"/>
            <w:rtl w:val="0"/>
          </w:rPr>
          <w:t xml:space="preserve">et al.</w:t>
        </w:r>
      </w:hyperlink>
      <w:hyperlink r:id="rId53">
        <w:r w:rsidDel="00000000" w:rsidR="00000000" w:rsidRPr="00000000">
          <w:rPr>
            <w:color w:val="000000"/>
            <w:u w:val="none"/>
            <w:rtl w:val="0"/>
          </w:rPr>
          <w:t xml:space="preserve"> GENCODE reference annotation for the human and mouse genomes. </w:t>
        </w:r>
      </w:hyperlink>
      <w:hyperlink r:id="rId54">
        <w:r w:rsidDel="00000000" w:rsidR="00000000" w:rsidRPr="00000000">
          <w:rPr>
            <w:i w:val="1"/>
            <w:color w:val="000000"/>
            <w:u w:val="none"/>
            <w:rtl w:val="0"/>
          </w:rPr>
          <w:t xml:space="preserve">Nucleic Acids Res.</w:t>
        </w:r>
      </w:hyperlink>
      <w:hyperlink r:id="rId55">
        <w:r w:rsidDel="00000000" w:rsidR="00000000" w:rsidRPr="00000000">
          <w:rPr>
            <w:color w:val="000000"/>
            <w:u w:val="none"/>
            <w:rtl w:val="0"/>
          </w:rPr>
          <w:t xml:space="preserve"> 47, D766–D773 (2019).</w:t>
        </w:r>
      </w:hyperlink>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56">
        <w:r w:rsidDel="00000000" w:rsidR="00000000" w:rsidRPr="00000000">
          <w:rPr>
            <w:color w:val="000000"/>
            <w:u w:val="none"/>
            <w:rtl w:val="0"/>
          </w:rPr>
          <w:t xml:space="preserve">6.</w:t>
          <w:tab/>
          <w:t xml:space="preserve">Dobin, A. </w:t>
        </w:r>
      </w:hyperlink>
      <w:hyperlink r:id="rId57">
        <w:r w:rsidDel="00000000" w:rsidR="00000000" w:rsidRPr="00000000">
          <w:rPr>
            <w:i w:val="1"/>
            <w:color w:val="000000"/>
            <w:u w:val="none"/>
            <w:rtl w:val="0"/>
          </w:rPr>
          <w:t xml:space="preserve">et al.</w:t>
        </w:r>
      </w:hyperlink>
      <w:hyperlink r:id="rId58">
        <w:r w:rsidDel="00000000" w:rsidR="00000000" w:rsidRPr="00000000">
          <w:rPr>
            <w:color w:val="000000"/>
            <w:u w:val="none"/>
            <w:rtl w:val="0"/>
          </w:rPr>
          <w:t xml:space="preserve"> STAR: ultrafast universal RNA-seq aligner. </w:t>
        </w:r>
      </w:hyperlink>
      <w:hyperlink r:id="rId59">
        <w:r w:rsidDel="00000000" w:rsidR="00000000" w:rsidRPr="00000000">
          <w:rPr>
            <w:i w:val="1"/>
            <w:color w:val="000000"/>
            <w:u w:val="none"/>
            <w:rtl w:val="0"/>
          </w:rPr>
          <w:t xml:space="preserve">Bioinformatics</w:t>
        </w:r>
      </w:hyperlink>
      <w:hyperlink r:id="rId60">
        <w:r w:rsidDel="00000000" w:rsidR="00000000" w:rsidRPr="00000000">
          <w:rPr>
            <w:color w:val="000000"/>
            <w:u w:val="none"/>
            <w:rtl w:val="0"/>
          </w:rPr>
          <w:t xml:space="preserve"> 29, 15–21 (2013).</w:t>
        </w:r>
      </w:hyperlink>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61">
        <w:r w:rsidDel="00000000" w:rsidR="00000000" w:rsidRPr="00000000">
          <w:rPr>
            <w:color w:val="000000"/>
            <w:u w:val="none"/>
            <w:rtl w:val="0"/>
          </w:rPr>
          <w:t xml:space="preserve">7.</w:t>
          <w:tab/>
          <w:t xml:space="preserve">Wang, L., Wang, S. &amp; Li, W. RSeQC: quality control of RNA-seq experiments. </w:t>
        </w:r>
      </w:hyperlink>
      <w:hyperlink r:id="rId62">
        <w:r w:rsidDel="00000000" w:rsidR="00000000" w:rsidRPr="00000000">
          <w:rPr>
            <w:i w:val="1"/>
            <w:color w:val="000000"/>
            <w:u w:val="none"/>
            <w:rtl w:val="0"/>
          </w:rPr>
          <w:t xml:space="preserve">Bioinformatics</w:t>
        </w:r>
      </w:hyperlink>
      <w:hyperlink r:id="rId63">
        <w:r w:rsidDel="00000000" w:rsidR="00000000" w:rsidRPr="00000000">
          <w:rPr>
            <w:color w:val="000000"/>
            <w:u w:val="none"/>
            <w:rtl w:val="0"/>
          </w:rPr>
          <w:t xml:space="preserve"> 28, 2184–2185 (2012).</w:t>
        </w:r>
      </w:hyperlink>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64">
        <w:r w:rsidDel="00000000" w:rsidR="00000000" w:rsidRPr="00000000">
          <w:rPr>
            <w:color w:val="000000"/>
            <w:u w:val="none"/>
            <w:rtl w:val="0"/>
          </w:rPr>
          <w:t xml:space="preserve">8.</w:t>
          <w:tab/>
          <w:t xml:space="preserve">Ewels, P., Magnusson, M., Lundin, S. &amp; Käller, M. MultiQC: summarize analysis results for multiple tools and samples in a single report. </w:t>
        </w:r>
      </w:hyperlink>
      <w:hyperlink r:id="rId65">
        <w:r w:rsidDel="00000000" w:rsidR="00000000" w:rsidRPr="00000000">
          <w:rPr>
            <w:i w:val="1"/>
            <w:color w:val="000000"/>
            <w:u w:val="none"/>
            <w:rtl w:val="0"/>
          </w:rPr>
          <w:t xml:space="preserve">Bioinformatics</w:t>
        </w:r>
      </w:hyperlink>
      <w:hyperlink r:id="rId66">
        <w:r w:rsidDel="00000000" w:rsidR="00000000" w:rsidRPr="00000000">
          <w:rPr>
            <w:color w:val="000000"/>
            <w:u w:val="none"/>
            <w:rtl w:val="0"/>
          </w:rPr>
          <w:t xml:space="preserve"> 32, 3047–3048 (2016).</w:t>
        </w:r>
      </w:hyperlink>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67">
        <w:r w:rsidDel="00000000" w:rsidR="00000000" w:rsidRPr="00000000">
          <w:rPr>
            <w:color w:val="000000"/>
            <w:u w:val="none"/>
            <w:rtl w:val="0"/>
          </w:rPr>
          <w:t xml:space="preserve">9.</w:t>
          <w:tab/>
          <w:t xml:space="preserve">Love, M. I., Huber, W. &amp; Anders, S. Moderated estimation of fold change and  dispersion for RNA-seq data with DESeq2. </w:t>
        </w:r>
      </w:hyperlink>
      <w:hyperlink r:id="rId68">
        <w:r w:rsidDel="00000000" w:rsidR="00000000" w:rsidRPr="00000000">
          <w:rPr>
            <w:i w:val="1"/>
            <w:color w:val="000000"/>
            <w:u w:val="none"/>
            <w:rtl w:val="0"/>
          </w:rPr>
          <w:t xml:space="preserve">Genome Biol.</w:t>
        </w:r>
      </w:hyperlink>
      <w:hyperlink r:id="rId69">
        <w:r w:rsidDel="00000000" w:rsidR="00000000" w:rsidRPr="00000000">
          <w:rPr>
            <w:color w:val="000000"/>
            <w:u w:val="none"/>
            <w:rtl w:val="0"/>
          </w:rPr>
          <w:t xml:space="preserve"> 15, 550 (2014).</w:t>
        </w:r>
      </w:hyperlink>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70">
        <w:r w:rsidDel="00000000" w:rsidR="00000000" w:rsidRPr="00000000">
          <w:rPr>
            <w:color w:val="000000"/>
            <w:u w:val="none"/>
            <w:rtl w:val="0"/>
          </w:rPr>
          <w:t xml:space="preserve">10.</w:t>
          <w:tab/>
          <w:t xml:space="preserve">Rainer, J., Gatto, L. &amp; Weichenberger, C. X. ensembldb: an R package to create and use Ensembl-based annotation resources. </w:t>
        </w:r>
      </w:hyperlink>
      <w:hyperlink r:id="rId71">
        <w:r w:rsidDel="00000000" w:rsidR="00000000" w:rsidRPr="00000000">
          <w:rPr>
            <w:i w:val="1"/>
            <w:color w:val="000000"/>
            <w:u w:val="none"/>
            <w:rtl w:val="0"/>
          </w:rPr>
          <w:t xml:space="preserve">Bioinformatics</w:t>
        </w:r>
      </w:hyperlink>
      <w:hyperlink r:id="rId72">
        <w:r w:rsidDel="00000000" w:rsidR="00000000" w:rsidRPr="00000000">
          <w:rPr>
            <w:color w:val="000000"/>
            <w:u w:val="none"/>
            <w:rtl w:val="0"/>
          </w:rPr>
          <w:t xml:space="preserve"> 35, 3151–3153 (2019).</w:t>
        </w:r>
      </w:hyperlink>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73">
        <w:r w:rsidDel="00000000" w:rsidR="00000000" w:rsidRPr="00000000">
          <w:rPr>
            <w:color w:val="000000"/>
            <w:u w:val="none"/>
            <w:rtl w:val="0"/>
          </w:rPr>
          <w:t xml:space="preserve">11.</w:t>
          <w:tab/>
          <w:t xml:space="preserve">Subhash, S. &amp; Kanduri, C. GeneSCF: a real-time based functional enrichment tool with support for multiple organisms. </w:t>
        </w:r>
      </w:hyperlink>
      <w:hyperlink r:id="rId74">
        <w:r w:rsidDel="00000000" w:rsidR="00000000" w:rsidRPr="00000000">
          <w:rPr>
            <w:i w:val="1"/>
            <w:color w:val="000000"/>
            <w:u w:val="none"/>
            <w:rtl w:val="0"/>
          </w:rPr>
          <w:t xml:space="preserve">BMC Bioinformatics</w:t>
        </w:r>
      </w:hyperlink>
      <w:hyperlink r:id="rId75">
        <w:r w:rsidDel="00000000" w:rsidR="00000000" w:rsidRPr="00000000">
          <w:rPr>
            <w:color w:val="000000"/>
            <w:u w:val="none"/>
            <w:rtl w:val="0"/>
          </w:rPr>
          <w:t xml:space="preserve"> 17, 365 (2016).</w:t>
        </w:r>
      </w:hyperlink>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color w:val="000000"/>
          <w:u w:val="none"/>
        </w:rPr>
      </w:pPr>
      <w:hyperlink r:id="rId76">
        <w:r w:rsidDel="00000000" w:rsidR="00000000" w:rsidRPr="00000000">
          <w:rPr>
            <w:color w:val="000000"/>
            <w:u w:val="none"/>
            <w:rtl w:val="0"/>
          </w:rPr>
          <w:t xml:space="preserve">12.</w:t>
          <w:tab/>
          <w:t xml:space="preserve">Wood, D. E., Lu, J. &amp; Langmead, B. Improved metagenomic analysis with Kraken 2. </w:t>
        </w:r>
      </w:hyperlink>
      <w:hyperlink r:id="rId77">
        <w:r w:rsidDel="00000000" w:rsidR="00000000" w:rsidRPr="00000000">
          <w:rPr>
            <w:i w:val="1"/>
            <w:color w:val="000000"/>
            <w:u w:val="none"/>
            <w:rtl w:val="0"/>
          </w:rPr>
          <w:t xml:space="preserve">Genome Biol.</w:t>
        </w:r>
      </w:hyperlink>
      <w:hyperlink r:id="rId78">
        <w:r w:rsidDel="00000000" w:rsidR="00000000" w:rsidRPr="00000000">
          <w:rPr>
            <w:color w:val="000000"/>
            <w:u w:val="none"/>
            <w:rtl w:val="0"/>
          </w:rPr>
          <w:t xml:space="preserve"> 20, 257 (2019).</w:t>
        </w:r>
      </w:hyperlink>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438" w:right="0" w:hanging="438"/>
        <w:jc w:val="left"/>
        <w:rPr/>
      </w:pPr>
      <w:hyperlink r:id="rId79">
        <w:r w:rsidDel="00000000" w:rsidR="00000000" w:rsidRPr="00000000">
          <w:rPr>
            <w:color w:val="000000"/>
            <w:u w:val="none"/>
            <w:rtl w:val="0"/>
          </w:rPr>
          <w:t xml:space="preserve">13.</w:t>
          <w:tab/>
          <w:t xml:space="preserve">Wickham, H. ggplot2. </w:t>
        </w:r>
      </w:hyperlink>
      <w:hyperlink r:id="rId80">
        <w:r w:rsidDel="00000000" w:rsidR="00000000" w:rsidRPr="00000000">
          <w:rPr>
            <w:i w:val="1"/>
            <w:color w:val="000000"/>
            <w:u w:val="none"/>
            <w:rtl w:val="0"/>
          </w:rPr>
          <w:t xml:space="preserve">WIREs Comp Stat</w:t>
        </w:r>
      </w:hyperlink>
      <w:hyperlink r:id="rId81">
        <w:r w:rsidDel="00000000" w:rsidR="00000000" w:rsidRPr="00000000">
          <w:rPr>
            <w:color w:val="000000"/>
            <w:u w:val="none"/>
            <w:rtl w:val="0"/>
          </w:rPr>
          <w:t xml:space="preserve"> 3, 180–185 (2011).</w:t>
        </w:r>
      </w:hyperlink>
      <w:r w:rsidDel="00000000" w:rsidR="00000000" w:rsidRPr="00000000">
        <w:rPr>
          <w:rtl w:val="0"/>
        </w:rPr>
      </w:r>
    </w:p>
    <w:p w:rsidR="00000000" w:rsidDel="00000000" w:rsidP="00000000" w:rsidRDefault="00000000" w:rsidRPr="00000000" w14:paraId="00000025">
      <w:pPr>
        <w:pStyle w:val="Heading1"/>
        <w:spacing w:line="480" w:lineRule="auto"/>
        <w:jc w:val="left"/>
        <w:rPr/>
      </w:pPr>
      <w:bookmarkStart w:colFirst="0" w:colLast="0" w:name="_ys61cpklbk4m" w:id="5"/>
      <w:bookmarkEnd w:id="5"/>
      <w:r w:rsidDel="00000000" w:rsidR="00000000" w:rsidRPr="00000000">
        <w:rPr>
          <w:rtl w:val="0"/>
        </w:rPr>
      </w:r>
    </w:p>
    <w:p w:rsidR="00000000" w:rsidDel="00000000" w:rsidP="00000000" w:rsidRDefault="00000000" w:rsidRPr="00000000" w14:paraId="00000026">
      <w:pPr>
        <w:pStyle w:val="Heading1"/>
        <w:spacing w:line="480" w:lineRule="auto"/>
        <w:jc w:val="left"/>
        <w:rPr/>
      </w:pPr>
      <w:bookmarkStart w:colFirst="0" w:colLast="0" w:name="_zbbmtinyk3bp" w:id="6"/>
      <w:bookmarkEnd w:id="6"/>
      <w:r w:rsidDel="00000000" w:rsidR="00000000" w:rsidRPr="00000000">
        <w:rPr>
          <w:rtl w:val="0"/>
        </w:rPr>
        <w:t xml:space="preserve">Supplementary Figure Legend</w:t>
      </w:r>
    </w:p>
    <w:p w:rsidR="00000000" w:rsidDel="00000000" w:rsidP="00000000" w:rsidRDefault="00000000" w:rsidRPr="00000000" w14:paraId="00000027">
      <w:pPr>
        <w:widowControl w:val="0"/>
        <w:spacing w:line="480" w:lineRule="auto"/>
        <w:rPr/>
      </w:pPr>
      <w:r w:rsidDel="00000000" w:rsidR="00000000" w:rsidRPr="00000000">
        <w:rPr>
          <w:b w:val="1"/>
          <w:rtl w:val="0"/>
        </w:rPr>
        <w:t xml:space="preserve">Supplementary Figure 1. IBD TaMMA is a reliable tool for IBD studies</w:t>
      </w:r>
      <w:r w:rsidDel="00000000" w:rsidR="00000000" w:rsidRPr="00000000">
        <w:rPr>
          <w:rtl w:val="0"/>
        </w:rPr>
        <w:t xml:space="preserve">. (</w:t>
      </w:r>
      <w:r w:rsidDel="00000000" w:rsidR="00000000" w:rsidRPr="00000000">
        <w:rPr>
          <w:b w:val="1"/>
          <w:rtl w:val="0"/>
        </w:rPr>
        <w:t xml:space="preserve">a</w:t>
      </w:r>
      <w:r w:rsidDel="00000000" w:rsidR="00000000" w:rsidRPr="00000000">
        <w:rPr>
          <w:rtl w:val="0"/>
        </w:rPr>
        <w:t xml:space="preserve">) Schematic representation of the entire IBD TaMMA workflow. This image has been designed using resources from </w:t>
      </w:r>
      <w:hyperlink r:id="rId82">
        <w:r w:rsidDel="00000000" w:rsidR="00000000" w:rsidRPr="00000000">
          <w:rPr>
            <w:color w:val="1155cc"/>
            <w:u w:val="single"/>
            <w:rtl w:val="0"/>
          </w:rPr>
          <w:t xml:space="preserve">https://streamlineicons.com</w:t>
        </w:r>
      </w:hyperlink>
      <w:r w:rsidDel="00000000" w:rsidR="00000000" w:rsidRPr="00000000">
        <w:rPr>
          <w:rtl w:val="0"/>
        </w:rPr>
        <w:t xml:space="preserve">. (</w:t>
      </w:r>
      <w:r w:rsidDel="00000000" w:rsidR="00000000" w:rsidRPr="00000000">
        <w:rPr>
          <w:b w:val="1"/>
          <w:rtl w:val="0"/>
        </w:rPr>
        <w:t xml:space="preserve">b</w:t>
      </w:r>
      <w:r w:rsidDel="00000000" w:rsidR="00000000" w:rsidRPr="00000000">
        <w:rPr>
          <w:rtl w:val="0"/>
        </w:rPr>
        <w:t xml:space="preserve">) Box plots showing comparable gene expression levels of the housekeeping Actin-beta</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ACTB</w:t>
      </w:r>
      <w:r w:rsidDel="00000000" w:rsidR="00000000" w:rsidRPr="00000000">
        <w:rPr>
          <w:rtl w:val="0"/>
        </w:rPr>
        <w:t xml:space="preserve">), Glyceraldehyde 3-phosphate dehydrogenase (</w:t>
      </w:r>
      <w:r w:rsidDel="00000000" w:rsidR="00000000" w:rsidRPr="00000000">
        <w:rPr>
          <w:i w:val="1"/>
          <w:rtl w:val="0"/>
        </w:rPr>
        <w:t xml:space="preserve">GAPDH</w:t>
      </w:r>
      <w:r w:rsidDel="00000000" w:rsidR="00000000" w:rsidRPr="00000000">
        <w:rPr>
          <w:rtl w:val="0"/>
        </w:rPr>
        <w:t xml:space="preserve">), Glucose-6-Phosphate Isomerase (</w:t>
      </w:r>
      <w:r w:rsidDel="00000000" w:rsidR="00000000" w:rsidRPr="00000000">
        <w:rPr>
          <w:i w:val="1"/>
          <w:rtl w:val="0"/>
        </w:rPr>
        <w:t xml:space="preserve">GPI</w:t>
      </w:r>
      <w:r w:rsidDel="00000000" w:rsidR="00000000" w:rsidRPr="00000000">
        <w:rPr>
          <w:rtl w:val="0"/>
        </w:rPr>
        <w:t xml:space="preserve">), and Vacuolar protein sorting-associated protein 29 (</w:t>
      </w:r>
      <w:r w:rsidDel="00000000" w:rsidR="00000000" w:rsidRPr="00000000">
        <w:rPr>
          <w:i w:val="1"/>
          <w:rtl w:val="0"/>
        </w:rPr>
        <w:t xml:space="preserve">VPS29</w:t>
      </w:r>
      <w:r w:rsidDel="00000000" w:rsidR="00000000" w:rsidRPr="00000000">
        <w:rPr>
          <w:rtl w:val="0"/>
        </w:rPr>
        <w:t xml:space="preserve">) among ileum, colon, and rectum from CD, UC and healthy human subjects (Housekeeping from Eisenberg and Levanon, 2013). (</w:t>
      </w:r>
      <w:r w:rsidDel="00000000" w:rsidR="00000000" w:rsidRPr="00000000">
        <w:rPr>
          <w:b w:val="1"/>
          <w:rtl w:val="0"/>
        </w:rPr>
        <w:t xml:space="preserve">c</w:t>
      </w:r>
      <w:r w:rsidDel="00000000" w:rsidR="00000000" w:rsidRPr="00000000">
        <w:rPr>
          <w:rtl w:val="0"/>
        </w:rPr>
        <w:t xml:space="preserve">) Box plots showing normalized expression levels of Interferon-gamma (</w:t>
      </w:r>
      <w:r w:rsidDel="00000000" w:rsidR="00000000" w:rsidRPr="00000000">
        <w:rPr>
          <w:i w:val="1"/>
          <w:rtl w:val="0"/>
        </w:rPr>
        <w:t xml:space="preserve">IFNG</w:t>
      </w:r>
      <w:r w:rsidDel="00000000" w:rsidR="00000000" w:rsidRPr="00000000">
        <w:rPr>
          <w:rtl w:val="0"/>
        </w:rPr>
        <w:t xml:space="preserve">), Interleukin 12B (</w:t>
      </w:r>
      <w:r w:rsidDel="00000000" w:rsidR="00000000" w:rsidRPr="00000000">
        <w:rPr>
          <w:i w:val="1"/>
          <w:rtl w:val="0"/>
        </w:rPr>
        <w:t xml:space="preserve">IL12B</w:t>
      </w:r>
      <w:r w:rsidDel="00000000" w:rsidR="00000000" w:rsidRPr="00000000">
        <w:rPr>
          <w:rtl w:val="0"/>
        </w:rPr>
        <w:t xml:space="preserve">), Integrin alpha 4 (</w:t>
      </w:r>
      <w:r w:rsidDel="00000000" w:rsidR="00000000" w:rsidRPr="00000000">
        <w:rPr>
          <w:i w:val="1"/>
          <w:rtl w:val="0"/>
        </w:rPr>
        <w:t xml:space="preserve">ITGA4</w:t>
      </w:r>
      <w:r w:rsidDel="00000000" w:rsidR="00000000" w:rsidRPr="00000000">
        <w:rPr>
          <w:rtl w:val="0"/>
        </w:rPr>
        <w:t xml:space="preserve">), Integrin beta 7 (</w:t>
      </w:r>
      <w:r w:rsidDel="00000000" w:rsidR="00000000" w:rsidRPr="00000000">
        <w:rPr>
          <w:i w:val="1"/>
          <w:rtl w:val="0"/>
        </w:rPr>
        <w:t xml:space="preserve">ITGB7</w:t>
      </w:r>
      <w:r w:rsidDel="00000000" w:rsidR="00000000" w:rsidRPr="00000000">
        <w:rPr>
          <w:rtl w:val="0"/>
        </w:rPr>
        <w:t xml:space="preserve">), in the ileum, colon, and rectum from CD, UC, and healthy human subjects. Their differential expression between IBD- and healthy-derived samples represent one of the hallmarks of chronic inflammation (literature table within TaMMA web app </w:t>
      </w:r>
      <w:hyperlink r:id="rId83">
        <w:r w:rsidDel="00000000" w:rsidR="00000000" w:rsidRPr="00000000">
          <w:rPr>
            <w:color w:val="1155cc"/>
            <w:u w:val="single"/>
            <w:rtl w:val="0"/>
          </w:rPr>
          <w:t xml:space="preserve">https://ibd-meta-analysis.herokuapp.com/</w:t>
        </w:r>
      </w:hyperlink>
      <w:r w:rsidDel="00000000" w:rsidR="00000000" w:rsidRPr="00000000">
        <w:rPr>
          <w:rtl w:val="0"/>
        </w:rPr>
        <w:t xml:space="preserve">). (</w:t>
      </w:r>
      <w:r w:rsidDel="00000000" w:rsidR="00000000" w:rsidRPr="00000000">
        <w:rPr>
          <w:b w:val="1"/>
          <w:rtl w:val="0"/>
        </w:rPr>
        <w:t xml:space="preserve">d,e</w:t>
      </w:r>
      <w:r w:rsidDel="00000000" w:rsidR="00000000" w:rsidRPr="00000000">
        <w:rPr>
          <w:rtl w:val="0"/>
        </w:rPr>
        <w:t xml:space="preserve">) Box plots showing the results of metatranscriptomics performed on CD, UC, and healthy ileum, colon, and rectum highlighting the increased relative abundance of </w:t>
      </w:r>
      <w:r w:rsidDel="00000000" w:rsidR="00000000" w:rsidRPr="00000000">
        <w:rPr>
          <w:i w:val="1"/>
          <w:rtl w:val="0"/>
        </w:rPr>
        <w:t xml:space="preserve">Herpesviridae </w:t>
      </w:r>
      <w:r w:rsidDel="00000000" w:rsidR="00000000" w:rsidRPr="00000000">
        <w:rPr>
          <w:rtl w:val="0"/>
        </w:rPr>
        <w:t xml:space="preserve">family in CD ileum and UC colon by comparison with the healthy (d), as well as the increased relative abundance of </w:t>
      </w:r>
      <w:r w:rsidDel="00000000" w:rsidR="00000000" w:rsidRPr="00000000">
        <w:rPr>
          <w:i w:val="1"/>
          <w:rtl w:val="0"/>
        </w:rPr>
        <w:t xml:space="preserve">Hepadnaviridae </w:t>
      </w:r>
      <w:r w:rsidDel="00000000" w:rsidR="00000000" w:rsidRPr="00000000">
        <w:rPr>
          <w:rtl w:val="0"/>
        </w:rPr>
        <w:t xml:space="preserve">family in the ileum from UC patients as compared to the CD and healthy tissues (e). All box plots represent sample distribution with the median, min, max, first, and third quartiles. An interquartile range of 1.5 has been used to define outliers. For the statistics, please refer to </w:t>
      </w:r>
      <w:r w:rsidDel="00000000" w:rsidR="00000000" w:rsidRPr="00000000">
        <w:rPr>
          <w:b w:val="1"/>
          <w:rtl w:val="0"/>
        </w:rPr>
        <w:t xml:space="preserve">Supplementary Fig. 2</w:t>
      </w:r>
      <w:r w:rsidDel="00000000" w:rsidR="00000000" w:rsidRPr="00000000">
        <w:rPr>
          <w:rtl w:val="0"/>
        </w:rPr>
        <w:t xml:space="preserve">.</w:t>
      </w:r>
    </w:p>
    <w:p w:rsidR="00000000" w:rsidDel="00000000" w:rsidP="00000000" w:rsidRDefault="00000000" w:rsidRPr="00000000" w14:paraId="00000028">
      <w:pPr>
        <w:widowControl w:val="0"/>
        <w:spacing w:line="480" w:lineRule="auto"/>
        <w:rPr>
          <w:b w:val="1"/>
        </w:rPr>
      </w:pPr>
      <w:r w:rsidDel="00000000" w:rsidR="00000000" w:rsidRPr="00000000">
        <w:rPr>
          <w:rtl w:val="0"/>
        </w:rPr>
      </w:r>
    </w:p>
    <w:p w:rsidR="00000000" w:rsidDel="00000000" w:rsidP="00000000" w:rsidRDefault="00000000" w:rsidRPr="00000000" w14:paraId="00000029">
      <w:pPr>
        <w:widowControl w:val="0"/>
        <w:spacing w:line="480" w:lineRule="auto"/>
        <w:rPr>
          <w:b w:val="1"/>
        </w:rPr>
      </w:pPr>
      <w:r w:rsidDel="00000000" w:rsidR="00000000" w:rsidRPr="00000000">
        <w:rPr>
          <w:b w:val="1"/>
          <w:rtl w:val="0"/>
        </w:rPr>
        <w:t xml:space="preserve">Supplementary Figure 2. Statistics and differential gene expressions and relative abundances of the comparisons mentioned in the manuscript.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b w:val="1"/>
    </w:rPr>
  </w:style>
  <w:style w:type="paragraph" w:styleId="Heading2">
    <w:name w:val="heading 2"/>
    <w:basedOn w:val="Normal"/>
    <w:next w:val="Normal"/>
    <w:pPr>
      <w:keepNext w:val="1"/>
      <w:keepLines w:val="1"/>
      <w:jc w:val="both"/>
    </w:pPr>
    <w:rPr>
      <w:i w:val="1"/>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both"/>
    </w:pPr>
    <w:rPr>
      <w:b w:val="1"/>
      <w:sz w:val="24"/>
      <w:szCs w:val="24"/>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sciwheel.com/work/bibliography/5932861" TargetMode="External"/><Relationship Id="rId83" Type="http://schemas.openxmlformats.org/officeDocument/2006/relationships/hyperlink" Target="https://ibd-meta-analysis.herokuapp.com/" TargetMode="External"/><Relationship Id="rId42" Type="http://schemas.openxmlformats.org/officeDocument/2006/relationships/hyperlink" Target="https://sciwheel.com/work/bibliography/5932861" TargetMode="External"/><Relationship Id="rId41" Type="http://schemas.openxmlformats.org/officeDocument/2006/relationships/hyperlink" Target="https://sciwheel.com/work/bibliography/5932861" TargetMode="External"/><Relationship Id="rId44" Type="http://schemas.openxmlformats.org/officeDocument/2006/relationships/hyperlink" Target="https://sciwheel.com/work/bibliography/5932861" TargetMode="External"/><Relationship Id="rId43" Type="http://schemas.openxmlformats.org/officeDocument/2006/relationships/hyperlink" Target="https://sciwheel.com/work/bibliography/5932861" TargetMode="External"/><Relationship Id="rId46" Type="http://schemas.openxmlformats.org/officeDocument/2006/relationships/hyperlink" Target="https://sciwheel.com/work/bibliography/580863" TargetMode="External"/><Relationship Id="rId45" Type="http://schemas.openxmlformats.org/officeDocument/2006/relationships/hyperlink" Target="https://sciwheel.com/work/bibliography/580863" TargetMode="External"/><Relationship Id="rId80" Type="http://schemas.openxmlformats.org/officeDocument/2006/relationships/hyperlink" Target="https://sciwheel.com/work/bibliography/2805184" TargetMode="External"/><Relationship Id="rId82" Type="http://schemas.openxmlformats.org/officeDocument/2006/relationships/hyperlink" Target="https://streamlineicons.com" TargetMode="External"/><Relationship Id="rId81" Type="http://schemas.openxmlformats.org/officeDocument/2006/relationships/hyperlink" Target="https://sciwheel.com/work/bibliography/28051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ciwheel.com/work/citation?ids=63413&amp;pre=&amp;suf=&amp;sa=0" TargetMode="External"/><Relationship Id="rId48" Type="http://schemas.openxmlformats.org/officeDocument/2006/relationships/hyperlink" Target="https://sciwheel.com/work/bibliography/63413" TargetMode="External"/><Relationship Id="rId47" Type="http://schemas.openxmlformats.org/officeDocument/2006/relationships/hyperlink" Target="https://sciwheel.com/work/bibliography/580863" TargetMode="External"/><Relationship Id="rId49" Type="http://schemas.openxmlformats.org/officeDocument/2006/relationships/hyperlink" Target="https://sciwheel.com/work/bibliography/63413" TargetMode="External"/><Relationship Id="rId5" Type="http://schemas.openxmlformats.org/officeDocument/2006/relationships/styles" Target="styles.xml"/><Relationship Id="rId6" Type="http://schemas.openxmlformats.org/officeDocument/2006/relationships/hyperlink" Target="https://sciwheel.com/work/citation?ids=580863&amp;pre=&amp;suf=&amp;sa=0" TargetMode="External"/><Relationship Id="rId7" Type="http://schemas.openxmlformats.org/officeDocument/2006/relationships/hyperlink" Target="https://trace.ncbi.nlm.nih.gov/Traces/sra/sra.cgi?view=toolkit_doc&amp;f=fastq-dump" TargetMode="External"/><Relationship Id="rId8" Type="http://schemas.openxmlformats.org/officeDocument/2006/relationships/hyperlink" Target="https://www.bioinformatics.babraham.ac.uk/projects/fastqc/" TargetMode="External"/><Relationship Id="rId73" Type="http://schemas.openxmlformats.org/officeDocument/2006/relationships/hyperlink" Target="https://sciwheel.com/work/bibliography/2450702" TargetMode="External"/><Relationship Id="rId72" Type="http://schemas.openxmlformats.org/officeDocument/2006/relationships/hyperlink" Target="https://sciwheel.com/work/bibliography/8172387" TargetMode="External"/><Relationship Id="rId31" Type="http://schemas.openxmlformats.org/officeDocument/2006/relationships/hyperlink" Target="https://ibd-meta-analysis.herokuapp.com/" TargetMode="External"/><Relationship Id="rId75" Type="http://schemas.openxmlformats.org/officeDocument/2006/relationships/hyperlink" Target="https://sciwheel.com/work/bibliography/2450702" TargetMode="External"/><Relationship Id="rId30" Type="http://schemas.openxmlformats.org/officeDocument/2006/relationships/hyperlink" Target="https://github.com/Humanitas-Danese-s-omics/ibd-meta-analysis" TargetMode="External"/><Relationship Id="rId74" Type="http://schemas.openxmlformats.org/officeDocument/2006/relationships/hyperlink" Target="https://sciwheel.com/work/bibliography/2450702" TargetMode="External"/><Relationship Id="rId33" Type="http://schemas.openxmlformats.org/officeDocument/2006/relationships/hyperlink" Target="https://docs.python-requests.org/" TargetMode="External"/><Relationship Id="rId77" Type="http://schemas.openxmlformats.org/officeDocument/2006/relationships/hyperlink" Target="https://sciwheel.com/work/bibliography/8120680" TargetMode="External"/><Relationship Id="rId32" Type="http://schemas.openxmlformats.org/officeDocument/2006/relationships/hyperlink" Target="https://github.com/Humanitas-Danese-s-omics/ibd-meta-analysis-data" TargetMode="External"/><Relationship Id="rId76" Type="http://schemas.openxmlformats.org/officeDocument/2006/relationships/hyperlink" Target="https://sciwheel.com/work/bibliography/8120680" TargetMode="External"/><Relationship Id="rId35" Type="http://schemas.openxmlformats.org/officeDocument/2006/relationships/hyperlink" Target="https://sciwheel.com/work/bibliography/3287371" TargetMode="External"/><Relationship Id="rId79" Type="http://schemas.openxmlformats.org/officeDocument/2006/relationships/hyperlink" Target="https://sciwheel.com/work/bibliography/2805184" TargetMode="External"/><Relationship Id="rId34" Type="http://schemas.openxmlformats.org/officeDocument/2006/relationships/hyperlink" Target="https://ibd-tamma.readthedocs.io/" TargetMode="External"/><Relationship Id="rId78" Type="http://schemas.openxmlformats.org/officeDocument/2006/relationships/hyperlink" Target="https://sciwheel.com/work/bibliography/8120680" TargetMode="External"/><Relationship Id="rId71" Type="http://schemas.openxmlformats.org/officeDocument/2006/relationships/hyperlink" Target="https://sciwheel.com/work/bibliography/8172387" TargetMode="External"/><Relationship Id="rId70" Type="http://schemas.openxmlformats.org/officeDocument/2006/relationships/hyperlink" Target="https://sciwheel.com/work/bibliography/8172387" TargetMode="External"/><Relationship Id="rId37" Type="http://schemas.openxmlformats.org/officeDocument/2006/relationships/hyperlink" Target="https://sciwheel.com/work/bibliography/3287371" TargetMode="External"/><Relationship Id="rId36" Type="http://schemas.openxmlformats.org/officeDocument/2006/relationships/hyperlink" Target="https://sciwheel.com/work/bibliography/3287371" TargetMode="External"/><Relationship Id="rId39" Type="http://schemas.openxmlformats.org/officeDocument/2006/relationships/hyperlink" Target="https://sciwheel.com/work/bibliography/3287371" TargetMode="External"/><Relationship Id="rId38" Type="http://schemas.openxmlformats.org/officeDocument/2006/relationships/hyperlink" Target="https://sciwheel.com/work/bibliography/3287371" TargetMode="External"/><Relationship Id="rId62" Type="http://schemas.openxmlformats.org/officeDocument/2006/relationships/hyperlink" Target="https://sciwheel.com/work/bibliography/1264160" TargetMode="External"/><Relationship Id="rId61" Type="http://schemas.openxmlformats.org/officeDocument/2006/relationships/hyperlink" Target="https://sciwheel.com/work/bibliography/1264160" TargetMode="External"/><Relationship Id="rId20" Type="http://schemas.openxmlformats.org/officeDocument/2006/relationships/hyperlink" Target="https://sciwheel.com/work/citation?ids=2450702&amp;pre=&amp;suf=&amp;sa=0" TargetMode="External"/><Relationship Id="rId64" Type="http://schemas.openxmlformats.org/officeDocument/2006/relationships/hyperlink" Target="https://sciwheel.com/work/bibliography/2919136" TargetMode="External"/><Relationship Id="rId63" Type="http://schemas.openxmlformats.org/officeDocument/2006/relationships/hyperlink" Target="https://sciwheel.com/work/bibliography/1264160" TargetMode="External"/><Relationship Id="rId22" Type="http://schemas.openxmlformats.org/officeDocument/2006/relationships/hyperlink" Target="https://github.com/vegandevs/vegan" TargetMode="External"/><Relationship Id="rId66" Type="http://schemas.openxmlformats.org/officeDocument/2006/relationships/hyperlink" Target="https://sciwheel.com/work/bibliography/2919136" TargetMode="External"/><Relationship Id="rId21" Type="http://schemas.openxmlformats.org/officeDocument/2006/relationships/hyperlink" Target="https://sciwheel.com/work/citation?ids=8120680&amp;pre=&amp;suf=&amp;sa=0" TargetMode="External"/><Relationship Id="rId65" Type="http://schemas.openxmlformats.org/officeDocument/2006/relationships/hyperlink" Target="https://sciwheel.com/work/bibliography/2919136" TargetMode="External"/><Relationship Id="rId24" Type="http://schemas.openxmlformats.org/officeDocument/2006/relationships/hyperlink" Target="https://www.tidyverse.org/" TargetMode="External"/><Relationship Id="rId68" Type="http://schemas.openxmlformats.org/officeDocument/2006/relationships/hyperlink" Target="https://sciwheel.com/work/bibliography/129353" TargetMode="External"/><Relationship Id="rId23" Type="http://schemas.openxmlformats.org/officeDocument/2006/relationships/hyperlink" Target="https://cran.r-project.org/web/packages/umap/vignettes/umap.html" TargetMode="External"/><Relationship Id="rId67" Type="http://schemas.openxmlformats.org/officeDocument/2006/relationships/hyperlink" Target="https://sciwheel.com/work/bibliography/129353" TargetMode="External"/><Relationship Id="rId60" Type="http://schemas.openxmlformats.org/officeDocument/2006/relationships/hyperlink" Target="https://sciwheel.com/work/bibliography/49324" TargetMode="External"/><Relationship Id="rId26" Type="http://schemas.openxmlformats.org/officeDocument/2006/relationships/hyperlink" Target="https://pandas.pydata.org/" TargetMode="External"/><Relationship Id="rId25" Type="http://schemas.openxmlformats.org/officeDocument/2006/relationships/hyperlink" Target="https://numpy.org/" TargetMode="External"/><Relationship Id="rId69" Type="http://schemas.openxmlformats.org/officeDocument/2006/relationships/hyperlink" Target="https://sciwheel.com/work/bibliography/129353" TargetMode="External"/><Relationship Id="rId28" Type="http://schemas.openxmlformats.org/officeDocument/2006/relationships/hyperlink" Target="https://dash.plotly.com/" TargetMode="External"/><Relationship Id="rId27" Type="http://schemas.openxmlformats.org/officeDocument/2006/relationships/hyperlink" Target="https://sciwheel.com/work/citation?ids=2805184&amp;pre=&amp;suf=&amp;sa=0" TargetMode="External"/><Relationship Id="rId29" Type="http://schemas.openxmlformats.org/officeDocument/2006/relationships/hyperlink" Target="https://plotly.com/" TargetMode="External"/><Relationship Id="rId51" Type="http://schemas.openxmlformats.org/officeDocument/2006/relationships/hyperlink" Target="https://sciwheel.com/work/bibliography/6007664" TargetMode="External"/><Relationship Id="rId50" Type="http://schemas.openxmlformats.org/officeDocument/2006/relationships/hyperlink" Target="https://sciwheel.com/work/bibliography/63413" TargetMode="External"/><Relationship Id="rId53" Type="http://schemas.openxmlformats.org/officeDocument/2006/relationships/hyperlink" Target="https://sciwheel.com/work/bibliography/6007664" TargetMode="External"/><Relationship Id="rId52" Type="http://schemas.openxmlformats.org/officeDocument/2006/relationships/hyperlink" Target="https://sciwheel.com/work/bibliography/6007664" TargetMode="External"/><Relationship Id="rId11" Type="http://schemas.openxmlformats.org/officeDocument/2006/relationships/hyperlink" Target="https://sciwheel.com/work/citation?ids=49324&amp;pre=&amp;suf=&amp;sa=0" TargetMode="External"/><Relationship Id="rId55" Type="http://schemas.openxmlformats.org/officeDocument/2006/relationships/hyperlink" Target="https://sciwheel.com/work/bibliography/6007664" TargetMode="External"/><Relationship Id="rId10" Type="http://schemas.openxmlformats.org/officeDocument/2006/relationships/hyperlink" Target="https://sciwheel.com/work/citation?ids=6007664&amp;pre=&amp;suf=&amp;sa=0" TargetMode="External"/><Relationship Id="rId54" Type="http://schemas.openxmlformats.org/officeDocument/2006/relationships/hyperlink" Target="https://sciwheel.com/work/bibliography/6007664" TargetMode="External"/><Relationship Id="rId13" Type="http://schemas.openxmlformats.org/officeDocument/2006/relationships/hyperlink" Target="https://sciwheel.com/work/citation?ids=2919136&amp;pre=&amp;suf=&amp;sa=0" TargetMode="External"/><Relationship Id="rId57" Type="http://schemas.openxmlformats.org/officeDocument/2006/relationships/hyperlink" Target="https://sciwheel.com/work/bibliography/49324" TargetMode="External"/><Relationship Id="rId12" Type="http://schemas.openxmlformats.org/officeDocument/2006/relationships/hyperlink" Target="https://sciwheel.com/work/citation?ids=1264160&amp;pre=&amp;suf=&amp;sa=0" TargetMode="External"/><Relationship Id="rId56" Type="http://schemas.openxmlformats.org/officeDocument/2006/relationships/hyperlink" Target="https://sciwheel.com/work/bibliography/49324" TargetMode="External"/><Relationship Id="rId15" Type="http://schemas.openxmlformats.org/officeDocument/2006/relationships/hyperlink" Target="https://bioconductor.org/packages/release/bioc/html/sva.html" TargetMode="External"/><Relationship Id="rId59" Type="http://schemas.openxmlformats.org/officeDocument/2006/relationships/hyperlink" Target="https://sciwheel.com/work/bibliography/49324" TargetMode="External"/><Relationship Id="rId14" Type="http://schemas.openxmlformats.org/officeDocument/2006/relationships/hyperlink" Target="https://sciwheel.com/work/citation?ids=3287371&amp;pre=&amp;suf=&amp;sa=0" TargetMode="External"/><Relationship Id="rId58" Type="http://schemas.openxmlformats.org/officeDocument/2006/relationships/hyperlink" Target="https://sciwheel.com/work/bibliography/49324" TargetMode="External"/><Relationship Id="rId17" Type="http://schemas.openxmlformats.org/officeDocument/2006/relationships/hyperlink" Target="https://github.com/Bioconductor/BiocParallel" TargetMode="External"/><Relationship Id="rId16" Type="http://schemas.openxmlformats.org/officeDocument/2006/relationships/hyperlink" Target="https://sciwheel.com/work/citation?ids=129353&amp;pre=&amp;suf=&amp;sa=0" TargetMode="External"/><Relationship Id="rId19" Type="http://schemas.openxmlformats.org/officeDocument/2006/relationships/hyperlink" Target="http://bioconductor.org/packages/release/data/annotation/html/EnsDb.Hsapiens.v86.html" TargetMode="External"/><Relationship Id="rId18" Type="http://schemas.openxmlformats.org/officeDocument/2006/relationships/hyperlink" Target="https://sciwheel.com/work/citation?ids=8172387&amp;pre=&amp;suf=&amp;s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