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73F8D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Supplementary materials</w:t>
      </w:r>
    </w:p>
    <w:p w14:paraId="248E7EFA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14:paraId="3B90476E">
      <w:pPr>
        <w:spacing w:line="240" w:lineRule="auto"/>
        <w:rPr>
          <w:rFonts w:ascii="Times New Roman" w:hAnsi="Times New Roman" w:eastAsiaTheme="minorEastAsia" w:cstheme="minorBid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Joint Association of Diet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 xml:space="preserve"> Quality</w:t>
      </w:r>
      <w:r>
        <w:rPr>
          <w:rFonts w:ascii="Times New Roman" w:hAnsi="Times New Roman"/>
          <w:b/>
          <w:sz w:val="24"/>
          <w:szCs w:val="24"/>
        </w:rPr>
        <w:t xml:space="preserve"> and Physical Activity with Metabolic Syndrome: A Population-Based Cross-Sectional Study in Western China</w:t>
      </w:r>
    </w:p>
    <w:p w14:paraId="17DA1F3F">
      <w:pPr>
        <w:widowControl/>
        <w:spacing w:line="360" w:lineRule="auto"/>
        <w:jc w:val="left"/>
        <w:rPr>
          <w:rFonts w:ascii="Times New Roman" w:hAnsi="Times New Roman" w:eastAsia="宋体" w:cs="Times New Roman"/>
          <w:bCs/>
          <w:szCs w:val="21"/>
          <w:vertAlign w:val="superscript"/>
        </w:rPr>
      </w:pPr>
      <w:r>
        <w:rPr>
          <w:rFonts w:ascii="Times New Roman" w:hAnsi="Times New Roman" w:eastAsia="宋体" w:cs="Times New Roman"/>
          <w:bCs/>
          <w:szCs w:val="21"/>
        </w:rPr>
        <w:t>Xieyire Hamulati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 xml:space="preserve">1† </w:t>
      </w:r>
      <w:r>
        <w:rPr>
          <w:rFonts w:ascii="Times New Roman" w:hAnsi="Times New Roman" w:eastAsia="宋体" w:cs="Times New Roman"/>
          <w:bCs/>
          <w:szCs w:val="21"/>
        </w:rPr>
        <w:t>, Qian Zhao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 xml:space="preserve">1† </w:t>
      </w:r>
      <w:r>
        <w:rPr>
          <w:rFonts w:ascii="Times New Roman" w:hAnsi="Times New Roman" w:eastAsia="宋体" w:cs="Times New Roman"/>
          <w:bCs/>
          <w:szCs w:val="21"/>
        </w:rPr>
        <w:t>, Ying Wang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2</w:t>
      </w:r>
      <w:r>
        <w:rPr>
          <w:rFonts w:ascii="Times New Roman" w:hAnsi="Times New Roman" w:eastAsia="宋体" w:cs="Times New Roman"/>
          <w:bCs/>
          <w:szCs w:val="21"/>
        </w:rPr>
        <w:t>, Munire Mutalifu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1</w:t>
      </w:r>
      <w:r>
        <w:rPr>
          <w:rFonts w:ascii="Times New Roman" w:hAnsi="Times New Roman" w:eastAsia="宋体" w:cs="Times New Roman"/>
          <w:bCs/>
          <w:szCs w:val="21"/>
        </w:rPr>
        <w:t>, Lei Deng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3</w:t>
      </w:r>
      <w:r>
        <w:rPr>
          <w:rFonts w:ascii="Times New Roman" w:hAnsi="Times New Roman" w:eastAsia="宋体" w:cs="Times New Roman"/>
          <w:bCs/>
          <w:szCs w:val="21"/>
        </w:rPr>
        <w:t>, Niyaziaili Adili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1</w:t>
      </w:r>
      <w:r>
        <w:rPr>
          <w:rFonts w:ascii="Times New Roman" w:hAnsi="Times New Roman" w:eastAsia="宋体" w:cs="Times New Roman"/>
          <w:bCs/>
          <w:szCs w:val="21"/>
        </w:rPr>
        <w:t>, Fen Liu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1</w:t>
      </w:r>
      <w:r>
        <w:rPr>
          <w:rFonts w:ascii="Times New Roman" w:hAnsi="Times New Roman" w:eastAsia="宋体" w:cs="Times New Roman"/>
          <w:bCs/>
          <w:szCs w:val="21"/>
        </w:rPr>
        <w:t>, Yining Yang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1,2,4*</w:t>
      </w:r>
      <w:r>
        <w:rPr>
          <w:rFonts w:ascii="Times New Roman" w:hAnsi="Times New Roman" w:eastAsia="宋体" w:cs="Times New Roman"/>
          <w:bCs/>
          <w:szCs w:val="21"/>
        </w:rPr>
        <w:t>, Xiaomei Li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 xml:space="preserve">1,4* </w:t>
      </w:r>
    </w:p>
    <w:p w14:paraId="25ED8064">
      <w:pPr>
        <w:widowControl/>
        <w:spacing w:line="360" w:lineRule="auto"/>
        <w:jc w:val="left"/>
        <w:rPr>
          <w:rFonts w:ascii="Times New Roman" w:hAnsi="Times New Roman" w:eastAsia="宋体" w:cs="Times New Roman"/>
          <w:bCs/>
          <w:szCs w:val="21"/>
          <w:vertAlign w:val="superscript"/>
        </w:rPr>
      </w:pPr>
    </w:p>
    <w:p w14:paraId="23634144">
      <w:pPr>
        <w:widowControl/>
        <w:jc w:val="left"/>
        <w:rPr>
          <w:rFonts w:ascii="Times New Roman" w:hAnsi="Times New Roman" w:eastAsia="宋体" w:cs="Times New Roman"/>
          <w:bCs/>
          <w:szCs w:val="21"/>
        </w:rPr>
      </w:pPr>
      <w:r>
        <w:rPr>
          <w:rFonts w:ascii="Times New Roman" w:hAnsi="Times New Roman" w:eastAsia="宋体" w:cs="Times New Roman"/>
          <w:bCs/>
          <w:szCs w:val="21"/>
          <w:vertAlign w:val="superscript"/>
        </w:rPr>
        <w:t xml:space="preserve">1 </w:t>
      </w:r>
      <w:r>
        <w:rPr>
          <w:rFonts w:ascii="Times New Roman" w:hAnsi="Times New Roman" w:eastAsia="宋体" w:cs="Times New Roman"/>
          <w:bCs/>
          <w:szCs w:val="21"/>
        </w:rPr>
        <w:t>Department of Cardiology, State Key Laboratory of Pathogenesis, Prevention and Treatment of High Incidence Diseases in Central Asia, First Afliated Hospital of Xinjiang Medical University, Urumqi, China.</w:t>
      </w:r>
    </w:p>
    <w:p w14:paraId="31CB8560">
      <w:pPr>
        <w:widowControl/>
        <w:jc w:val="left"/>
        <w:rPr>
          <w:rFonts w:ascii="Times New Roman" w:hAnsi="Times New Roman" w:eastAsia="宋体" w:cs="Times New Roman"/>
          <w:bCs/>
          <w:szCs w:val="21"/>
        </w:rPr>
      </w:pPr>
      <w:r>
        <w:rPr>
          <w:rFonts w:ascii="Times New Roman" w:hAnsi="Times New Roman" w:eastAsia="宋体" w:cs="Times New Roman"/>
          <w:bCs/>
          <w:szCs w:val="21"/>
          <w:vertAlign w:val="superscript"/>
        </w:rPr>
        <w:t xml:space="preserve">2 </w:t>
      </w:r>
      <w:r>
        <w:rPr>
          <w:rFonts w:ascii="Times New Roman" w:hAnsi="Times New Roman" w:eastAsia="宋体" w:cs="Times New Roman"/>
          <w:bCs/>
          <w:szCs w:val="21"/>
        </w:rPr>
        <w:t>Department of Cardiology, People’s Hospital of Xinjiang Uygur Autonomous Region, Urumqi, China.</w:t>
      </w:r>
    </w:p>
    <w:p w14:paraId="67C88C23">
      <w:pPr>
        <w:widowControl/>
        <w:jc w:val="left"/>
        <w:rPr>
          <w:rFonts w:ascii="Times New Roman" w:hAnsi="Times New Roman" w:eastAsia="宋体" w:cs="Times New Roman"/>
          <w:bCs/>
          <w:szCs w:val="21"/>
        </w:rPr>
      </w:pPr>
      <w:r>
        <w:rPr>
          <w:rFonts w:ascii="Times New Roman" w:hAnsi="Times New Roman" w:eastAsia="宋体" w:cs="Times New Roman"/>
          <w:bCs/>
          <w:szCs w:val="21"/>
          <w:vertAlign w:val="superscript"/>
        </w:rPr>
        <w:t xml:space="preserve">3 </w:t>
      </w:r>
      <w:r>
        <w:rPr>
          <w:rFonts w:ascii="Times New Roman" w:hAnsi="Times New Roman" w:eastAsia="宋体" w:cs="Times New Roman"/>
          <w:bCs/>
          <w:szCs w:val="21"/>
        </w:rPr>
        <w:t xml:space="preserve">Baoshihua Korla Hospital, Korla, China. 5 Xinjiang Key Laboratory of Cardiovascular Disease Research, Clinical Medical Research Institute of Xinjiang Medical University, Urumqi, China. </w:t>
      </w:r>
    </w:p>
    <w:p w14:paraId="13B519DF">
      <w:pPr>
        <w:widowControl/>
        <w:jc w:val="left"/>
        <w:rPr>
          <w:rFonts w:ascii="Times New Roman" w:hAnsi="Times New Roman" w:eastAsia="宋体" w:cs="Times New Roman"/>
          <w:bCs/>
          <w:szCs w:val="21"/>
        </w:rPr>
      </w:pPr>
      <w:r>
        <w:rPr>
          <w:rFonts w:ascii="Times New Roman" w:hAnsi="Times New Roman" w:eastAsia="宋体" w:cs="Times New Roman"/>
          <w:bCs/>
          <w:szCs w:val="21"/>
          <w:vertAlign w:val="superscript"/>
        </w:rPr>
        <w:t>4</w:t>
      </w:r>
      <w:r>
        <w:rPr>
          <w:rFonts w:ascii="Times New Roman" w:hAnsi="Times New Roman" w:eastAsia="宋体" w:cs="Times New Roman"/>
          <w:bCs/>
          <w:szCs w:val="21"/>
        </w:rPr>
        <w:t xml:space="preserve"> Xinjiang Key Laboratory of Cardiovascular Disease Research, Clinical Medical Research Institute of Xinjiang Medical University, Urumqi, China. </w:t>
      </w:r>
    </w:p>
    <w:p w14:paraId="7B06A094">
      <w:pPr>
        <w:widowControl/>
        <w:jc w:val="left"/>
        <w:rPr>
          <w:rFonts w:ascii="Times New Roman" w:hAnsi="Times New Roman" w:eastAsia="宋体" w:cs="Times New Roman"/>
          <w:bCs/>
          <w:szCs w:val="21"/>
        </w:rPr>
      </w:pPr>
    </w:p>
    <w:p w14:paraId="52CF4209">
      <w:pPr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vertAlign w:val="superscript"/>
        </w:rPr>
        <w:t>†</w:t>
      </w:r>
      <w:r>
        <w:rPr>
          <w:rFonts w:ascii="Times New Roman" w:hAnsi="Times New Roman"/>
          <w:sz w:val="24"/>
        </w:rPr>
        <w:t>Corresponding author: 1</w:t>
      </w:r>
      <w:r>
        <w:rPr>
          <w:rFonts w:ascii="Times New Roman" w:hAnsi="Times New Roman"/>
          <w:sz w:val="24"/>
          <w:vertAlign w:val="superscript"/>
        </w:rPr>
        <w:t xml:space="preserve">st </w:t>
      </w:r>
      <w:r>
        <w:rPr>
          <w:rFonts w:hint="eastAsia" w:ascii="Times New Roman" w:hAnsi="Times New Roman"/>
          <w:sz w:val="24"/>
          <w:lang w:val="en-US" w:eastAsia="zh-CN"/>
        </w:rPr>
        <w:t>,P</w:t>
      </w:r>
      <w:r>
        <w:rPr>
          <w:rFonts w:ascii="Times New Roman" w:hAnsi="Times New Roman"/>
          <w:sz w:val="24"/>
        </w:rPr>
        <w:t>rof. Xiao-Mei Li; 2</w:t>
      </w:r>
      <w:r>
        <w:rPr>
          <w:rFonts w:ascii="Times New Roman" w:hAnsi="Times New Roman"/>
          <w:sz w:val="24"/>
          <w:vertAlign w:val="superscript"/>
        </w:rPr>
        <w:t>nd</w:t>
      </w:r>
      <w:r>
        <w:rPr>
          <w:rFonts w:hint="eastAsia" w:ascii="Times New Roman" w:hAnsi="Times New Roman"/>
          <w:sz w:val="24"/>
          <w:lang w:val="en-US" w:eastAsia="zh-CN"/>
        </w:rPr>
        <w:t>, P</w:t>
      </w:r>
      <w:r>
        <w:rPr>
          <w:rFonts w:ascii="Times New Roman" w:hAnsi="Times New Roman"/>
          <w:sz w:val="24"/>
        </w:rPr>
        <w:t>rof. Yi-Ning Yang</w:t>
      </w:r>
      <w:r>
        <w:rPr>
          <w:rFonts w:ascii="Times New Roman" w:hAnsi="Times New Roman"/>
        </w:rPr>
        <w:t xml:space="preserve"> </w:t>
      </w:r>
    </w:p>
    <w:p w14:paraId="74253220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>Contribute equally to this study</w:t>
      </w:r>
    </w:p>
    <w:p w14:paraId="75873816">
      <w:pPr>
        <w:widowControl/>
        <w:rPr>
          <w:rFonts w:ascii="Times New Roman" w:hAnsi="Times New Roman"/>
          <w:sz w:val="24"/>
        </w:rPr>
      </w:pPr>
    </w:p>
    <w:p w14:paraId="09A45A9C">
      <w:pPr>
        <w:snapToGrid w:val="0"/>
        <w:spacing w:line="360" w:lineRule="auto"/>
        <w:rPr>
          <w:rFonts w:hint="eastAsia" w:ascii="Times New Roman" w:hAnsi="Times New Roman" w:eastAsiaTheme="minorEastAsia"/>
          <w:sz w:val="24"/>
          <w:lang w:val="en-US" w:eastAsia="zh-CN"/>
        </w:rPr>
      </w:pPr>
      <w:r>
        <w:rPr>
          <w:rFonts w:ascii="Times New Roman" w:hAnsi="Times New Roman"/>
          <w:sz w:val="24"/>
        </w:rPr>
        <w:t xml:space="preserve">Prof. Xiao-Mei Li, State Key Laboratory of Pathogenesis, Prevention and Treatment of High Incidence Diseases in Central Asia, Department of Cardiology, First Affiliated Hospital of Xinjiang Medical University; and Xinjiang Key Laboratory of Cardiovascular Disease Research, Clinical Medical Research Institute of Xinjiang Medical University, Urumqi, China. Email: Tel: 13079926866, Fax: 730718, Email: </w:t>
      </w:r>
      <w:r>
        <w:fldChar w:fldCharType="begin"/>
      </w:r>
      <w:r>
        <w:instrText xml:space="preserve"> HYPERLINK "mailto:lixm505@163.com" </w:instrText>
      </w:r>
      <w:r>
        <w:fldChar w:fldCharType="separate"/>
      </w:r>
      <w:r>
        <w:rPr>
          <w:rStyle w:val="6"/>
          <w:rFonts w:ascii="Times New Roman" w:hAnsi="Times New Roman"/>
          <w:color w:val="auto"/>
          <w:sz w:val="24"/>
        </w:rPr>
        <w:t>lixm505@163.com</w:t>
      </w:r>
      <w:r>
        <w:rPr>
          <w:rStyle w:val="6"/>
          <w:rFonts w:ascii="Times New Roman" w:hAnsi="Times New Roman"/>
          <w:color w:val="auto"/>
          <w:sz w:val="24"/>
        </w:rPr>
        <w:fldChar w:fldCharType="end"/>
      </w:r>
      <w:r>
        <w:rPr>
          <w:rStyle w:val="6"/>
          <w:rFonts w:hint="eastAsia" w:ascii="Times New Roman" w:hAnsi="Times New Roman"/>
          <w:color w:val="auto"/>
          <w:sz w:val="24"/>
          <w:u w:val="none"/>
          <w:lang w:val="en-US" w:eastAsia="zh-CN"/>
        </w:rPr>
        <w:t>.</w:t>
      </w:r>
    </w:p>
    <w:p w14:paraId="0134DA9B">
      <w:pPr>
        <w:snapToGrid w:val="0"/>
        <w:spacing w:line="360" w:lineRule="auto"/>
        <w:rPr>
          <w:rFonts w:ascii="Times New Roman" w:hAnsi="Times New Roman"/>
          <w:sz w:val="24"/>
        </w:rPr>
      </w:pPr>
    </w:p>
    <w:p w14:paraId="63B32E2B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Prof. Yi-Ning Yang, PhD, Department of Cardiology, People’s Hospital of Xinjiang Uygur Autonomous Region; State Key Laboratory of Pathogenesis, Prevention and Treatment of High Incidence Diseases in Central Asia, Department of Cardiology, First Affiliated Hospital of Xinjiang Medical University; and Xinjiang Key Laboratory of Cardiovascular Disease Research, Clinical Medical Research Institute of Xinjiang Medical University, Urumqi, China. Email:</w:t>
      </w:r>
      <w:bookmarkStart w:id="0" w:name="_Hlk141852761"/>
      <w:r>
        <w:rPr>
          <w:rFonts w:ascii="Times New Roman" w:hAnsi="Times New Roman"/>
          <w:sz w:val="24"/>
        </w:rPr>
        <w:t xml:space="preserve"> </w:t>
      </w:r>
      <w:r>
        <w:fldChar w:fldCharType="begin"/>
      </w:r>
      <w:r>
        <w:instrText xml:space="preserve"> HYPERLINK "mailto:yangyn5126@163.com" </w:instrText>
      </w:r>
      <w:r>
        <w:fldChar w:fldCharType="separate"/>
      </w:r>
      <w:r>
        <w:rPr>
          <w:rStyle w:val="6"/>
          <w:rFonts w:ascii="Times New Roman" w:hAnsi="Times New Roman"/>
          <w:color w:val="auto"/>
          <w:sz w:val="24"/>
        </w:rPr>
        <w:t>yangyn5126@163.com</w:t>
      </w:r>
      <w:r>
        <w:rPr>
          <w:rStyle w:val="6"/>
          <w:rFonts w:ascii="Times New Roman" w:hAnsi="Times New Roman"/>
          <w:color w:val="auto"/>
          <w:sz w:val="24"/>
        </w:rPr>
        <w:fldChar w:fldCharType="end"/>
      </w:r>
      <w:bookmarkEnd w:id="0"/>
      <w:r>
        <w:rPr>
          <w:rFonts w:ascii="Times New Roman" w:hAnsi="Times New Roman"/>
          <w:sz w:val="24"/>
        </w:rPr>
        <w:t>.</w:t>
      </w:r>
    </w:p>
    <w:p w14:paraId="4DA2DA8C">
      <w:pPr>
        <w:widowControl/>
        <w:rPr>
          <w:rFonts w:ascii="Times New Roman" w:hAnsi="Times New Roman"/>
          <w:sz w:val="24"/>
        </w:rPr>
      </w:pPr>
    </w:p>
    <w:p w14:paraId="0766C24B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14:paraId="64D64F64">
      <w:pPr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Additional </w:t>
      </w:r>
      <w:r>
        <w:rPr>
          <w:rFonts w:ascii="Times New Roman" w:hAnsi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1</w:t>
      </w:r>
      <w:r>
        <w:rPr>
          <w:rFonts w:ascii="Times New Roman" w:hAnsi="Times New Roman"/>
          <w:b/>
          <w:bCs/>
          <w:sz w:val="24"/>
        </w:rPr>
        <w:t xml:space="preserve"> Characteristics of participants according to gender</w:t>
      </w:r>
    </w:p>
    <w:tbl>
      <w:tblPr>
        <w:tblStyle w:val="3"/>
        <w:tblpPr w:leftFromText="180" w:rightFromText="180" w:vertAnchor="text" w:horzAnchor="page" w:tblpX="1323" w:tblpY="216"/>
        <w:tblOverlap w:val="never"/>
        <w:tblW w:w="9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2"/>
        <w:gridCol w:w="2303"/>
        <w:gridCol w:w="2259"/>
        <w:gridCol w:w="1785"/>
        <w:gridCol w:w="1080"/>
      </w:tblGrid>
      <w:tr w14:paraId="73A6B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575393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Variables</w:t>
            </w:r>
          </w:p>
        </w:tc>
        <w:tc>
          <w:tcPr>
            <w:tcW w:w="230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343981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Overall</w:t>
            </w:r>
          </w:p>
          <w:p w14:paraId="69DE0391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(n=10192)</w:t>
            </w:r>
          </w:p>
        </w:tc>
        <w:tc>
          <w:tcPr>
            <w:tcW w:w="22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EEB25AE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Male</w:t>
            </w:r>
          </w:p>
          <w:p w14:paraId="0ED4B9C1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(n=5251, 51.5%)</w:t>
            </w:r>
          </w:p>
        </w:tc>
        <w:tc>
          <w:tcPr>
            <w:tcW w:w="17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CB1A508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Female</w:t>
            </w:r>
          </w:p>
          <w:p w14:paraId="1ECC69DE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(n=4941, 48.5%)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B2B081">
            <w:pPr>
              <w:widowControl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P-value</w:t>
            </w:r>
          </w:p>
        </w:tc>
      </w:tr>
      <w:tr w14:paraId="5EA5D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FCC4B4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Age (years)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6B965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47.53±8.98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DFD08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48.58±8.50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B12E29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46.42±9.33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5C535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2E49B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B7B6C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Ethnic,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7E4F33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545BD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A3E33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8AE094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1F894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C19230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Han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6029F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8680 (85.5)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CE652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4603 (87.7)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CE86CF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4077 (82.5)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F6217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4E04F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F39EE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Others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241BAA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1512 (14.8)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7B40B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648 (12.3)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EEEFDA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864 (17.5)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2F7487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05E5E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8AB15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Marital status,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EE6AE9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C1E2C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A64204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476F8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2A233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AAE7B9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Married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BC3F80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9547 (93.7)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0DB81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5009 (95.4)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37637C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4538 (91.8)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02C91C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58709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407EA8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Others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5D3AE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645 (6.3)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DEEE657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242 (4.6)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31980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403 (8.2)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BBBB4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2835E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93C39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Education level,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A0B514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B8C0A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E3A59A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F0175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0.043</w:t>
            </w:r>
          </w:p>
        </w:tc>
      </w:tr>
      <w:tr w14:paraId="0DB55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CC33B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High school or below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EAF8D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2044 (20.1)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A8013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1094 (20.8)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85E58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950 (19.2)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C1C7E3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3AF25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E170C7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College and above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D97DEC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8148 (79.9)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832F8A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4157 (79.2)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B1AA0E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3991 (80.8)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4CA6E2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5F54E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A785C4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Income level,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630C2F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0672BE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18D5D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564423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1254B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6ACEC2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Low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C828DD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203 (2.0)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2377CA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76 (1.4)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3361E4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127 (2.6)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668ED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41E3C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04FA1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Moderate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E6C18E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1773 (17.4)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A4D58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753 (14.3)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6CB92B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1020 (20.6)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F85900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6A45B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FD4163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High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3BAE36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3606 (35.4)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6ED25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1689 (32.2)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0F9F6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1917 (38.8)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7A6BC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0622D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9BD59C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Very high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81E36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4610 (45.2)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2440DC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2733 (25.0)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68C65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1877 (38.0)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BD2F0A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2C8F0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0BDFB4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moking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status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CE29D9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8D698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4F465A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5DEAA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009D5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634982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Never 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4F73B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7175 (70.4)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EDF5A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2276 (43.3)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D8C1D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4899 (99.1)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31E7B5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66802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1B778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Former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ADE780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610 (6.0)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4DC8E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604 (11.5)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E8310B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6 (0.1)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E6E600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3242A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E3610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Current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F092C6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2407 (23.6)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7947D0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2371 (45.2)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4677B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36 (0.7)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A8A427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6FCA8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59DB0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Alcohol drinking,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0F246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0A6A1E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68AC9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59C1F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67B86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372" w:type="dxa"/>
            <w:vAlign w:val="top"/>
          </w:tcPr>
          <w:p w14:paraId="34F4B4A3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Never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no in past 1 year</w:t>
            </w:r>
          </w:p>
        </w:tc>
        <w:tc>
          <w:tcPr>
            <w:tcW w:w="2303" w:type="dxa"/>
            <w:vAlign w:val="top"/>
          </w:tcPr>
          <w:p w14:paraId="478746DF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4527 (44.4)</w:t>
            </w:r>
          </w:p>
        </w:tc>
        <w:tc>
          <w:tcPr>
            <w:tcW w:w="2259" w:type="dxa"/>
            <w:vAlign w:val="top"/>
          </w:tcPr>
          <w:p w14:paraId="74C644B2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1278 (24.3)</w:t>
            </w:r>
          </w:p>
        </w:tc>
        <w:tc>
          <w:tcPr>
            <w:tcW w:w="1785" w:type="dxa"/>
            <w:vAlign w:val="top"/>
          </w:tcPr>
          <w:p w14:paraId="49D9C544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3249 (65.8)</w:t>
            </w:r>
          </w:p>
        </w:tc>
        <w:tc>
          <w:tcPr>
            <w:tcW w:w="1080" w:type="dxa"/>
            <w:vAlign w:val="top"/>
          </w:tcPr>
          <w:p w14:paraId="554A91F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0FE19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372" w:type="dxa"/>
            <w:vAlign w:val="top"/>
          </w:tcPr>
          <w:p w14:paraId="6FAE813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Sometimes </w:t>
            </w:r>
          </w:p>
        </w:tc>
        <w:tc>
          <w:tcPr>
            <w:tcW w:w="2303" w:type="dxa"/>
            <w:vAlign w:val="top"/>
          </w:tcPr>
          <w:p w14:paraId="4C4150F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4761 (46.7)</w:t>
            </w:r>
          </w:p>
        </w:tc>
        <w:tc>
          <w:tcPr>
            <w:tcW w:w="2259" w:type="dxa"/>
            <w:vAlign w:val="top"/>
          </w:tcPr>
          <w:p w14:paraId="1B29BBD9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3119 (59.4)</w:t>
            </w:r>
          </w:p>
        </w:tc>
        <w:tc>
          <w:tcPr>
            <w:tcW w:w="1785" w:type="dxa"/>
            <w:vAlign w:val="top"/>
          </w:tcPr>
          <w:p w14:paraId="22C4730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1642 (33.2)</w:t>
            </w:r>
          </w:p>
        </w:tc>
        <w:tc>
          <w:tcPr>
            <w:tcW w:w="1080" w:type="dxa"/>
            <w:vAlign w:val="top"/>
          </w:tcPr>
          <w:p w14:paraId="42CBDAC8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7CD35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vAlign w:val="top"/>
          </w:tcPr>
          <w:p w14:paraId="5E2D87EE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Always </w:t>
            </w:r>
          </w:p>
        </w:tc>
        <w:tc>
          <w:tcPr>
            <w:tcW w:w="2303" w:type="dxa"/>
            <w:vAlign w:val="top"/>
          </w:tcPr>
          <w:p w14:paraId="6B0DAC3F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904 (8.9)</w:t>
            </w:r>
          </w:p>
        </w:tc>
        <w:tc>
          <w:tcPr>
            <w:tcW w:w="2259" w:type="dxa"/>
            <w:vAlign w:val="top"/>
          </w:tcPr>
          <w:p w14:paraId="1CBBB96C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854 (16.3)</w:t>
            </w:r>
          </w:p>
        </w:tc>
        <w:tc>
          <w:tcPr>
            <w:tcW w:w="1785" w:type="dxa"/>
            <w:vAlign w:val="top"/>
          </w:tcPr>
          <w:p w14:paraId="6D345A62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50 (1.0)</w:t>
            </w:r>
          </w:p>
        </w:tc>
        <w:tc>
          <w:tcPr>
            <w:tcW w:w="1080" w:type="dxa"/>
            <w:vAlign w:val="top"/>
          </w:tcPr>
          <w:p w14:paraId="4891314A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0C0D6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vAlign w:val="top"/>
          </w:tcPr>
          <w:p w14:paraId="6EBD09A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PA</w:t>
            </w:r>
          </w:p>
        </w:tc>
        <w:tc>
          <w:tcPr>
            <w:tcW w:w="2303" w:type="dxa"/>
            <w:vAlign w:val="top"/>
          </w:tcPr>
          <w:p w14:paraId="16AC57A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59" w:type="dxa"/>
            <w:vAlign w:val="top"/>
          </w:tcPr>
          <w:p w14:paraId="7F1FCE02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 w14:paraId="7F3E7C9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vAlign w:val="top"/>
          </w:tcPr>
          <w:p w14:paraId="43590B1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1B06E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vAlign w:val="top"/>
          </w:tcPr>
          <w:p w14:paraId="3B4D58F4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Low</w:t>
            </w:r>
          </w:p>
        </w:tc>
        <w:tc>
          <w:tcPr>
            <w:tcW w:w="2303" w:type="dxa"/>
            <w:vAlign w:val="top"/>
          </w:tcPr>
          <w:p w14:paraId="486AEBC4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2282 (22.4)</w:t>
            </w:r>
          </w:p>
        </w:tc>
        <w:tc>
          <w:tcPr>
            <w:tcW w:w="2259" w:type="dxa"/>
            <w:vAlign w:val="top"/>
          </w:tcPr>
          <w:p w14:paraId="361F7401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1127 (21.5)</w:t>
            </w:r>
          </w:p>
        </w:tc>
        <w:tc>
          <w:tcPr>
            <w:tcW w:w="1785" w:type="dxa"/>
            <w:vAlign w:val="top"/>
          </w:tcPr>
          <w:p w14:paraId="030C0B11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1155 (23.4)</w:t>
            </w:r>
          </w:p>
        </w:tc>
        <w:tc>
          <w:tcPr>
            <w:tcW w:w="1080" w:type="dxa"/>
            <w:vAlign w:val="top"/>
          </w:tcPr>
          <w:p w14:paraId="5D36EF1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0CE95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372" w:type="dxa"/>
            <w:vAlign w:val="top"/>
          </w:tcPr>
          <w:p w14:paraId="72208D6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Moderate</w:t>
            </w:r>
          </w:p>
        </w:tc>
        <w:tc>
          <w:tcPr>
            <w:tcW w:w="2303" w:type="dxa"/>
            <w:vAlign w:val="top"/>
          </w:tcPr>
          <w:p w14:paraId="75D96F26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4692 (46.0)</w:t>
            </w:r>
          </w:p>
        </w:tc>
        <w:tc>
          <w:tcPr>
            <w:tcW w:w="2259" w:type="dxa"/>
            <w:vAlign w:val="top"/>
          </w:tcPr>
          <w:p w14:paraId="787C2351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2349 (44.7)</w:t>
            </w:r>
          </w:p>
        </w:tc>
        <w:tc>
          <w:tcPr>
            <w:tcW w:w="1785" w:type="dxa"/>
            <w:vAlign w:val="top"/>
          </w:tcPr>
          <w:p w14:paraId="6C4F8431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2343 (47.4)</w:t>
            </w:r>
          </w:p>
        </w:tc>
        <w:tc>
          <w:tcPr>
            <w:tcW w:w="1080" w:type="dxa"/>
            <w:vAlign w:val="top"/>
          </w:tcPr>
          <w:p w14:paraId="0956B59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269CC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vAlign w:val="top"/>
          </w:tcPr>
          <w:p w14:paraId="4F7ECEB8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High</w:t>
            </w:r>
          </w:p>
        </w:tc>
        <w:tc>
          <w:tcPr>
            <w:tcW w:w="2303" w:type="dxa"/>
            <w:vAlign w:val="top"/>
          </w:tcPr>
          <w:p w14:paraId="3DEE1C32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3218 (31.6)</w:t>
            </w:r>
          </w:p>
        </w:tc>
        <w:tc>
          <w:tcPr>
            <w:tcW w:w="2259" w:type="dxa"/>
            <w:vAlign w:val="top"/>
          </w:tcPr>
          <w:p w14:paraId="306BBB94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1775 (33.8)</w:t>
            </w:r>
          </w:p>
        </w:tc>
        <w:tc>
          <w:tcPr>
            <w:tcW w:w="1785" w:type="dxa"/>
            <w:vAlign w:val="top"/>
          </w:tcPr>
          <w:p w14:paraId="32F9B81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1443 (29.2)</w:t>
            </w:r>
          </w:p>
        </w:tc>
        <w:tc>
          <w:tcPr>
            <w:tcW w:w="1080" w:type="dxa"/>
            <w:vAlign w:val="top"/>
          </w:tcPr>
          <w:p w14:paraId="547557B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6D702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5C70C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DQ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B2D496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41FEA2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FE58AF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A8612E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0.050</w:t>
            </w:r>
          </w:p>
        </w:tc>
      </w:tr>
      <w:tr w14:paraId="302D8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</w:tcBorders>
            <w:vAlign w:val="top"/>
          </w:tcPr>
          <w:p w14:paraId="44F9D638">
            <w:pPr>
              <w:widowControl/>
              <w:ind w:firstLine="18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Poor </w:t>
            </w:r>
          </w:p>
        </w:tc>
        <w:tc>
          <w:tcPr>
            <w:tcW w:w="2303" w:type="dxa"/>
            <w:tcBorders>
              <w:top w:val="nil"/>
            </w:tcBorders>
            <w:vAlign w:val="top"/>
          </w:tcPr>
          <w:p w14:paraId="732223E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1985 (19.5)</w:t>
            </w:r>
          </w:p>
        </w:tc>
        <w:tc>
          <w:tcPr>
            <w:tcW w:w="2259" w:type="dxa"/>
            <w:tcBorders>
              <w:top w:val="nil"/>
            </w:tcBorders>
            <w:vAlign w:val="top"/>
          </w:tcPr>
          <w:p w14:paraId="120FA2A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1070 (20.4)</w:t>
            </w:r>
          </w:p>
        </w:tc>
        <w:tc>
          <w:tcPr>
            <w:tcW w:w="1785" w:type="dxa"/>
            <w:tcBorders>
              <w:top w:val="nil"/>
            </w:tcBorders>
            <w:vAlign w:val="top"/>
          </w:tcPr>
          <w:p w14:paraId="33777A37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915 (18.5)</w:t>
            </w:r>
          </w:p>
        </w:tc>
        <w:tc>
          <w:tcPr>
            <w:tcW w:w="1080" w:type="dxa"/>
            <w:tcBorders>
              <w:top w:val="nil"/>
            </w:tcBorders>
            <w:vAlign w:val="top"/>
          </w:tcPr>
          <w:p w14:paraId="176188F3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6B9BB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bottom w:val="nil"/>
            </w:tcBorders>
            <w:vAlign w:val="top"/>
          </w:tcPr>
          <w:p w14:paraId="1BA0CDFF">
            <w:pPr>
              <w:widowControl/>
              <w:ind w:firstLine="18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Intermediate </w:t>
            </w:r>
          </w:p>
        </w:tc>
        <w:tc>
          <w:tcPr>
            <w:tcW w:w="2303" w:type="dxa"/>
            <w:tcBorders>
              <w:bottom w:val="nil"/>
            </w:tcBorders>
            <w:vAlign w:val="top"/>
          </w:tcPr>
          <w:p w14:paraId="51400C5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7584 (74.4)</w:t>
            </w:r>
          </w:p>
        </w:tc>
        <w:tc>
          <w:tcPr>
            <w:tcW w:w="2259" w:type="dxa"/>
            <w:tcBorders>
              <w:bottom w:val="nil"/>
            </w:tcBorders>
            <w:vAlign w:val="top"/>
          </w:tcPr>
          <w:p w14:paraId="19717F66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3871 (73.7)</w:t>
            </w:r>
          </w:p>
        </w:tc>
        <w:tc>
          <w:tcPr>
            <w:tcW w:w="1785" w:type="dxa"/>
            <w:tcBorders>
              <w:bottom w:val="nil"/>
            </w:tcBorders>
            <w:vAlign w:val="top"/>
          </w:tcPr>
          <w:p w14:paraId="7B215DD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3713 (75.1)</w:t>
            </w:r>
          </w:p>
        </w:tc>
        <w:tc>
          <w:tcPr>
            <w:tcW w:w="1080" w:type="dxa"/>
            <w:tcBorders>
              <w:bottom w:val="nil"/>
            </w:tcBorders>
            <w:vAlign w:val="top"/>
          </w:tcPr>
          <w:p w14:paraId="3E02DEE0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069E0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bottom w:val="nil"/>
            </w:tcBorders>
            <w:vAlign w:val="top"/>
          </w:tcPr>
          <w:p w14:paraId="5E2F3126">
            <w:pPr>
              <w:widowControl/>
              <w:ind w:firstLine="180" w:firstLineChars="100"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Good</w:t>
            </w:r>
          </w:p>
        </w:tc>
        <w:tc>
          <w:tcPr>
            <w:tcW w:w="2303" w:type="dxa"/>
            <w:tcBorders>
              <w:top w:val="nil"/>
              <w:bottom w:val="nil"/>
            </w:tcBorders>
            <w:vAlign w:val="top"/>
          </w:tcPr>
          <w:p w14:paraId="166AF6CD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623 (6.1)</w:t>
            </w:r>
          </w:p>
        </w:tc>
        <w:tc>
          <w:tcPr>
            <w:tcW w:w="2259" w:type="dxa"/>
            <w:tcBorders>
              <w:top w:val="nil"/>
              <w:bottom w:val="nil"/>
            </w:tcBorders>
            <w:vAlign w:val="top"/>
          </w:tcPr>
          <w:p w14:paraId="17F7062B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310 (5.9)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top"/>
          </w:tcPr>
          <w:p w14:paraId="68AE3F75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313 (6.3)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top"/>
          </w:tcPr>
          <w:p w14:paraId="3B8C9CFC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-</w:t>
            </w:r>
          </w:p>
        </w:tc>
      </w:tr>
      <w:tr w14:paraId="5430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bottom w:val="nil"/>
            </w:tcBorders>
            <w:vAlign w:val="top"/>
          </w:tcPr>
          <w:p w14:paraId="3FD3B0D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WC (cm)</w:t>
            </w:r>
          </w:p>
        </w:tc>
        <w:tc>
          <w:tcPr>
            <w:tcW w:w="2303" w:type="dxa"/>
            <w:tcBorders>
              <w:top w:val="nil"/>
              <w:bottom w:val="nil"/>
            </w:tcBorders>
            <w:vAlign w:val="top"/>
          </w:tcPr>
          <w:p w14:paraId="00A0164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84.53±11.14</w:t>
            </w:r>
          </w:p>
        </w:tc>
        <w:tc>
          <w:tcPr>
            <w:tcW w:w="2259" w:type="dxa"/>
            <w:tcBorders>
              <w:top w:val="nil"/>
              <w:bottom w:val="nil"/>
            </w:tcBorders>
            <w:vAlign w:val="top"/>
          </w:tcPr>
          <w:p w14:paraId="083E986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91.28±8.58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top"/>
          </w:tcPr>
          <w:p w14:paraId="20B4DD5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77.77±9.14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top"/>
          </w:tcPr>
          <w:p w14:paraId="48D42969">
            <w:pPr>
              <w:widowControl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76377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bottom w:val="nil"/>
            </w:tcBorders>
            <w:vAlign w:val="top"/>
          </w:tcPr>
          <w:p w14:paraId="74E9E43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SBP (mmHg)</w:t>
            </w:r>
          </w:p>
        </w:tc>
        <w:tc>
          <w:tcPr>
            <w:tcW w:w="2303" w:type="dxa"/>
            <w:tcBorders>
              <w:top w:val="nil"/>
              <w:bottom w:val="nil"/>
            </w:tcBorders>
            <w:vAlign w:val="top"/>
          </w:tcPr>
          <w:p w14:paraId="68DBCBCE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126.69±17.59</w:t>
            </w:r>
          </w:p>
        </w:tc>
        <w:tc>
          <w:tcPr>
            <w:tcW w:w="2259" w:type="dxa"/>
            <w:tcBorders>
              <w:top w:val="nil"/>
              <w:bottom w:val="nil"/>
            </w:tcBorders>
            <w:vAlign w:val="top"/>
          </w:tcPr>
          <w:p w14:paraId="5070DFCE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130.76±16.72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top"/>
          </w:tcPr>
          <w:p w14:paraId="4256239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121.64±17.28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top"/>
          </w:tcPr>
          <w:p w14:paraId="42B3B3E6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3B6FE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bottom w:val="nil"/>
            </w:tcBorders>
            <w:vAlign w:val="top"/>
          </w:tcPr>
          <w:p w14:paraId="1FB586D8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DBP (mmHg)</w:t>
            </w:r>
          </w:p>
        </w:tc>
        <w:tc>
          <w:tcPr>
            <w:tcW w:w="2303" w:type="dxa"/>
            <w:tcBorders>
              <w:top w:val="nil"/>
              <w:bottom w:val="nil"/>
            </w:tcBorders>
            <w:vAlign w:val="top"/>
          </w:tcPr>
          <w:p w14:paraId="20728BA4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79.98±12.18</w:t>
            </w:r>
          </w:p>
        </w:tc>
        <w:tc>
          <w:tcPr>
            <w:tcW w:w="2259" w:type="dxa"/>
            <w:tcBorders>
              <w:top w:val="nil"/>
              <w:bottom w:val="nil"/>
            </w:tcBorders>
            <w:vAlign w:val="top"/>
          </w:tcPr>
          <w:p w14:paraId="7EACD57B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83.43±12.00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top"/>
          </w:tcPr>
          <w:p w14:paraId="2394E33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76.24±11.24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top"/>
          </w:tcPr>
          <w:p w14:paraId="5B534AE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6422D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bottom w:val="nil"/>
            </w:tcBorders>
            <w:vAlign w:val="top"/>
          </w:tcPr>
          <w:p w14:paraId="6000287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FPG (mmol·L-1)</w:t>
            </w:r>
          </w:p>
        </w:tc>
        <w:tc>
          <w:tcPr>
            <w:tcW w:w="2303" w:type="dxa"/>
            <w:tcBorders>
              <w:top w:val="nil"/>
              <w:bottom w:val="nil"/>
            </w:tcBorders>
            <w:vAlign w:val="top"/>
          </w:tcPr>
          <w:p w14:paraId="495EF058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5.36±1.39</w:t>
            </w:r>
          </w:p>
        </w:tc>
        <w:tc>
          <w:tcPr>
            <w:tcW w:w="2259" w:type="dxa"/>
            <w:tcBorders>
              <w:top w:val="nil"/>
              <w:bottom w:val="nil"/>
            </w:tcBorders>
            <w:vAlign w:val="top"/>
          </w:tcPr>
          <w:p w14:paraId="035D4FBB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5.55±1.58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top"/>
          </w:tcPr>
          <w:p w14:paraId="6E9EE59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5.15±1.12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top"/>
          </w:tcPr>
          <w:p w14:paraId="0E8807DF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738B1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bottom w:val="nil"/>
            </w:tcBorders>
            <w:vAlign w:val="top"/>
          </w:tcPr>
          <w:p w14:paraId="5E0E455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TG (mmol·L-1)</w:t>
            </w:r>
          </w:p>
        </w:tc>
        <w:tc>
          <w:tcPr>
            <w:tcW w:w="2303" w:type="dxa"/>
            <w:tcBorders>
              <w:top w:val="nil"/>
              <w:bottom w:val="nil"/>
            </w:tcBorders>
            <w:vAlign w:val="top"/>
          </w:tcPr>
          <w:p w14:paraId="71A3DAB4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1.35 (0.92,2.02)</w:t>
            </w:r>
          </w:p>
        </w:tc>
        <w:tc>
          <w:tcPr>
            <w:tcW w:w="2259" w:type="dxa"/>
            <w:tcBorders>
              <w:top w:val="nil"/>
              <w:bottom w:val="nil"/>
            </w:tcBorders>
            <w:vAlign w:val="top"/>
          </w:tcPr>
          <w:p w14:paraId="3FF7353E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1.65 (1.15,2.45)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top"/>
          </w:tcPr>
          <w:p w14:paraId="34EBFA1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1.08 (0.78,1.56)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top"/>
          </w:tcPr>
          <w:p w14:paraId="638CB111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6711E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tcBorders>
              <w:top w:val="nil"/>
              <w:bottom w:val="single" w:color="auto" w:sz="4" w:space="0"/>
            </w:tcBorders>
            <w:vAlign w:val="top"/>
          </w:tcPr>
          <w:p w14:paraId="4B665BB2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HDL-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(mmol·L-1)</w:t>
            </w:r>
          </w:p>
        </w:tc>
        <w:tc>
          <w:tcPr>
            <w:tcW w:w="2303" w:type="dxa"/>
            <w:tcBorders>
              <w:top w:val="nil"/>
              <w:bottom w:val="single" w:color="auto" w:sz="4" w:space="0"/>
            </w:tcBorders>
            <w:vAlign w:val="top"/>
          </w:tcPr>
          <w:p w14:paraId="67F39CB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1.26±0.30</w:t>
            </w:r>
          </w:p>
        </w:tc>
        <w:tc>
          <w:tcPr>
            <w:tcW w:w="2259" w:type="dxa"/>
            <w:tcBorders>
              <w:top w:val="nil"/>
              <w:bottom w:val="single" w:color="auto" w:sz="4" w:space="0"/>
            </w:tcBorders>
            <w:vAlign w:val="top"/>
          </w:tcPr>
          <w:p w14:paraId="66E87B5E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1.16±0.27</w:t>
            </w:r>
          </w:p>
        </w:tc>
        <w:tc>
          <w:tcPr>
            <w:tcW w:w="1785" w:type="dxa"/>
            <w:tcBorders>
              <w:top w:val="nil"/>
              <w:bottom w:val="single" w:color="auto" w:sz="4" w:space="0"/>
            </w:tcBorders>
            <w:vAlign w:val="top"/>
          </w:tcPr>
          <w:p w14:paraId="6D3C02B6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1.36±0.30</w:t>
            </w:r>
          </w:p>
        </w:tc>
        <w:tc>
          <w:tcPr>
            <w:tcW w:w="1080" w:type="dxa"/>
            <w:tcBorders>
              <w:top w:val="nil"/>
              <w:bottom w:val="single" w:color="auto" w:sz="4" w:space="0"/>
            </w:tcBorders>
            <w:vAlign w:val="top"/>
          </w:tcPr>
          <w:p w14:paraId="5B13756A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</w:tr>
      <w:tr w14:paraId="6226A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99" w:type="dxa"/>
            <w:gridSpan w:val="5"/>
            <w:tcBorders>
              <w:top w:val="single" w:color="auto" w:sz="4" w:space="0"/>
              <w:bottom w:val="nil"/>
            </w:tcBorders>
            <w:vAlign w:val="top"/>
          </w:tcPr>
          <w:p w14:paraId="2ED2DDE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WC, Waist circumference; SBP, systolic blood pressure; DBP, diastolic blood pressure; FPG, fasting plasma glucose; HDL-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, high density lipoprotein; TG, Triglycerides.</w:t>
            </w:r>
          </w:p>
        </w:tc>
      </w:tr>
    </w:tbl>
    <w:p w14:paraId="641DFC21">
      <w:pPr>
        <w:rPr>
          <w:rFonts w:ascii="Times New Roman" w:hAnsi="Times New Roman"/>
          <w:b/>
          <w:bCs/>
          <w:sz w:val="24"/>
        </w:rPr>
      </w:pPr>
    </w:p>
    <w:p w14:paraId="7FEFB239">
      <w:pPr>
        <w:spacing w:line="240" w:lineRule="auto"/>
        <w:jc w:val="center"/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/>
          <w:b/>
          <w:bCs/>
          <w:sz w:val="24"/>
        </w:rPr>
        <w:t xml:space="preserve">Additional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T</w:t>
      </w:r>
      <w:r>
        <w:rPr>
          <w:rFonts w:ascii="Times New Roman" w:hAnsi="Times New Roman"/>
          <w:b/>
          <w:bCs/>
          <w:sz w:val="24"/>
        </w:rPr>
        <w:t xml:space="preserve">able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-SA"/>
        </w:rPr>
        <w:t xml:space="preserve"> The joint association of physical activity and diet quality score with MetS.</w:t>
      </w:r>
    </w:p>
    <w:tbl>
      <w:tblPr>
        <w:tblStyle w:val="3"/>
        <w:tblpPr w:leftFromText="180" w:rightFromText="180" w:vertAnchor="text" w:horzAnchor="page" w:tblpXSpec="center" w:tblpY="300"/>
        <w:tblOverlap w:val="never"/>
        <w:tblW w:w="85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152"/>
        <w:gridCol w:w="666"/>
        <w:gridCol w:w="1094"/>
        <w:gridCol w:w="1760"/>
        <w:gridCol w:w="1113"/>
        <w:gridCol w:w="1254"/>
      </w:tblGrid>
      <w:tr w14:paraId="66D33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67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DQ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9A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PA</w:t>
            </w: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2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87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Case (%)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51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9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P</w:t>
            </w: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for trend</w:t>
            </w: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7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P</w:t>
            </w: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-interaction</w:t>
            </w:r>
          </w:p>
        </w:tc>
      </w:tr>
      <w:tr w14:paraId="16095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8046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 Good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64E491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3E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D0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4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15E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1254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top"/>
          </w:tcPr>
          <w:p w14:paraId="3CC8D3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</w:tr>
      <w:tr w14:paraId="2BA25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E912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6058EC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High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EF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961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67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 (36.0)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D1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1.00 (Ref)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8A5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5EB618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</w:tr>
      <w:tr w14:paraId="0FC9B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248646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A990D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Moderate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8FC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1069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661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 (44.4)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4E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lang w:val="en-US" w:eastAsia="zh-CN" w:bidi="ar"/>
              </w:rPr>
              <w:t>1.404 (1.078-1.827)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E67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765FBFF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68F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9EF92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C778EE">
            <w:pPr>
              <w:widowControl/>
              <w:ind w:firstLine="18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Low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DC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482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A4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 (19.6)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61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>1.326 (1.077-1.632)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A7E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50C6D21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A34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6B2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 Intermediate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7569BF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768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31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4B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129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159A039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1F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F69C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CAD232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High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FD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141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 (27.6)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A4D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1.00 (Ref)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B9D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1909D4E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B9F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B727B5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DC428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Moderate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55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6D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1132 (51.7)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1DF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>1.195 (1.022-1.398)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8F6B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10BA25C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54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49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412F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CF67E1">
            <w:pPr>
              <w:widowControl/>
              <w:ind w:firstLine="18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Low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A5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1654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747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 (20.7)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5B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>1.408 (1.239-1.601)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ACA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12F00FE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B7F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65CB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  Poor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B3E189">
            <w:pPr>
              <w:widowControl/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8E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83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C9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1C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0.643</w:t>
            </w: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692F24B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82C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4CC2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5A6FE9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High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9E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F63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(41.9)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3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1.00 (Ref)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BE4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3393DA5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8A1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FA3162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7403EB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Moderate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C6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D5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 (40.1)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E46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>0.876 (0.500-1.534)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1DC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47E0D89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57A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91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039CCE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2D3D3133">
            <w:pPr>
              <w:widowControl/>
              <w:ind w:firstLine="18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Low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07C3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146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7863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 (29.7)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527D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>0.703 (0.419-1.179)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FC06A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4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35AEC82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E83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853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BAF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Adjusted for sex, age, married status, education level, </w:t>
            </w:r>
            <w:r>
              <w:rPr>
                <w:rStyle w:val="9"/>
                <w:rFonts w:hint="eastAsia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moking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status</w:t>
            </w:r>
            <w:r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, alcohol consumption.</w:t>
            </w:r>
          </w:p>
        </w:tc>
      </w:tr>
    </w:tbl>
    <w:p w14:paraId="4FD4DA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default" w:ascii="Times New Roman" w:hAnsi="Times New Roman" w:eastAsia="宋体" w:cs="Times New Roman"/>
          <w:b w:val="0"/>
          <w:bCs/>
          <w:i w:val="0"/>
          <w:iCs w:val="0"/>
          <w:kern w:val="2"/>
          <w:sz w:val="18"/>
          <w:szCs w:val="1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/>
          <w:i/>
          <w:iCs/>
          <w:kern w:val="2"/>
          <w:sz w:val="18"/>
          <w:szCs w:val="18"/>
          <w:lang w:val="en-US" w:eastAsia="zh-CN" w:bidi="ar-SA"/>
        </w:rPr>
        <w:t xml:space="preserve">MetS </w:t>
      </w: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kern w:val="2"/>
          <w:sz w:val="18"/>
          <w:szCs w:val="18"/>
          <w:lang w:val="en-US" w:eastAsia="zh-CN" w:bidi="ar-SA"/>
        </w:rPr>
        <w:t xml:space="preserve">metabolic syndrome, </w:t>
      </w:r>
      <w:r>
        <w:rPr>
          <w:rFonts w:hint="default" w:ascii="Times New Roman" w:hAnsi="Times New Roman" w:eastAsia="宋体" w:cs="Times New Roman"/>
          <w:b w:val="0"/>
          <w:bCs/>
          <w:i/>
          <w:iCs/>
          <w:kern w:val="2"/>
          <w:sz w:val="18"/>
          <w:szCs w:val="18"/>
          <w:lang w:val="en-US" w:eastAsia="zh-CN" w:bidi="ar-SA"/>
        </w:rPr>
        <w:t>PA</w:t>
      </w: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kern w:val="2"/>
          <w:sz w:val="18"/>
          <w:szCs w:val="18"/>
          <w:lang w:val="en-US" w:eastAsia="zh-CN" w:bidi="ar-SA"/>
        </w:rPr>
        <w:t xml:space="preserve"> physical activity, </w:t>
      </w:r>
      <w:r>
        <w:rPr>
          <w:rFonts w:hint="default" w:ascii="Times New Roman" w:hAnsi="Times New Roman" w:eastAsia="宋体" w:cs="Times New Roman"/>
          <w:b w:val="0"/>
          <w:bCs/>
          <w:i/>
          <w:iCs/>
          <w:kern w:val="2"/>
          <w:sz w:val="18"/>
          <w:szCs w:val="18"/>
          <w:lang w:val="en-US" w:eastAsia="zh-CN" w:bidi="ar-SA"/>
        </w:rPr>
        <w:t>DQ</w:t>
      </w: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kern w:val="2"/>
          <w:sz w:val="18"/>
          <w:szCs w:val="18"/>
          <w:lang w:val="en-US" w:eastAsia="zh-CN" w:bidi="ar-SA"/>
        </w:rPr>
        <w:t xml:space="preserve"> diet quality.</w:t>
      </w:r>
    </w:p>
    <w:p w14:paraId="5B6978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default" w:ascii="Times New Roman" w:hAnsi="Times New Roman" w:eastAsia="宋体" w:cs="Times New Roman"/>
          <w:b w:val="0"/>
          <w:bCs/>
          <w:i w:val="0"/>
          <w:iCs w:val="0"/>
          <w:kern w:val="2"/>
          <w:sz w:val="18"/>
          <w:szCs w:val="18"/>
          <w:lang w:val="en-US" w:eastAsia="zh-CN" w:bidi="ar-SA"/>
        </w:rPr>
      </w:pPr>
    </w:p>
    <w:p w14:paraId="3046EE8F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/>
          <w:b/>
          <w:bCs/>
          <w:sz w:val="24"/>
        </w:rPr>
        <w:t xml:space="preserve">Additional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T</w:t>
      </w:r>
      <w:r>
        <w:rPr>
          <w:rFonts w:ascii="Times New Roman" w:hAnsi="Times New Roman"/>
          <w:b/>
          <w:bCs/>
          <w:sz w:val="24"/>
        </w:rPr>
        <w:t xml:space="preserve">able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3 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-SA"/>
        </w:rPr>
        <w:t>The joint association of physical activity and diet quality score with MetS</w:t>
      </w:r>
    </w:p>
    <w:tbl>
      <w:tblPr>
        <w:tblStyle w:val="3"/>
        <w:tblpPr w:leftFromText="180" w:rightFromText="180" w:vertAnchor="text" w:horzAnchor="page" w:tblpXSpec="center" w:tblpY="300"/>
        <w:tblOverlap w:val="never"/>
        <w:tblW w:w="85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157"/>
        <w:gridCol w:w="665"/>
        <w:gridCol w:w="1113"/>
        <w:gridCol w:w="1724"/>
        <w:gridCol w:w="1113"/>
        <w:gridCol w:w="1288"/>
      </w:tblGrid>
      <w:tr w14:paraId="3902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60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DQ</w:t>
            </w:r>
          </w:p>
        </w:tc>
        <w:tc>
          <w:tcPr>
            <w:tcW w:w="11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2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</w:t>
            </w:r>
          </w:p>
        </w:tc>
        <w:tc>
          <w:tcPr>
            <w:tcW w:w="6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2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E1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Case (%)</w:t>
            </w:r>
          </w:p>
        </w:tc>
        <w:tc>
          <w:tcPr>
            <w:tcW w:w="17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D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B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P</w:t>
            </w: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value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1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P</w:t>
            </w: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-interaction</w:t>
            </w:r>
          </w:p>
        </w:tc>
      </w:tr>
      <w:tr w14:paraId="3C89D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65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  </w:t>
            </w:r>
            <w:r>
              <w:rPr>
                <w:rStyle w:val="8"/>
                <w:rFonts w:hint="eastAsia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Good</w:t>
            </w:r>
          </w:p>
        </w:tc>
        <w:tc>
          <w:tcPr>
            <w:tcW w:w="11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92E0D1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6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6FA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961</w:t>
            </w: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7C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 (36.0)</w:t>
            </w:r>
          </w:p>
        </w:tc>
        <w:tc>
          <w:tcPr>
            <w:tcW w:w="17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19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0F1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28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187B92A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</w:tr>
      <w:tr w14:paraId="4139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8A05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02E9F3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Moderate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7CA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1069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17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 (44.4)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4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2.142 (1.441-3.183)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E48F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0.005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4FA79BD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95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6616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166967">
            <w:pPr>
              <w:widowControl/>
              <w:ind w:firstLine="18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Low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58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482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1AB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 (19.6)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C0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2.903 (1.709-4.929)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2EB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4550E97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43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95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 </w:t>
            </w:r>
            <w:r>
              <w:rPr>
                <w:rStyle w:val="8"/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Intermediate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A0A95B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82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2131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02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 (27.6)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3C3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1.560 (1.145-2.127)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2E4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6495D0B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9C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B1F5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F0A292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Moderate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E60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BF7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1132 (51.7)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68A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1.995 (1.470-2.707)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506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509B1CA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62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8EE4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E3A357">
            <w:pPr>
              <w:widowControl/>
              <w:ind w:firstLine="18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Low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572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1654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3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 (20.7)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BFB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1.822 (1.328-2.501)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77C3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34BBBBF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C88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19E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  </w:t>
            </w:r>
            <w:r>
              <w:rPr>
                <w:rStyle w:val="8"/>
                <w:rFonts w:hint="eastAsia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Poor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9D9564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High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A6D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38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(41.9)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90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2.935 (1.723-4.999)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13C5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5950246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4E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377DA7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05BE9D">
            <w:pPr>
              <w:widowControl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Moderate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C7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656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 (40.1)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BFA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2.510 (1.807-3.486)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0FC3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6CE4EB1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16F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880A60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796B6586">
            <w:pPr>
              <w:widowControl/>
              <w:ind w:firstLine="18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 w:bidi="ar-SA"/>
              </w:rPr>
              <w:t>Low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473A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146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123D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 (29.7)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C7F4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2.247 (1.577-3.203)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A4EDE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2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73CA5CC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F07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569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FD76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Adjusted for sex, age, married status, education level, income level,</w:t>
            </w:r>
            <w:r>
              <w:rPr>
                <w:rStyle w:val="9"/>
                <w:rFonts w:hint="eastAsia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s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moking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 xml:space="preserve"> status</w:t>
            </w:r>
            <w:r>
              <w:rPr>
                <w:rStyle w:val="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, alcohol consumption.</w:t>
            </w:r>
          </w:p>
        </w:tc>
      </w:tr>
    </w:tbl>
    <w:p w14:paraId="2170B9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default" w:ascii="Times New Roman" w:hAnsi="Times New Roman" w:eastAsia="宋体" w:cs="Times New Roman"/>
          <w:b w:val="0"/>
          <w:bCs/>
          <w:i w:val="0"/>
          <w:iCs w:val="0"/>
          <w:kern w:val="2"/>
          <w:sz w:val="18"/>
          <w:szCs w:val="18"/>
          <w:lang w:val="en-US" w:eastAsia="zh-CN" w:bidi="ar-SA"/>
        </w:rPr>
      </w:pPr>
    </w:p>
    <w:p w14:paraId="138FBDF7">
      <w:pPr>
        <w:rPr>
          <w:rFonts w:hint="default" w:ascii="Times New Roman" w:hAnsi="Times New Roman" w:cs="Times New Roman"/>
          <w:sz w:val="18"/>
          <w:szCs w:val="18"/>
        </w:rPr>
      </w:pPr>
    </w:p>
    <w:p w14:paraId="7C871971">
      <w:pPr>
        <w:rPr>
          <w:rFonts w:hint="default" w:ascii="Times New Roman" w:hAnsi="Times New Roman" w:cs="Times New Roman"/>
          <w:sz w:val="18"/>
          <w:szCs w:val="18"/>
        </w:rPr>
      </w:pPr>
    </w:p>
    <w:p w14:paraId="2947EBCE">
      <w:pPr>
        <w:jc w:val="center"/>
      </w:pPr>
    </w:p>
    <w:p w14:paraId="02210087">
      <w:pPr>
        <w:jc w:val="both"/>
      </w:pPr>
    </w:p>
    <w:p w14:paraId="744F45FF">
      <w:pPr>
        <w:jc w:val="both"/>
      </w:pPr>
      <w:r>
        <w:object>
          <v:shape id="_x0000_i1030" o:spt="75" alt="" type="#_x0000_t75" style="height:256.5pt;width:415.1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Prism8.Document" ShapeID="_x0000_i1030" DrawAspect="Content" ObjectID="_1468075725" r:id="rId4">
            <o:LockedField>false</o:LockedField>
          </o:OLEObject>
        </w:object>
      </w:r>
    </w:p>
    <w:p w14:paraId="566A869A">
      <w:pPr>
        <w:jc w:val="both"/>
        <w:rPr>
          <w:rFonts w:hint="default" w:ascii="Times New Roman" w:hAnsi="Times New Roman" w:eastAsia="黑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Additional.</w:t>
      </w:r>
      <w:r>
        <w:rPr>
          <w:rFonts w:hint="default" w:ascii="Times New Roman" w:hAnsi="Times New Roman" w:eastAsia="黑体" w:cs="Times New Roman"/>
          <w:b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eastAsia="黑体" w:cs="Times New Roman"/>
          <w:b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hint="default" w:ascii="Times New Roman" w:hAnsi="Times New Roman" w:eastAsia="黑体" w:cs="Times New Roman"/>
          <w:b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黑体" w:cs="Times New Roman"/>
          <w:b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黑体" w:cs="Times New Roman"/>
          <w:b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 xml:space="preserve"> Logistic regression analysis results of influencing factors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b w:val="0"/>
          <w:bCs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PA, physical activity; DQ, diet quality.</w:t>
      </w:r>
    </w:p>
    <w:p w14:paraId="4E660189">
      <w:pPr>
        <w:jc w:val="both"/>
      </w:pPr>
    </w:p>
    <w:p w14:paraId="66D4B153">
      <w:pPr>
        <w:jc w:val="both"/>
        <w:rPr>
          <w:rFonts w:hint="eastAsia" w:eastAsiaTheme="minorEastAsia"/>
          <w:lang w:eastAsia="zh-CN"/>
        </w:rPr>
      </w:pPr>
      <w:bookmarkStart w:id="1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159885"/>
            <wp:effectExtent l="0" t="0" r="635" b="635"/>
            <wp:docPr id="2" name="图片 2" descr="combined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ombined_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8D1C061">
      <w:pPr>
        <w:keepNext w:val="0"/>
        <w:keepLines w:val="0"/>
        <w:widowControl/>
        <w:suppressLineNumbers w:val="0"/>
        <w:jc w:val="left"/>
        <w:rPr>
          <w:rFonts w:ascii="Times New Roman" w:hAnsi="Times New Roman"/>
          <w:b w:val="0"/>
          <w:bCs/>
          <w:sz w:val="24"/>
        </w:rPr>
      </w:pP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Additional.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 w:val="0"/>
          <w:sz w:val="24"/>
        </w:rPr>
        <w:t>Dose-response association between physical activity, diet quality</w:t>
      </w:r>
      <w:r>
        <w:rPr>
          <w:rFonts w:hint="eastAsia" w:ascii="Times New Roman" w:hAnsi="Times New Roman"/>
          <w:b/>
          <w:bCs w:val="0"/>
          <w:sz w:val="24"/>
          <w:lang w:val="en-US" w:eastAsia="zh-CN"/>
        </w:rPr>
        <w:t xml:space="preserve"> score</w:t>
      </w:r>
      <w:r>
        <w:rPr>
          <w:rFonts w:ascii="Times New Roman" w:hAnsi="Times New Roman"/>
          <w:b/>
          <w:bCs w:val="0"/>
          <w:sz w:val="24"/>
        </w:rPr>
        <w:t xml:space="preserve"> with </w:t>
      </w:r>
      <w:r>
        <w:rPr>
          <w:rFonts w:hint="eastAsia" w:ascii="Times New Roman" w:hAnsi="Times New Roman"/>
          <w:b/>
          <w:bCs w:val="0"/>
          <w:sz w:val="24"/>
          <w:lang w:val="en-US" w:eastAsia="zh-CN"/>
        </w:rPr>
        <w:t xml:space="preserve">MetS. </w:t>
      </w:r>
      <w:r>
        <w:rPr>
          <w:rFonts w:ascii="Times New Roman" w:hAnsi="Times New Roman"/>
          <w:b w:val="0"/>
          <w:bCs/>
          <w:sz w:val="24"/>
          <w:lang w:val="en-US" w:eastAsia="zh-CN"/>
        </w:rPr>
        <w:t xml:space="preserve">Adjusted for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sex, age, education level, s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moking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 status, alcohol consumption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and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diet quality score or 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physical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activity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.</w:t>
      </w:r>
    </w:p>
    <w:p w14:paraId="16069AC1">
      <w:pPr>
        <w:jc w:val="center"/>
        <w:rPr>
          <w:rFonts w:hint="default" w:eastAsiaTheme="minorEastAsia"/>
          <w:b/>
          <w:bCs w:val="0"/>
          <w:lang w:val="en-US" w:eastAsia="zh-CN"/>
        </w:rPr>
      </w:pPr>
    </w:p>
    <w:p w14:paraId="4529A3E5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036060"/>
            <wp:effectExtent l="0" t="0" r="635" b="2540"/>
            <wp:docPr id="3" name="图片 3" descr="combined_image新MS诊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ombined_image新MS诊断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0C594">
      <w:pPr>
        <w:jc w:val="center"/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Additional.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ure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24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 w:val="0"/>
          <w:sz w:val="24"/>
        </w:rPr>
        <w:t>Dose-response association between physical activity, diet quality</w:t>
      </w:r>
      <w:r>
        <w:rPr>
          <w:rFonts w:hint="eastAsia" w:ascii="Times New Roman" w:hAnsi="Times New Roman"/>
          <w:b/>
          <w:bCs w:val="0"/>
          <w:sz w:val="24"/>
          <w:lang w:val="en-US" w:eastAsia="zh-CN"/>
        </w:rPr>
        <w:t xml:space="preserve"> score</w:t>
      </w:r>
      <w:r>
        <w:rPr>
          <w:rFonts w:ascii="Times New Roman" w:hAnsi="Times New Roman"/>
          <w:b/>
          <w:bCs w:val="0"/>
          <w:sz w:val="24"/>
        </w:rPr>
        <w:t xml:space="preserve"> with </w:t>
      </w:r>
      <w:r>
        <w:rPr>
          <w:rFonts w:hint="eastAsia" w:ascii="Times New Roman" w:hAnsi="Times New Roman"/>
          <w:b/>
          <w:bCs w:val="0"/>
          <w:sz w:val="24"/>
          <w:lang w:val="en-US" w:eastAsia="zh-CN"/>
        </w:rPr>
        <w:t xml:space="preserve">MetS in different diagnostic standard. </w:t>
      </w:r>
      <w:r>
        <w:rPr>
          <w:rFonts w:ascii="Times New Roman" w:hAnsi="Times New Roman"/>
          <w:b w:val="0"/>
          <w:bCs/>
          <w:sz w:val="24"/>
          <w:lang w:val="en-US" w:eastAsia="zh-CN"/>
        </w:rPr>
        <w:t xml:space="preserve">Adjusted for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sex, age, education level, s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moking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 status, alcohol consumption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 and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diet quality score or 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 xml:space="preserve">physical 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activity</w:t>
      </w:r>
      <w:r>
        <w:rPr>
          <w:rFonts w:hint="default" w:ascii="Times New Roman" w:hAnsi="Times New Roman"/>
          <w:b w:val="0"/>
          <w:bCs/>
          <w:sz w:val="24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OGQyMzc0ZTMwMDA5ZmM0M2IyMzQxZjgwZDhhNjUifQ=="/>
  </w:docVars>
  <w:rsids>
    <w:rsidRoot w:val="7934047F"/>
    <w:rsid w:val="0C5C3ABD"/>
    <w:rsid w:val="18CD0120"/>
    <w:rsid w:val="2F354341"/>
    <w:rsid w:val="32A47CEB"/>
    <w:rsid w:val="38A608B0"/>
    <w:rsid w:val="41970A1B"/>
    <w:rsid w:val="58242BB1"/>
    <w:rsid w:val="5BE5773F"/>
    <w:rsid w:val="5D8C5C90"/>
    <w:rsid w:val="62F6770A"/>
    <w:rsid w:val="637A6B3B"/>
    <w:rsid w:val="68EE208C"/>
    <w:rsid w:val="6F210A6C"/>
    <w:rsid w:val="7934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39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7">
    <w:name w:val="font21"/>
    <w:basedOn w:val="5"/>
    <w:qFormat/>
    <w:uiPriority w:val="0"/>
    <w:rPr>
      <w:rFonts w:hint="default" w:ascii="Calibri" w:hAnsi="Calibri" w:cs="Calibri"/>
      <w:b/>
      <w:bCs/>
      <w:i/>
      <w:iCs/>
      <w:color w:val="000000"/>
      <w:sz w:val="20"/>
      <w:szCs w:val="20"/>
      <w:u w:val="none"/>
    </w:rPr>
  </w:style>
  <w:style w:type="character" w:customStyle="1" w:styleId="8">
    <w:name w:val="font31"/>
    <w:basedOn w:val="5"/>
    <w:qFormat/>
    <w:uiPriority w:val="0"/>
    <w:rPr>
      <w:rFonts w:hint="default" w:ascii="Calibri" w:hAnsi="Calibri" w:cs="Calibri"/>
      <w:b/>
      <w:bCs/>
      <w:color w:val="000000"/>
      <w:sz w:val="20"/>
      <w:szCs w:val="20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865</Words>
  <Characters>4975</Characters>
  <Lines>0</Lines>
  <Paragraphs>0</Paragraphs>
  <TotalTime>2</TotalTime>
  <ScaleCrop>false</ScaleCrop>
  <LinksUpToDate>false</LinksUpToDate>
  <CharactersWithSpaces>5612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2024-07-05T02:41:00Z</dcterms:created>
  <dc:creator></dc:creator>
  <cp:lastModifiedBy></cp:lastModifiedBy>
  <dcterms:modified xsi:type="dcterms:W3CDTF">2024-07-17T06:09:24Z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637BF0455EAE43CF9DFD82354ED54123_11</vt:lpwstr>
  </property>
</Properties>
</file>