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9899A" w14:textId="5DA630A1" w:rsidR="00646633" w:rsidRDefault="00646633" w:rsidP="00E13036">
      <w:pPr>
        <w:pStyle w:val="Title"/>
      </w:pPr>
      <w:r>
        <w:t>Supplementary Information for:</w:t>
      </w:r>
    </w:p>
    <w:p w14:paraId="01BA5A36" w14:textId="77777777" w:rsidR="00646633" w:rsidRDefault="00646633" w:rsidP="00C81AF0"/>
    <w:p w14:paraId="6787DAFC" w14:textId="77777777" w:rsidR="00AB1D28" w:rsidRDefault="00AB1D28" w:rsidP="00AB1D28">
      <w:pPr>
        <w:pStyle w:val="Title"/>
        <w:rPr>
          <w:rFonts w:eastAsiaTheme="minorHAnsi"/>
        </w:rPr>
      </w:pPr>
      <w:r w:rsidRPr="00B421CF">
        <w:rPr>
          <w:rFonts w:eastAsiaTheme="minorHAnsi"/>
        </w:rPr>
        <w:t>Rate and growth limits and the role of geologic carbon storage in meeting climate targets</w:t>
      </w:r>
    </w:p>
    <w:p w14:paraId="0D146021" w14:textId="77777777" w:rsidR="00AB1D28" w:rsidRPr="00AB1D28" w:rsidRDefault="00AB1D28" w:rsidP="00AB1D28"/>
    <w:p w14:paraId="1BD9352C" w14:textId="20997C28" w:rsidR="006620C7" w:rsidRPr="006B0272" w:rsidRDefault="006620C7" w:rsidP="006620C7">
      <w:pPr>
        <w:rPr>
          <w:rFonts w:cstheme="minorHAnsi"/>
        </w:rPr>
      </w:pPr>
      <w:r w:rsidRPr="006B0272">
        <w:rPr>
          <w:rFonts w:cstheme="minorHAnsi"/>
        </w:rPr>
        <w:t>Jay Fuhrman</w:t>
      </w:r>
      <w:r w:rsidRPr="006B0272">
        <w:rPr>
          <w:rFonts w:cstheme="minorHAnsi"/>
          <w:vertAlign w:val="superscript"/>
        </w:rPr>
        <w:t>1</w:t>
      </w:r>
      <w:r w:rsidRPr="006B0272">
        <w:rPr>
          <w:rFonts w:cstheme="minorHAnsi"/>
        </w:rPr>
        <w:t>, Haewon McJeon</w:t>
      </w:r>
      <w:r w:rsidRPr="006B0272">
        <w:rPr>
          <w:rFonts w:cstheme="minorHAnsi"/>
          <w:vertAlign w:val="superscript"/>
        </w:rPr>
        <w:t>2</w:t>
      </w:r>
      <w:r w:rsidRPr="006B0272">
        <w:rPr>
          <w:rFonts w:cstheme="minorHAnsi"/>
        </w:rPr>
        <w:t>, Morgan R. Edwards</w:t>
      </w:r>
      <w:r w:rsidRPr="006B0272">
        <w:rPr>
          <w:rFonts w:cstheme="minorHAnsi"/>
          <w:vertAlign w:val="superscript"/>
        </w:rPr>
        <w:t>3</w:t>
      </w:r>
      <w:r w:rsidR="00207456">
        <w:rPr>
          <w:rFonts w:cstheme="minorHAnsi"/>
          <w:vertAlign w:val="superscript"/>
        </w:rPr>
        <w:t>,4</w:t>
      </w:r>
      <w:r w:rsidRPr="006B0272">
        <w:rPr>
          <w:rFonts w:cstheme="minorHAnsi"/>
        </w:rPr>
        <w:t>, Zachary H. Thomas</w:t>
      </w:r>
      <w:r w:rsidRPr="006B0272">
        <w:rPr>
          <w:rFonts w:cstheme="minorHAnsi"/>
          <w:vertAlign w:val="superscript"/>
        </w:rPr>
        <w:t>4</w:t>
      </w:r>
      <w:r w:rsidRPr="006B0272">
        <w:rPr>
          <w:rFonts w:cstheme="minorHAnsi"/>
        </w:rPr>
        <w:t xml:space="preserve">, </w:t>
      </w:r>
      <w:r w:rsidRPr="00B760AB">
        <w:rPr>
          <w:rFonts w:cstheme="minorHAnsi"/>
        </w:rPr>
        <w:t>Joe Lane</w:t>
      </w:r>
      <w:r w:rsidRPr="00F85FF0">
        <w:rPr>
          <w:rFonts w:cstheme="minorHAnsi"/>
          <w:vertAlign w:val="superscript"/>
        </w:rPr>
        <w:t>5</w:t>
      </w:r>
      <w:r w:rsidRPr="006B0272">
        <w:rPr>
          <w:rFonts w:cstheme="minorHAnsi"/>
        </w:rPr>
        <w:t>, James Edmonds</w:t>
      </w:r>
      <w:r w:rsidRPr="006B0272">
        <w:rPr>
          <w:rFonts w:cstheme="minorHAnsi"/>
          <w:vertAlign w:val="superscript"/>
        </w:rPr>
        <w:t>1</w:t>
      </w:r>
    </w:p>
    <w:p w14:paraId="76D9A243" w14:textId="77777777" w:rsidR="006620C7" w:rsidRPr="006B0272" w:rsidRDefault="006620C7" w:rsidP="006620C7">
      <w:pPr>
        <w:spacing w:line="264" w:lineRule="auto"/>
        <w:rPr>
          <w:rFonts w:cstheme="minorHAnsi"/>
          <w:lang w:val="en-GB"/>
        </w:rPr>
      </w:pPr>
      <w:r w:rsidRPr="006B0272">
        <w:rPr>
          <w:rFonts w:cstheme="minorHAnsi"/>
          <w:vertAlign w:val="superscript"/>
          <w:lang w:val="en-GB"/>
        </w:rPr>
        <w:t>1</w:t>
      </w:r>
      <w:r w:rsidRPr="006B0272">
        <w:rPr>
          <w:rFonts w:cstheme="minorHAnsi"/>
          <w:lang w:val="en-GB"/>
        </w:rPr>
        <w:t xml:space="preserve"> Joint Global Change Research Institute, University of Maryland and Pacific Northwest National Laboratory, College Park, MD, USA</w:t>
      </w:r>
    </w:p>
    <w:p w14:paraId="1632D6E8" w14:textId="77777777" w:rsidR="006620C7" w:rsidRPr="006B0272" w:rsidRDefault="006620C7" w:rsidP="006620C7">
      <w:pPr>
        <w:spacing w:line="264" w:lineRule="auto"/>
        <w:rPr>
          <w:rFonts w:cstheme="minorHAnsi"/>
        </w:rPr>
      </w:pPr>
      <w:r w:rsidRPr="006B0272">
        <w:rPr>
          <w:rFonts w:cstheme="minorHAnsi"/>
          <w:vertAlign w:val="superscript"/>
          <w:lang w:val="en-GB"/>
        </w:rPr>
        <w:t>2</w:t>
      </w:r>
      <w:r w:rsidRPr="006B0272">
        <w:rPr>
          <w:rFonts w:cstheme="minorHAnsi"/>
          <w:lang w:val="en-GB"/>
        </w:rPr>
        <w:t xml:space="preserve"> </w:t>
      </w:r>
      <w:bookmarkStart w:id="0" w:name="_Hlk145081680"/>
      <w:bookmarkStart w:id="1" w:name="_Hlk144717421"/>
      <w:r w:rsidRPr="006B0272">
        <w:rPr>
          <w:rFonts w:cstheme="minorHAnsi"/>
        </w:rPr>
        <w:t>KAIST Graduate School of Green Growth &amp; Sustainability</w:t>
      </w:r>
      <w:bookmarkEnd w:id="0"/>
      <w:r w:rsidRPr="006B0272">
        <w:rPr>
          <w:rFonts w:cstheme="minorHAnsi"/>
        </w:rPr>
        <w:t>, Korea Advanced Institute of Science and Technology, Daejeon, Republic of Korea</w:t>
      </w:r>
      <w:bookmarkEnd w:id="1"/>
    </w:p>
    <w:p w14:paraId="376B51C8" w14:textId="77777777" w:rsidR="006620C7" w:rsidRPr="006B0272" w:rsidRDefault="006620C7" w:rsidP="006620C7">
      <w:pPr>
        <w:pStyle w:val="NormalWeb"/>
        <w:spacing w:before="0" w:beforeAutospacing="0" w:after="0" w:afterAutospacing="0"/>
        <w:textAlignment w:val="baseline"/>
        <w:rPr>
          <w:rFonts w:asciiTheme="minorHAnsi" w:hAnsiTheme="minorHAnsi" w:cstheme="minorHAnsi"/>
          <w:color w:val="000000"/>
          <w:sz w:val="22"/>
          <w:szCs w:val="22"/>
        </w:rPr>
      </w:pPr>
      <w:r w:rsidRPr="006B0272">
        <w:rPr>
          <w:rFonts w:asciiTheme="minorHAnsi" w:hAnsiTheme="minorHAnsi" w:cstheme="minorHAnsi"/>
          <w:color w:val="000000"/>
          <w:sz w:val="22"/>
          <w:szCs w:val="22"/>
          <w:vertAlign w:val="superscript"/>
        </w:rPr>
        <w:t>3</w:t>
      </w:r>
      <w:r w:rsidRPr="006B0272">
        <w:rPr>
          <w:rFonts w:asciiTheme="minorHAnsi" w:hAnsiTheme="minorHAnsi" w:cstheme="minorHAnsi"/>
          <w:color w:val="000000"/>
          <w:sz w:val="22"/>
          <w:szCs w:val="22"/>
        </w:rPr>
        <w:t xml:space="preserve"> La Follette School of Public Affairs, University of Wisconsin–Madison, USA</w:t>
      </w:r>
    </w:p>
    <w:p w14:paraId="2B2D34C8" w14:textId="77777777" w:rsidR="006620C7" w:rsidRPr="006B0272" w:rsidRDefault="006620C7" w:rsidP="006620C7">
      <w:pPr>
        <w:pStyle w:val="NormalWeb"/>
        <w:spacing w:before="0" w:beforeAutospacing="0" w:after="0" w:afterAutospacing="0"/>
        <w:textAlignment w:val="baseline"/>
        <w:rPr>
          <w:rFonts w:asciiTheme="minorHAnsi" w:hAnsiTheme="minorHAnsi" w:cstheme="minorHAnsi"/>
          <w:color w:val="000000"/>
          <w:sz w:val="22"/>
          <w:szCs w:val="22"/>
        </w:rPr>
      </w:pPr>
    </w:p>
    <w:p w14:paraId="004EAF4E" w14:textId="77777777" w:rsidR="006620C7" w:rsidRPr="006B0272" w:rsidRDefault="006620C7" w:rsidP="006620C7">
      <w:pPr>
        <w:pStyle w:val="NormalWeb"/>
        <w:spacing w:before="0" w:beforeAutospacing="0" w:after="200" w:afterAutospacing="0"/>
        <w:textAlignment w:val="baseline"/>
        <w:rPr>
          <w:rFonts w:asciiTheme="minorHAnsi" w:hAnsiTheme="minorHAnsi" w:cstheme="minorHAnsi"/>
          <w:color w:val="000000"/>
          <w:sz w:val="22"/>
          <w:szCs w:val="22"/>
        </w:rPr>
      </w:pPr>
      <w:r w:rsidRPr="006B0272">
        <w:rPr>
          <w:rFonts w:asciiTheme="minorHAnsi" w:hAnsiTheme="minorHAnsi" w:cstheme="minorHAnsi"/>
          <w:color w:val="000000"/>
          <w:sz w:val="22"/>
          <w:szCs w:val="22"/>
          <w:vertAlign w:val="superscript"/>
        </w:rPr>
        <w:t>4</w:t>
      </w:r>
      <w:r w:rsidRPr="006B0272">
        <w:rPr>
          <w:rFonts w:asciiTheme="minorHAnsi" w:hAnsiTheme="minorHAnsi" w:cstheme="minorHAnsi"/>
          <w:color w:val="000000"/>
          <w:sz w:val="22"/>
          <w:szCs w:val="22"/>
        </w:rPr>
        <w:t xml:space="preserve"> Nelson Institute Center for Sustainability and the Global Environment, University of Wisconsin–Madison, USA</w:t>
      </w:r>
    </w:p>
    <w:p w14:paraId="65A80439" w14:textId="77777777" w:rsidR="006620C7" w:rsidRPr="00F85FF0" w:rsidRDefault="006620C7" w:rsidP="006620C7">
      <w:pPr>
        <w:pStyle w:val="pf0"/>
        <w:rPr>
          <w:rFonts w:asciiTheme="minorHAnsi" w:hAnsiTheme="minorHAnsi" w:cstheme="minorHAnsi"/>
          <w:sz w:val="22"/>
          <w:szCs w:val="22"/>
        </w:rPr>
      </w:pPr>
      <w:r w:rsidRPr="006B0272">
        <w:rPr>
          <w:rFonts w:asciiTheme="minorHAnsi" w:hAnsiTheme="minorHAnsi" w:cstheme="minorHAnsi"/>
          <w:color w:val="000000"/>
          <w:sz w:val="22"/>
          <w:szCs w:val="22"/>
          <w:vertAlign w:val="superscript"/>
        </w:rPr>
        <w:t>5</w:t>
      </w:r>
      <w:r w:rsidRPr="006B0272">
        <w:rPr>
          <w:rFonts w:asciiTheme="minorHAnsi" w:hAnsiTheme="minorHAnsi" w:cstheme="minorHAnsi"/>
          <w:color w:val="000000"/>
          <w:sz w:val="22"/>
          <w:szCs w:val="22"/>
        </w:rPr>
        <w:t xml:space="preserve"> </w:t>
      </w:r>
      <w:r w:rsidRPr="00F85FF0">
        <w:rPr>
          <w:rStyle w:val="cf01"/>
          <w:rFonts w:asciiTheme="minorHAnsi" w:hAnsiTheme="minorHAnsi" w:cstheme="minorHAnsi"/>
          <w:sz w:val="22"/>
          <w:szCs w:val="22"/>
        </w:rPr>
        <w:t>Gas &amp; Energy Transition Research Centre, The University of Queensland, Brisbane, Australia</w:t>
      </w:r>
    </w:p>
    <w:p w14:paraId="2AD9703A" w14:textId="77777777" w:rsidR="00E13036" w:rsidRPr="00E13036" w:rsidRDefault="00E13036" w:rsidP="00E13036"/>
    <w:p w14:paraId="1E492A79" w14:textId="77777777" w:rsidR="00646633" w:rsidRDefault="00646633" w:rsidP="00C81AF0"/>
    <w:p w14:paraId="30CB83E0" w14:textId="77777777" w:rsidR="00646633" w:rsidRDefault="00646633" w:rsidP="00C81AF0"/>
    <w:p w14:paraId="4C0880A4" w14:textId="77777777" w:rsidR="006620C7" w:rsidRDefault="006620C7" w:rsidP="00C81AF0"/>
    <w:p w14:paraId="023D6EF3" w14:textId="77777777" w:rsidR="006620C7" w:rsidRDefault="006620C7" w:rsidP="00C81AF0"/>
    <w:p w14:paraId="7264FFF1" w14:textId="77777777" w:rsidR="006620C7" w:rsidRDefault="006620C7" w:rsidP="00C81AF0"/>
    <w:p w14:paraId="69B5B839" w14:textId="77777777" w:rsidR="006620C7" w:rsidRDefault="006620C7" w:rsidP="00C81AF0"/>
    <w:p w14:paraId="10A628A1" w14:textId="77777777" w:rsidR="006620C7" w:rsidRDefault="006620C7" w:rsidP="00C81AF0"/>
    <w:p w14:paraId="039A3326" w14:textId="77777777" w:rsidR="006620C7" w:rsidRDefault="006620C7" w:rsidP="00C81AF0"/>
    <w:p w14:paraId="291E8322" w14:textId="77777777" w:rsidR="00646633" w:rsidRDefault="00646633" w:rsidP="00C81AF0"/>
    <w:p w14:paraId="224E86BB" w14:textId="77777777" w:rsidR="00646633" w:rsidRDefault="00646633" w:rsidP="00C81AF0"/>
    <w:p w14:paraId="438772B0" w14:textId="39F31A45" w:rsidR="00053E04" w:rsidRDefault="00053E04" w:rsidP="00053E04">
      <w:pPr>
        <w:pStyle w:val="Heading1"/>
      </w:pPr>
      <w:r>
        <w:lastRenderedPageBreak/>
        <w:t>Table of Figures</w:t>
      </w:r>
    </w:p>
    <w:p w14:paraId="5B017661" w14:textId="77777777" w:rsidR="00053E04" w:rsidRDefault="00053E04">
      <w:pPr>
        <w:pStyle w:val="TableofFigures"/>
        <w:tabs>
          <w:tab w:val="right" w:leader="dot" w:pos="9350"/>
        </w:tabs>
      </w:pPr>
    </w:p>
    <w:p w14:paraId="79BD5531" w14:textId="05B7970D" w:rsidR="00AB4569" w:rsidRDefault="006620C7">
      <w:pPr>
        <w:pStyle w:val="TableofFigures"/>
        <w:tabs>
          <w:tab w:val="right" w:leader="dot" w:pos="9350"/>
        </w:tabs>
        <w:rPr>
          <w:rFonts w:eastAsiaTheme="minorEastAsia"/>
          <w:noProof/>
          <w:kern w:val="2"/>
          <w14:ligatures w14:val="standardContextual"/>
        </w:rPr>
      </w:pPr>
      <w:r>
        <w:fldChar w:fldCharType="begin"/>
      </w:r>
      <w:r>
        <w:instrText xml:space="preserve"> TOC \h \z \c "Figure" </w:instrText>
      </w:r>
      <w:r>
        <w:fldChar w:fldCharType="separate"/>
      </w:r>
      <w:hyperlink w:anchor="_Toc170382198" w:history="1">
        <w:r w:rsidR="00AB4569" w:rsidRPr="00511FA6">
          <w:rPr>
            <w:rStyle w:val="Hyperlink"/>
            <w:noProof/>
          </w:rPr>
          <w:t>Figure 1: Conceptual diagram (not-to-scale).</w:t>
        </w:r>
        <w:r w:rsidR="00AB4569">
          <w:rPr>
            <w:noProof/>
            <w:webHidden/>
          </w:rPr>
          <w:tab/>
        </w:r>
        <w:r w:rsidR="00AB4569">
          <w:rPr>
            <w:noProof/>
            <w:webHidden/>
          </w:rPr>
          <w:fldChar w:fldCharType="begin"/>
        </w:r>
        <w:r w:rsidR="00AB4569">
          <w:rPr>
            <w:noProof/>
            <w:webHidden/>
          </w:rPr>
          <w:instrText xml:space="preserve"> PAGEREF _Toc170382198 \h </w:instrText>
        </w:r>
        <w:r w:rsidR="00AB4569">
          <w:rPr>
            <w:noProof/>
            <w:webHidden/>
          </w:rPr>
        </w:r>
        <w:r w:rsidR="00AB4569">
          <w:rPr>
            <w:noProof/>
            <w:webHidden/>
          </w:rPr>
          <w:fldChar w:fldCharType="separate"/>
        </w:r>
        <w:r w:rsidR="00AB4569">
          <w:rPr>
            <w:noProof/>
            <w:webHidden/>
          </w:rPr>
          <w:t>4</w:t>
        </w:r>
        <w:r w:rsidR="00AB4569">
          <w:rPr>
            <w:noProof/>
            <w:webHidden/>
          </w:rPr>
          <w:fldChar w:fldCharType="end"/>
        </w:r>
      </w:hyperlink>
    </w:p>
    <w:p w14:paraId="6F7A248C" w14:textId="2C32A735" w:rsidR="00AB4569" w:rsidRDefault="00AB4569">
      <w:pPr>
        <w:pStyle w:val="TableofFigures"/>
        <w:tabs>
          <w:tab w:val="right" w:leader="dot" w:pos="9350"/>
        </w:tabs>
        <w:rPr>
          <w:rFonts w:eastAsiaTheme="minorEastAsia"/>
          <w:noProof/>
          <w:kern w:val="2"/>
          <w14:ligatures w14:val="standardContextual"/>
        </w:rPr>
      </w:pPr>
      <w:hyperlink w:anchor="_Toc170382199" w:history="1">
        <w:r w:rsidRPr="00511FA6">
          <w:rPr>
            <w:rStyle w:val="Hyperlink"/>
            <w:noProof/>
          </w:rPr>
          <w:t>Figure 2: Fossil and Industrial CO</w:t>
        </w:r>
        <w:r w:rsidRPr="00511FA6">
          <w:rPr>
            <w:rStyle w:val="Hyperlink"/>
            <w:noProof/>
            <w:vertAlign w:val="subscript"/>
          </w:rPr>
          <w:t>2</w:t>
        </w:r>
        <w:r w:rsidRPr="00511FA6">
          <w:rPr>
            <w:rStyle w:val="Hyperlink"/>
            <w:noProof/>
          </w:rPr>
          <w:t xml:space="preserve"> emissions for all scenarios (excluding land-use change CO</w:t>
        </w:r>
        <w:r w:rsidRPr="00511FA6">
          <w:rPr>
            <w:rStyle w:val="Hyperlink"/>
            <w:noProof/>
            <w:vertAlign w:val="subscript"/>
          </w:rPr>
          <w:t>2</w:t>
        </w:r>
        <w:r w:rsidRPr="00511FA6">
          <w:rPr>
            <w:rStyle w:val="Hyperlink"/>
            <w:noProof/>
          </w:rPr>
          <w:t xml:space="preserve"> emissions). The 1.5 °C scenario with slow CCS growth was infeasible; all other blank subplots were not run as scenarios.</w:t>
        </w:r>
        <w:r>
          <w:rPr>
            <w:noProof/>
            <w:webHidden/>
          </w:rPr>
          <w:tab/>
        </w:r>
        <w:r>
          <w:rPr>
            <w:noProof/>
            <w:webHidden/>
          </w:rPr>
          <w:fldChar w:fldCharType="begin"/>
        </w:r>
        <w:r>
          <w:rPr>
            <w:noProof/>
            <w:webHidden/>
          </w:rPr>
          <w:instrText xml:space="preserve"> PAGEREF _Toc170382199 \h </w:instrText>
        </w:r>
        <w:r>
          <w:rPr>
            <w:noProof/>
            <w:webHidden/>
          </w:rPr>
        </w:r>
        <w:r>
          <w:rPr>
            <w:noProof/>
            <w:webHidden/>
          </w:rPr>
          <w:fldChar w:fldCharType="separate"/>
        </w:r>
        <w:r>
          <w:rPr>
            <w:noProof/>
            <w:webHidden/>
          </w:rPr>
          <w:t>5</w:t>
        </w:r>
        <w:r>
          <w:rPr>
            <w:noProof/>
            <w:webHidden/>
          </w:rPr>
          <w:fldChar w:fldCharType="end"/>
        </w:r>
      </w:hyperlink>
    </w:p>
    <w:p w14:paraId="3BD8F07E" w14:textId="12F75C11" w:rsidR="00AB4569" w:rsidRDefault="00AB4569">
      <w:pPr>
        <w:pStyle w:val="TableofFigures"/>
        <w:tabs>
          <w:tab w:val="right" w:leader="dot" w:pos="9350"/>
        </w:tabs>
        <w:rPr>
          <w:rFonts w:eastAsiaTheme="minorEastAsia"/>
          <w:noProof/>
          <w:kern w:val="2"/>
          <w14:ligatures w14:val="standardContextual"/>
        </w:rPr>
      </w:pPr>
      <w:hyperlink w:anchor="_Toc170382200" w:history="1">
        <w:r w:rsidRPr="00511FA6">
          <w:rPr>
            <w:rStyle w:val="Hyperlink"/>
            <w:noProof/>
          </w:rPr>
          <w:t>Figure 3: CO</w:t>
        </w:r>
        <w:r w:rsidRPr="00511FA6">
          <w:rPr>
            <w:rStyle w:val="Hyperlink"/>
            <w:noProof/>
            <w:vertAlign w:val="subscript"/>
          </w:rPr>
          <w:t>2</w:t>
        </w:r>
        <w:r w:rsidRPr="00511FA6">
          <w:rPr>
            <w:rStyle w:val="Hyperlink"/>
            <w:noProof/>
          </w:rPr>
          <w:t xml:space="preserve"> emissions by sector including land-use change for all scenarios. The 1.5 °C scenario with slow CCS growth was infeasible; all other blank subplots were not run as scenarios.</w:t>
        </w:r>
        <w:r>
          <w:rPr>
            <w:noProof/>
            <w:webHidden/>
          </w:rPr>
          <w:tab/>
        </w:r>
        <w:r>
          <w:rPr>
            <w:noProof/>
            <w:webHidden/>
          </w:rPr>
          <w:fldChar w:fldCharType="begin"/>
        </w:r>
        <w:r>
          <w:rPr>
            <w:noProof/>
            <w:webHidden/>
          </w:rPr>
          <w:instrText xml:space="preserve"> PAGEREF _Toc170382200 \h </w:instrText>
        </w:r>
        <w:r>
          <w:rPr>
            <w:noProof/>
            <w:webHidden/>
          </w:rPr>
        </w:r>
        <w:r>
          <w:rPr>
            <w:noProof/>
            <w:webHidden/>
          </w:rPr>
          <w:fldChar w:fldCharType="separate"/>
        </w:r>
        <w:r>
          <w:rPr>
            <w:noProof/>
            <w:webHidden/>
          </w:rPr>
          <w:t>6</w:t>
        </w:r>
        <w:r>
          <w:rPr>
            <w:noProof/>
            <w:webHidden/>
          </w:rPr>
          <w:fldChar w:fldCharType="end"/>
        </w:r>
      </w:hyperlink>
    </w:p>
    <w:p w14:paraId="0C8EDF54" w14:textId="374D78BF" w:rsidR="00AB4569" w:rsidRDefault="00AB4569">
      <w:pPr>
        <w:pStyle w:val="TableofFigures"/>
        <w:tabs>
          <w:tab w:val="right" w:leader="dot" w:pos="9350"/>
        </w:tabs>
        <w:rPr>
          <w:rFonts w:eastAsiaTheme="minorEastAsia"/>
          <w:noProof/>
          <w:kern w:val="2"/>
          <w14:ligatures w14:val="standardContextual"/>
        </w:rPr>
      </w:pPr>
      <w:hyperlink w:anchor="_Toc170382201" w:history="1">
        <w:r w:rsidRPr="00511FA6">
          <w:rPr>
            <w:rStyle w:val="Hyperlink"/>
            <w:noProof/>
          </w:rPr>
          <w:t>Figure 4: CO</w:t>
        </w:r>
        <w:r w:rsidRPr="00511FA6">
          <w:rPr>
            <w:rStyle w:val="Hyperlink"/>
            <w:noProof/>
            <w:vertAlign w:val="subscript"/>
          </w:rPr>
          <w:t>2</w:t>
        </w:r>
        <w:r w:rsidRPr="00511FA6">
          <w:rPr>
            <w:rStyle w:val="Hyperlink"/>
            <w:noProof/>
          </w:rPr>
          <w:t xml:space="preserve"> price paths to meet below 2 C and below 1.5 °C temperature goals under varying rate and growth limits on CCS.</w:t>
        </w:r>
        <w:r>
          <w:rPr>
            <w:noProof/>
            <w:webHidden/>
          </w:rPr>
          <w:tab/>
        </w:r>
        <w:r>
          <w:rPr>
            <w:noProof/>
            <w:webHidden/>
          </w:rPr>
          <w:fldChar w:fldCharType="begin"/>
        </w:r>
        <w:r>
          <w:rPr>
            <w:noProof/>
            <w:webHidden/>
          </w:rPr>
          <w:instrText xml:space="preserve"> PAGEREF _Toc170382201 \h </w:instrText>
        </w:r>
        <w:r>
          <w:rPr>
            <w:noProof/>
            <w:webHidden/>
          </w:rPr>
        </w:r>
        <w:r>
          <w:rPr>
            <w:noProof/>
            <w:webHidden/>
          </w:rPr>
          <w:fldChar w:fldCharType="separate"/>
        </w:r>
        <w:r>
          <w:rPr>
            <w:noProof/>
            <w:webHidden/>
          </w:rPr>
          <w:t>7</w:t>
        </w:r>
        <w:r>
          <w:rPr>
            <w:noProof/>
            <w:webHidden/>
          </w:rPr>
          <w:fldChar w:fldCharType="end"/>
        </w:r>
      </w:hyperlink>
    </w:p>
    <w:p w14:paraId="601A4CEA" w14:textId="7BCF0E1E" w:rsidR="00AB4569" w:rsidRDefault="00AB4569">
      <w:pPr>
        <w:pStyle w:val="TableofFigures"/>
        <w:tabs>
          <w:tab w:val="right" w:leader="dot" w:pos="9350"/>
        </w:tabs>
        <w:rPr>
          <w:rFonts w:eastAsiaTheme="minorEastAsia"/>
          <w:noProof/>
          <w:kern w:val="2"/>
          <w14:ligatures w14:val="standardContextual"/>
        </w:rPr>
      </w:pPr>
      <w:hyperlink w:anchor="_Toc170382202" w:history="1">
        <w:r w:rsidRPr="00511FA6">
          <w:rPr>
            <w:rStyle w:val="Hyperlink"/>
            <w:noProof/>
          </w:rPr>
          <w:t>Figure 5: Geologic CO</w:t>
        </w:r>
        <w:r w:rsidRPr="00511FA6">
          <w:rPr>
            <w:rStyle w:val="Hyperlink"/>
            <w:noProof/>
            <w:vertAlign w:val="subscript"/>
          </w:rPr>
          <w:t>2</w:t>
        </w:r>
        <w:r w:rsidRPr="00511FA6">
          <w:rPr>
            <w:rStyle w:val="Hyperlink"/>
            <w:noProof/>
          </w:rPr>
          <w:t xml:space="preserve"> storage by region and scenario through 2100.</w:t>
        </w:r>
        <w:r>
          <w:rPr>
            <w:noProof/>
            <w:webHidden/>
          </w:rPr>
          <w:tab/>
        </w:r>
        <w:r>
          <w:rPr>
            <w:noProof/>
            <w:webHidden/>
          </w:rPr>
          <w:fldChar w:fldCharType="begin"/>
        </w:r>
        <w:r>
          <w:rPr>
            <w:noProof/>
            <w:webHidden/>
          </w:rPr>
          <w:instrText xml:space="preserve"> PAGEREF _Toc170382202 \h </w:instrText>
        </w:r>
        <w:r>
          <w:rPr>
            <w:noProof/>
            <w:webHidden/>
          </w:rPr>
        </w:r>
        <w:r>
          <w:rPr>
            <w:noProof/>
            <w:webHidden/>
          </w:rPr>
          <w:fldChar w:fldCharType="separate"/>
        </w:r>
        <w:r>
          <w:rPr>
            <w:noProof/>
            <w:webHidden/>
          </w:rPr>
          <w:t>8</w:t>
        </w:r>
        <w:r>
          <w:rPr>
            <w:noProof/>
            <w:webHidden/>
          </w:rPr>
          <w:fldChar w:fldCharType="end"/>
        </w:r>
      </w:hyperlink>
    </w:p>
    <w:p w14:paraId="6C059E12" w14:textId="513B969E" w:rsidR="00AB4569" w:rsidRDefault="00AB4569">
      <w:pPr>
        <w:pStyle w:val="TableofFigures"/>
        <w:tabs>
          <w:tab w:val="right" w:leader="dot" w:pos="9350"/>
        </w:tabs>
        <w:rPr>
          <w:rFonts w:eastAsiaTheme="minorEastAsia"/>
          <w:noProof/>
          <w:kern w:val="2"/>
          <w14:ligatures w14:val="standardContextual"/>
        </w:rPr>
      </w:pPr>
      <w:hyperlink w:anchor="_Toc170382203" w:history="1">
        <w:r w:rsidRPr="00511FA6">
          <w:rPr>
            <w:rStyle w:val="Hyperlink"/>
            <w:noProof/>
          </w:rPr>
          <w:t>Figure 6: Geologic CO</w:t>
        </w:r>
        <w:r w:rsidRPr="00511FA6">
          <w:rPr>
            <w:rStyle w:val="Hyperlink"/>
            <w:noProof/>
            <w:vertAlign w:val="subscript"/>
          </w:rPr>
          <w:t>2</w:t>
        </w:r>
        <w:r w:rsidRPr="00511FA6">
          <w:rPr>
            <w:rStyle w:val="Hyperlink"/>
            <w:noProof/>
          </w:rPr>
          <w:t xml:space="preserve"> storage by region and scenario. Results are truncated after 2050 to better highlight the mid-century differences between scenarios.</w:t>
        </w:r>
        <w:r>
          <w:rPr>
            <w:noProof/>
            <w:webHidden/>
          </w:rPr>
          <w:tab/>
        </w:r>
        <w:r>
          <w:rPr>
            <w:noProof/>
            <w:webHidden/>
          </w:rPr>
          <w:fldChar w:fldCharType="begin"/>
        </w:r>
        <w:r>
          <w:rPr>
            <w:noProof/>
            <w:webHidden/>
          </w:rPr>
          <w:instrText xml:space="preserve"> PAGEREF _Toc170382203 \h </w:instrText>
        </w:r>
        <w:r>
          <w:rPr>
            <w:noProof/>
            <w:webHidden/>
          </w:rPr>
        </w:r>
        <w:r>
          <w:rPr>
            <w:noProof/>
            <w:webHidden/>
          </w:rPr>
          <w:fldChar w:fldCharType="separate"/>
        </w:r>
        <w:r>
          <w:rPr>
            <w:noProof/>
            <w:webHidden/>
          </w:rPr>
          <w:t>9</w:t>
        </w:r>
        <w:r>
          <w:rPr>
            <w:noProof/>
            <w:webHidden/>
          </w:rPr>
          <w:fldChar w:fldCharType="end"/>
        </w:r>
      </w:hyperlink>
    </w:p>
    <w:p w14:paraId="2E8E1C6A" w14:textId="721FAE3B" w:rsidR="00AB4569" w:rsidRDefault="00AB4569">
      <w:pPr>
        <w:pStyle w:val="TableofFigures"/>
        <w:tabs>
          <w:tab w:val="right" w:leader="dot" w:pos="9350"/>
        </w:tabs>
        <w:rPr>
          <w:rFonts w:eastAsiaTheme="minorEastAsia"/>
          <w:noProof/>
          <w:kern w:val="2"/>
          <w14:ligatures w14:val="standardContextual"/>
        </w:rPr>
      </w:pPr>
      <w:hyperlink w:anchor="_Toc170382204" w:history="1">
        <w:r w:rsidRPr="00511FA6">
          <w:rPr>
            <w:rStyle w:val="Hyperlink"/>
            <w:noProof/>
          </w:rPr>
          <w:t>Figure 7: Global geologic CO2 storage by CO</w:t>
        </w:r>
        <w:r w:rsidRPr="00511FA6">
          <w:rPr>
            <w:rStyle w:val="Hyperlink"/>
            <w:noProof/>
            <w:vertAlign w:val="subscript"/>
          </w:rPr>
          <w:t>2</w:t>
        </w:r>
        <w:r w:rsidRPr="00511FA6">
          <w:rPr>
            <w:rStyle w:val="Hyperlink"/>
            <w:noProof/>
          </w:rPr>
          <w:t xml:space="preserve"> source and scenario through 2100. The 1.5 °C scenario with slow CCS growth was infeasible; all other blank subplots were not run as scenarios.</w:t>
        </w:r>
        <w:r>
          <w:rPr>
            <w:noProof/>
            <w:webHidden/>
          </w:rPr>
          <w:tab/>
        </w:r>
        <w:r>
          <w:rPr>
            <w:noProof/>
            <w:webHidden/>
          </w:rPr>
          <w:fldChar w:fldCharType="begin"/>
        </w:r>
        <w:r>
          <w:rPr>
            <w:noProof/>
            <w:webHidden/>
          </w:rPr>
          <w:instrText xml:space="preserve"> PAGEREF _Toc170382204 \h </w:instrText>
        </w:r>
        <w:r>
          <w:rPr>
            <w:noProof/>
            <w:webHidden/>
          </w:rPr>
        </w:r>
        <w:r>
          <w:rPr>
            <w:noProof/>
            <w:webHidden/>
          </w:rPr>
          <w:fldChar w:fldCharType="separate"/>
        </w:r>
        <w:r>
          <w:rPr>
            <w:noProof/>
            <w:webHidden/>
          </w:rPr>
          <w:t>10</w:t>
        </w:r>
        <w:r>
          <w:rPr>
            <w:noProof/>
            <w:webHidden/>
          </w:rPr>
          <w:fldChar w:fldCharType="end"/>
        </w:r>
      </w:hyperlink>
    </w:p>
    <w:p w14:paraId="1CE4DC5C" w14:textId="559A4BC5" w:rsidR="00AB4569" w:rsidRDefault="00AB4569">
      <w:pPr>
        <w:pStyle w:val="TableofFigures"/>
        <w:tabs>
          <w:tab w:val="right" w:leader="dot" w:pos="9350"/>
        </w:tabs>
        <w:rPr>
          <w:rFonts w:eastAsiaTheme="minorEastAsia"/>
          <w:noProof/>
          <w:kern w:val="2"/>
          <w14:ligatures w14:val="standardContextual"/>
        </w:rPr>
      </w:pPr>
      <w:hyperlink w:anchor="_Toc170382205" w:history="1">
        <w:r w:rsidRPr="00511FA6">
          <w:rPr>
            <w:rStyle w:val="Hyperlink"/>
            <w:noProof/>
          </w:rPr>
          <w:t>Figure 8: Global geologic CO</w:t>
        </w:r>
        <w:r w:rsidRPr="00511FA6">
          <w:rPr>
            <w:rStyle w:val="Hyperlink"/>
            <w:noProof/>
            <w:vertAlign w:val="subscript"/>
          </w:rPr>
          <w:t>2</w:t>
        </w:r>
        <w:r w:rsidRPr="00511FA6">
          <w:rPr>
            <w:rStyle w:val="Hyperlink"/>
            <w:noProof/>
          </w:rPr>
          <w:t xml:space="preserve"> storage by CO</w:t>
        </w:r>
        <w:r w:rsidRPr="00511FA6">
          <w:rPr>
            <w:rStyle w:val="Hyperlink"/>
            <w:noProof/>
            <w:vertAlign w:val="subscript"/>
          </w:rPr>
          <w:t>2</w:t>
        </w:r>
        <w:r w:rsidRPr="00511FA6">
          <w:rPr>
            <w:rStyle w:val="Hyperlink"/>
            <w:noProof/>
          </w:rPr>
          <w:t xml:space="preserve"> source and scenario. Results are truncated after 2050 to better highlight the mid-century differences between scenarios. The 1.5 °C scenario with slow CCS growth was infeasible; all other blank subplots were not run as scenarios.</w:t>
        </w:r>
        <w:r>
          <w:rPr>
            <w:noProof/>
            <w:webHidden/>
          </w:rPr>
          <w:tab/>
        </w:r>
        <w:r>
          <w:rPr>
            <w:noProof/>
            <w:webHidden/>
          </w:rPr>
          <w:fldChar w:fldCharType="begin"/>
        </w:r>
        <w:r>
          <w:rPr>
            <w:noProof/>
            <w:webHidden/>
          </w:rPr>
          <w:instrText xml:space="preserve"> PAGEREF _Toc170382205 \h </w:instrText>
        </w:r>
        <w:r>
          <w:rPr>
            <w:noProof/>
            <w:webHidden/>
          </w:rPr>
        </w:r>
        <w:r>
          <w:rPr>
            <w:noProof/>
            <w:webHidden/>
          </w:rPr>
          <w:fldChar w:fldCharType="separate"/>
        </w:r>
        <w:r>
          <w:rPr>
            <w:noProof/>
            <w:webHidden/>
          </w:rPr>
          <w:t>11</w:t>
        </w:r>
        <w:r>
          <w:rPr>
            <w:noProof/>
            <w:webHidden/>
          </w:rPr>
          <w:fldChar w:fldCharType="end"/>
        </w:r>
      </w:hyperlink>
    </w:p>
    <w:p w14:paraId="12E684B3" w14:textId="45B7A399" w:rsidR="00AB4569" w:rsidRDefault="00AB4569">
      <w:pPr>
        <w:pStyle w:val="TableofFigures"/>
        <w:tabs>
          <w:tab w:val="right" w:leader="dot" w:pos="9350"/>
        </w:tabs>
        <w:rPr>
          <w:rFonts w:eastAsiaTheme="minorEastAsia"/>
          <w:noProof/>
          <w:kern w:val="2"/>
          <w14:ligatures w14:val="standardContextual"/>
        </w:rPr>
      </w:pPr>
      <w:hyperlink w:anchor="_Toc170382206" w:history="1">
        <w:r w:rsidRPr="00511FA6">
          <w:rPr>
            <w:rStyle w:val="Hyperlink"/>
            <w:noProof/>
          </w:rPr>
          <w:t>Figure 9: Geologic CO</w:t>
        </w:r>
        <w:r w:rsidRPr="00511FA6">
          <w:rPr>
            <w:rStyle w:val="Hyperlink"/>
            <w:noProof/>
            <w:vertAlign w:val="subscript"/>
          </w:rPr>
          <w:t>2</w:t>
        </w:r>
        <w:r w:rsidRPr="00511FA6">
          <w:rPr>
            <w:rStyle w:val="Hyperlink"/>
            <w:noProof/>
          </w:rPr>
          <w:t xml:space="preserve"> storage by region, scenario, and year for below 2 °C scenarios.</w:t>
        </w:r>
        <w:r>
          <w:rPr>
            <w:noProof/>
            <w:webHidden/>
          </w:rPr>
          <w:tab/>
        </w:r>
        <w:r>
          <w:rPr>
            <w:noProof/>
            <w:webHidden/>
          </w:rPr>
          <w:fldChar w:fldCharType="begin"/>
        </w:r>
        <w:r>
          <w:rPr>
            <w:noProof/>
            <w:webHidden/>
          </w:rPr>
          <w:instrText xml:space="preserve"> PAGEREF _Toc170382206 \h </w:instrText>
        </w:r>
        <w:r>
          <w:rPr>
            <w:noProof/>
            <w:webHidden/>
          </w:rPr>
        </w:r>
        <w:r>
          <w:rPr>
            <w:noProof/>
            <w:webHidden/>
          </w:rPr>
          <w:fldChar w:fldCharType="separate"/>
        </w:r>
        <w:r>
          <w:rPr>
            <w:noProof/>
            <w:webHidden/>
          </w:rPr>
          <w:t>12</w:t>
        </w:r>
        <w:r>
          <w:rPr>
            <w:noProof/>
            <w:webHidden/>
          </w:rPr>
          <w:fldChar w:fldCharType="end"/>
        </w:r>
      </w:hyperlink>
    </w:p>
    <w:p w14:paraId="307D813F" w14:textId="1458CF3A" w:rsidR="00AB4569" w:rsidRDefault="00AB4569">
      <w:pPr>
        <w:pStyle w:val="TableofFigures"/>
        <w:tabs>
          <w:tab w:val="right" w:leader="dot" w:pos="9350"/>
        </w:tabs>
        <w:rPr>
          <w:rFonts w:eastAsiaTheme="minorEastAsia"/>
          <w:noProof/>
          <w:kern w:val="2"/>
          <w14:ligatures w14:val="standardContextual"/>
        </w:rPr>
      </w:pPr>
      <w:hyperlink w:anchor="_Toc170382207" w:history="1">
        <w:r w:rsidRPr="00511FA6">
          <w:rPr>
            <w:rStyle w:val="Hyperlink"/>
            <w:noProof/>
          </w:rPr>
          <w:t>Figure 10: Geologic CO</w:t>
        </w:r>
        <w:r w:rsidRPr="00511FA6">
          <w:rPr>
            <w:rStyle w:val="Hyperlink"/>
            <w:noProof/>
            <w:vertAlign w:val="subscript"/>
          </w:rPr>
          <w:t>2</w:t>
        </w:r>
        <w:r w:rsidRPr="00511FA6">
          <w:rPr>
            <w:rStyle w:val="Hyperlink"/>
            <w:noProof/>
          </w:rPr>
          <w:t xml:space="preserve"> storage by region, scenario, and year for below 1.5 °C scenarios.</w:t>
        </w:r>
        <w:r>
          <w:rPr>
            <w:noProof/>
            <w:webHidden/>
          </w:rPr>
          <w:tab/>
        </w:r>
        <w:r>
          <w:rPr>
            <w:noProof/>
            <w:webHidden/>
          </w:rPr>
          <w:fldChar w:fldCharType="begin"/>
        </w:r>
        <w:r>
          <w:rPr>
            <w:noProof/>
            <w:webHidden/>
          </w:rPr>
          <w:instrText xml:space="preserve"> PAGEREF _Toc170382207 \h </w:instrText>
        </w:r>
        <w:r>
          <w:rPr>
            <w:noProof/>
            <w:webHidden/>
          </w:rPr>
        </w:r>
        <w:r>
          <w:rPr>
            <w:noProof/>
            <w:webHidden/>
          </w:rPr>
          <w:fldChar w:fldCharType="separate"/>
        </w:r>
        <w:r>
          <w:rPr>
            <w:noProof/>
            <w:webHidden/>
          </w:rPr>
          <w:t>12</w:t>
        </w:r>
        <w:r>
          <w:rPr>
            <w:noProof/>
            <w:webHidden/>
          </w:rPr>
          <w:fldChar w:fldCharType="end"/>
        </w:r>
      </w:hyperlink>
    </w:p>
    <w:p w14:paraId="59D42CE5" w14:textId="290BF291" w:rsidR="00AB4569" w:rsidRDefault="00AB4569">
      <w:pPr>
        <w:pStyle w:val="TableofFigures"/>
        <w:tabs>
          <w:tab w:val="right" w:leader="dot" w:pos="9350"/>
        </w:tabs>
        <w:rPr>
          <w:rFonts w:eastAsiaTheme="minorEastAsia"/>
          <w:noProof/>
          <w:kern w:val="2"/>
          <w14:ligatures w14:val="standardContextual"/>
        </w:rPr>
      </w:pPr>
      <w:hyperlink w:anchor="_Toc170382208" w:history="1">
        <w:r w:rsidRPr="00511FA6">
          <w:rPr>
            <w:rStyle w:val="Hyperlink"/>
            <w:noProof/>
          </w:rPr>
          <w:t>Figure 11: Geologic CO</w:t>
        </w:r>
        <w:r w:rsidRPr="00511FA6">
          <w:rPr>
            <w:rStyle w:val="Hyperlink"/>
            <w:noProof/>
            <w:vertAlign w:val="subscript"/>
          </w:rPr>
          <w:t>2</w:t>
        </w:r>
        <w:r w:rsidRPr="00511FA6">
          <w:rPr>
            <w:rStyle w:val="Hyperlink"/>
            <w:noProof/>
          </w:rPr>
          <w:t xml:space="preserve"> storage by source and region under unrestricted CCS growth rates, 2 °C scenario.</w:t>
        </w:r>
        <w:r>
          <w:rPr>
            <w:noProof/>
            <w:webHidden/>
          </w:rPr>
          <w:tab/>
        </w:r>
        <w:r>
          <w:rPr>
            <w:noProof/>
            <w:webHidden/>
          </w:rPr>
          <w:fldChar w:fldCharType="begin"/>
        </w:r>
        <w:r>
          <w:rPr>
            <w:noProof/>
            <w:webHidden/>
          </w:rPr>
          <w:instrText xml:space="preserve"> PAGEREF _Toc170382208 \h </w:instrText>
        </w:r>
        <w:r>
          <w:rPr>
            <w:noProof/>
            <w:webHidden/>
          </w:rPr>
        </w:r>
        <w:r>
          <w:rPr>
            <w:noProof/>
            <w:webHidden/>
          </w:rPr>
          <w:fldChar w:fldCharType="separate"/>
        </w:r>
        <w:r>
          <w:rPr>
            <w:noProof/>
            <w:webHidden/>
          </w:rPr>
          <w:t>13</w:t>
        </w:r>
        <w:r>
          <w:rPr>
            <w:noProof/>
            <w:webHidden/>
          </w:rPr>
          <w:fldChar w:fldCharType="end"/>
        </w:r>
      </w:hyperlink>
    </w:p>
    <w:p w14:paraId="3BCB3352" w14:textId="715AB14A" w:rsidR="00AB4569" w:rsidRDefault="00AB4569">
      <w:pPr>
        <w:pStyle w:val="TableofFigures"/>
        <w:tabs>
          <w:tab w:val="right" w:leader="dot" w:pos="9350"/>
        </w:tabs>
        <w:rPr>
          <w:rFonts w:eastAsiaTheme="minorEastAsia"/>
          <w:noProof/>
          <w:kern w:val="2"/>
          <w14:ligatures w14:val="standardContextual"/>
        </w:rPr>
      </w:pPr>
      <w:hyperlink w:anchor="_Toc170382209" w:history="1">
        <w:r w:rsidRPr="00511FA6">
          <w:rPr>
            <w:rStyle w:val="Hyperlink"/>
            <w:noProof/>
          </w:rPr>
          <w:t>Figure 12: Geologic CO</w:t>
        </w:r>
        <w:r w:rsidRPr="00511FA6">
          <w:rPr>
            <w:rStyle w:val="Hyperlink"/>
            <w:noProof/>
            <w:vertAlign w:val="subscript"/>
          </w:rPr>
          <w:t>2</w:t>
        </w:r>
        <w:r w:rsidRPr="00511FA6">
          <w:rPr>
            <w:rStyle w:val="Hyperlink"/>
            <w:noProof/>
          </w:rPr>
          <w:t xml:space="preserve"> storage by source and region under slow CCS growth rates 2 °C scenario.</w:t>
        </w:r>
        <w:r>
          <w:rPr>
            <w:noProof/>
            <w:webHidden/>
          </w:rPr>
          <w:tab/>
        </w:r>
        <w:r>
          <w:rPr>
            <w:noProof/>
            <w:webHidden/>
          </w:rPr>
          <w:fldChar w:fldCharType="begin"/>
        </w:r>
        <w:r>
          <w:rPr>
            <w:noProof/>
            <w:webHidden/>
          </w:rPr>
          <w:instrText xml:space="preserve"> PAGEREF _Toc170382209 \h </w:instrText>
        </w:r>
        <w:r>
          <w:rPr>
            <w:noProof/>
            <w:webHidden/>
          </w:rPr>
        </w:r>
        <w:r>
          <w:rPr>
            <w:noProof/>
            <w:webHidden/>
          </w:rPr>
          <w:fldChar w:fldCharType="separate"/>
        </w:r>
        <w:r>
          <w:rPr>
            <w:noProof/>
            <w:webHidden/>
          </w:rPr>
          <w:t>14</w:t>
        </w:r>
        <w:r>
          <w:rPr>
            <w:noProof/>
            <w:webHidden/>
          </w:rPr>
          <w:fldChar w:fldCharType="end"/>
        </w:r>
      </w:hyperlink>
    </w:p>
    <w:p w14:paraId="7D7C9A5D" w14:textId="3F3490C0" w:rsidR="00AB4569" w:rsidRDefault="00AB4569">
      <w:pPr>
        <w:pStyle w:val="TableofFigures"/>
        <w:tabs>
          <w:tab w:val="right" w:leader="dot" w:pos="9350"/>
        </w:tabs>
        <w:rPr>
          <w:rFonts w:eastAsiaTheme="minorEastAsia"/>
          <w:noProof/>
          <w:kern w:val="2"/>
          <w14:ligatures w14:val="standardContextual"/>
        </w:rPr>
      </w:pPr>
      <w:hyperlink w:anchor="_Toc170382210" w:history="1">
        <w:r w:rsidRPr="00511FA6">
          <w:rPr>
            <w:rStyle w:val="Hyperlink"/>
            <w:noProof/>
          </w:rPr>
          <w:t>Figure 13: Geologic CO</w:t>
        </w:r>
        <w:r w:rsidRPr="00511FA6">
          <w:rPr>
            <w:rStyle w:val="Hyperlink"/>
            <w:noProof/>
            <w:vertAlign w:val="subscript"/>
          </w:rPr>
          <w:t>2</w:t>
        </w:r>
        <w:r w:rsidRPr="00511FA6">
          <w:rPr>
            <w:rStyle w:val="Hyperlink"/>
            <w:noProof/>
          </w:rPr>
          <w:t xml:space="preserve"> storage by source and region under CCS breakthrough, 2 °C scenario.</w:t>
        </w:r>
        <w:r>
          <w:rPr>
            <w:noProof/>
            <w:webHidden/>
          </w:rPr>
          <w:tab/>
        </w:r>
        <w:r>
          <w:rPr>
            <w:noProof/>
            <w:webHidden/>
          </w:rPr>
          <w:fldChar w:fldCharType="begin"/>
        </w:r>
        <w:r>
          <w:rPr>
            <w:noProof/>
            <w:webHidden/>
          </w:rPr>
          <w:instrText xml:space="preserve"> PAGEREF _Toc170382210 \h </w:instrText>
        </w:r>
        <w:r>
          <w:rPr>
            <w:noProof/>
            <w:webHidden/>
          </w:rPr>
        </w:r>
        <w:r>
          <w:rPr>
            <w:noProof/>
            <w:webHidden/>
          </w:rPr>
          <w:fldChar w:fldCharType="separate"/>
        </w:r>
        <w:r>
          <w:rPr>
            <w:noProof/>
            <w:webHidden/>
          </w:rPr>
          <w:t>15</w:t>
        </w:r>
        <w:r>
          <w:rPr>
            <w:noProof/>
            <w:webHidden/>
          </w:rPr>
          <w:fldChar w:fldCharType="end"/>
        </w:r>
      </w:hyperlink>
    </w:p>
    <w:p w14:paraId="303AF03A" w14:textId="7944BCB6" w:rsidR="00AB4569" w:rsidRDefault="00AB4569">
      <w:pPr>
        <w:pStyle w:val="TableofFigures"/>
        <w:tabs>
          <w:tab w:val="right" w:leader="dot" w:pos="9350"/>
        </w:tabs>
        <w:rPr>
          <w:rFonts w:eastAsiaTheme="minorEastAsia"/>
          <w:noProof/>
          <w:kern w:val="2"/>
          <w14:ligatures w14:val="standardContextual"/>
        </w:rPr>
      </w:pPr>
      <w:hyperlink w:anchor="_Toc170382211" w:history="1">
        <w:r w:rsidRPr="00511FA6">
          <w:rPr>
            <w:rStyle w:val="Hyperlink"/>
            <w:noProof/>
          </w:rPr>
          <w:t>Figure 14: Global primary energy with CCS (direct equivalent) for all scenarios. The 1.5 °C scenario with slow CCS growth was infeasible; all other blank subplots were not run as scenarios.</w:t>
        </w:r>
        <w:r>
          <w:rPr>
            <w:noProof/>
            <w:webHidden/>
          </w:rPr>
          <w:tab/>
        </w:r>
        <w:r>
          <w:rPr>
            <w:noProof/>
            <w:webHidden/>
          </w:rPr>
          <w:fldChar w:fldCharType="begin"/>
        </w:r>
        <w:r>
          <w:rPr>
            <w:noProof/>
            <w:webHidden/>
          </w:rPr>
          <w:instrText xml:space="preserve"> PAGEREF _Toc170382211 \h </w:instrText>
        </w:r>
        <w:r>
          <w:rPr>
            <w:noProof/>
            <w:webHidden/>
          </w:rPr>
        </w:r>
        <w:r>
          <w:rPr>
            <w:noProof/>
            <w:webHidden/>
          </w:rPr>
          <w:fldChar w:fldCharType="separate"/>
        </w:r>
        <w:r>
          <w:rPr>
            <w:noProof/>
            <w:webHidden/>
          </w:rPr>
          <w:t>16</w:t>
        </w:r>
        <w:r>
          <w:rPr>
            <w:noProof/>
            <w:webHidden/>
          </w:rPr>
          <w:fldChar w:fldCharType="end"/>
        </w:r>
      </w:hyperlink>
    </w:p>
    <w:p w14:paraId="601EA015" w14:textId="18E59059" w:rsidR="00AB4569" w:rsidRDefault="00AB4569">
      <w:pPr>
        <w:pStyle w:val="TableofFigures"/>
        <w:tabs>
          <w:tab w:val="right" w:leader="dot" w:pos="9350"/>
        </w:tabs>
        <w:rPr>
          <w:rFonts w:eastAsiaTheme="minorEastAsia"/>
          <w:noProof/>
          <w:kern w:val="2"/>
          <w14:ligatures w14:val="standardContextual"/>
        </w:rPr>
      </w:pPr>
      <w:hyperlink w:anchor="_Toc170382212" w:history="1">
        <w:r w:rsidRPr="00511FA6">
          <w:rPr>
            <w:rStyle w:val="Hyperlink"/>
            <w:noProof/>
          </w:rPr>
          <w:t>Figure 15: Global undiscounted (top) and discounted (bottom) policy costs.</w:t>
        </w:r>
        <w:r>
          <w:rPr>
            <w:noProof/>
            <w:webHidden/>
          </w:rPr>
          <w:tab/>
        </w:r>
        <w:r>
          <w:rPr>
            <w:noProof/>
            <w:webHidden/>
          </w:rPr>
          <w:fldChar w:fldCharType="begin"/>
        </w:r>
        <w:r>
          <w:rPr>
            <w:noProof/>
            <w:webHidden/>
          </w:rPr>
          <w:instrText xml:space="preserve"> PAGEREF _Toc170382212 \h </w:instrText>
        </w:r>
        <w:r>
          <w:rPr>
            <w:noProof/>
            <w:webHidden/>
          </w:rPr>
        </w:r>
        <w:r>
          <w:rPr>
            <w:noProof/>
            <w:webHidden/>
          </w:rPr>
          <w:fldChar w:fldCharType="separate"/>
        </w:r>
        <w:r>
          <w:rPr>
            <w:noProof/>
            <w:webHidden/>
          </w:rPr>
          <w:t>17</w:t>
        </w:r>
        <w:r>
          <w:rPr>
            <w:noProof/>
            <w:webHidden/>
          </w:rPr>
          <w:fldChar w:fldCharType="end"/>
        </w:r>
      </w:hyperlink>
    </w:p>
    <w:p w14:paraId="11F03C9E" w14:textId="5AE79B31" w:rsidR="00AB4569" w:rsidRDefault="00AB4569">
      <w:pPr>
        <w:pStyle w:val="TableofFigures"/>
        <w:tabs>
          <w:tab w:val="right" w:leader="dot" w:pos="9350"/>
        </w:tabs>
        <w:rPr>
          <w:rFonts w:eastAsiaTheme="minorEastAsia"/>
          <w:noProof/>
          <w:kern w:val="2"/>
          <w14:ligatures w14:val="standardContextual"/>
        </w:rPr>
      </w:pPr>
      <w:hyperlink w:anchor="_Toc170382213" w:history="1">
        <w:r w:rsidRPr="00511FA6">
          <w:rPr>
            <w:rStyle w:val="Hyperlink"/>
            <w:noProof/>
          </w:rPr>
          <w:t>Figure 16: Global policy costs.</w:t>
        </w:r>
        <w:r>
          <w:rPr>
            <w:noProof/>
            <w:webHidden/>
          </w:rPr>
          <w:tab/>
        </w:r>
        <w:r>
          <w:rPr>
            <w:noProof/>
            <w:webHidden/>
          </w:rPr>
          <w:fldChar w:fldCharType="begin"/>
        </w:r>
        <w:r>
          <w:rPr>
            <w:noProof/>
            <w:webHidden/>
          </w:rPr>
          <w:instrText xml:space="preserve"> PAGEREF _Toc170382213 \h </w:instrText>
        </w:r>
        <w:r>
          <w:rPr>
            <w:noProof/>
            <w:webHidden/>
          </w:rPr>
        </w:r>
        <w:r>
          <w:rPr>
            <w:noProof/>
            <w:webHidden/>
          </w:rPr>
          <w:fldChar w:fldCharType="separate"/>
        </w:r>
        <w:r>
          <w:rPr>
            <w:noProof/>
            <w:webHidden/>
          </w:rPr>
          <w:t>18</w:t>
        </w:r>
        <w:r>
          <w:rPr>
            <w:noProof/>
            <w:webHidden/>
          </w:rPr>
          <w:fldChar w:fldCharType="end"/>
        </w:r>
      </w:hyperlink>
    </w:p>
    <w:p w14:paraId="48523DF5" w14:textId="07D78B82" w:rsidR="00AB4569" w:rsidRDefault="00AB4569">
      <w:pPr>
        <w:pStyle w:val="TableofFigures"/>
        <w:tabs>
          <w:tab w:val="right" w:leader="dot" w:pos="9350"/>
        </w:tabs>
        <w:rPr>
          <w:rFonts w:eastAsiaTheme="minorEastAsia"/>
          <w:noProof/>
          <w:kern w:val="2"/>
          <w14:ligatures w14:val="standardContextual"/>
        </w:rPr>
      </w:pPr>
      <w:hyperlink w:anchor="_Toc170382214" w:history="1">
        <w:r w:rsidRPr="00511FA6">
          <w:rPr>
            <w:rStyle w:val="Hyperlink"/>
            <w:noProof/>
          </w:rPr>
          <w:t>Figure 17: Changes in regional policy cost vs. proportion of cumulative CCS used for DACCS.</w:t>
        </w:r>
        <w:r>
          <w:rPr>
            <w:noProof/>
            <w:webHidden/>
          </w:rPr>
          <w:tab/>
        </w:r>
        <w:r>
          <w:rPr>
            <w:noProof/>
            <w:webHidden/>
          </w:rPr>
          <w:fldChar w:fldCharType="begin"/>
        </w:r>
        <w:r>
          <w:rPr>
            <w:noProof/>
            <w:webHidden/>
          </w:rPr>
          <w:instrText xml:space="preserve"> PAGEREF _Toc170382214 \h </w:instrText>
        </w:r>
        <w:r>
          <w:rPr>
            <w:noProof/>
            <w:webHidden/>
          </w:rPr>
        </w:r>
        <w:r>
          <w:rPr>
            <w:noProof/>
            <w:webHidden/>
          </w:rPr>
          <w:fldChar w:fldCharType="separate"/>
        </w:r>
        <w:r>
          <w:rPr>
            <w:noProof/>
            <w:webHidden/>
          </w:rPr>
          <w:t>19</w:t>
        </w:r>
        <w:r>
          <w:rPr>
            <w:noProof/>
            <w:webHidden/>
          </w:rPr>
          <w:fldChar w:fldCharType="end"/>
        </w:r>
      </w:hyperlink>
    </w:p>
    <w:p w14:paraId="161FC190" w14:textId="4B96E5EC" w:rsidR="00AB4569" w:rsidRDefault="00AB4569">
      <w:pPr>
        <w:pStyle w:val="TableofFigures"/>
        <w:tabs>
          <w:tab w:val="right" w:leader="dot" w:pos="9350"/>
        </w:tabs>
        <w:rPr>
          <w:rFonts w:eastAsiaTheme="minorEastAsia"/>
          <w:noProof/>
          <w:kern w:val="2"/>
          <w14:ligatures w14:val="standardContextual"/>
        </w:rPr>
      </w:pPr>
      <w:hyperlink w:anchor="_Toc170382215" w:history="1">
        <w:r w:rsidRPr="00511FA6">
          <w:rPr>
            <w:rStyle w:val="Hyperlink"/>
            <w:noProof/>
          </w:rPr>
          <w:t>Figure 18: Geologic CO</w:t>
        </w:r>
        <w:r w:rsidRPr="00511FA6">
          <w:rPr>
            <w:rStyle w:val="Hyperlink"/>
            <w:noProof/>
            <w:vertAlign w:val="subscript"/>
          </w:rPr>
          <w:t>2</w:t>
        </w:r>
        <w:r w:rsidRPr="00511FA6">
          <w:rPr>
            <w:rStyle w:val="Hyperlink"/>
            <w:noProof/>
          </w:rPr>
          <w:t xml:space="preserve"> storage by source for below 2</w:t>
        </w:r>
        <w:r w:rsidRPr="00511FA6">
          <w:rPr>
            <w:rStyle w:val="Hyperlink"/>
            <w:rFonts w:cstheme="minorHAnsi"/>
            <w:noProof/>
          </w:rPr>
          <w:t>⁰</w:t>
        </w:r>
        <w:r w:rsidRPr="00511FA6">
          <w:rPr>
            <w:rStyle w:val="Hyperlink"/>
            <w:noProof/>
          </w:rPr>
          <w:t xml:space="preserve"> C scenarios (SSP2).  The top figure reports results truncated at 2050, to better highlight near-term differences between scenarios.</w:t>
        </w:r>
        <w:r>
          <w:rPr>
            <w:noProof/>
            <w:webHidden/>
          </w:rPr>
          <w:tab/>
        </w:r>
        <w:r>
          <w:rPr>
            <w:noProof/>
            <w:webHidden/>
          </w:rPr>
          <w:fldChar w:fldCharType="begin"/>
        </w:r>
        <w:r>
          <w:rPr>
            <w:noProof/>
            <w:webHidden/>
          </w:rPr>
          <w:instrText xml:space="preserve"> PAGEREF _Toc170382215 \h </w:instrText>
        </w:r>
        <w:r>
          <w:rPr>
            <w:noProof/>
            <w:webHidden/>
          </w:rPr>
        </w:r>
        <w:r>
          <w:rPr>
            <w:noProof/>
            <w:webHidden/>
          </w:rPr>
          <w:fldChar w:fldCharType="separate"/>
        </w:r>
        <w:r>
          <w:rPr>
            <w:noProof/>
            <w:webHidden/>
          </w:rPr>
          <w:t>20</w:t>
        </w:r>
        <w:r>
          <w:rPr>
            <w:noProof/>
            <w:webHidden/>
          </w:rPr>
          <w:fldChar w:fldCharType="end"/>
        </w:r>
      </w:hyperlink>
    </w:p>
    <w:p w14:paraId="65D6484F" w14:textId="5B5177D2" w:rsidR="006620C7" w:rsidRDefault="006620C7" w:rsidP="00C81AF0">
      <w:r>
        <w:fldChar w:fldCharType="end"/>
      </w:r>
    </w:p>
    <w:p w14:paraId="7E2FB156" w14:textId="77777777" w:rsidR="006620C7" w:rsidRDefault="006620C7" w:rsidP="00C81AF0"/>
    <w:p w14:paraId="2122F083" w14:textId="77777777" w:rsidR="006620C7" w:rsidRDefault="006620C7" w:rsidP="00C81AF0"/>
    <w:p w14:paraId="3EFF37D9" w14:textId="77777777" w:rsidR="007347B3" w:rsidRDefault="007347B3" w:rsidP="007347B3">
      <w:pPr>
        <w:pStyle w:val="NoSpacing"/>
      </w:pPr>
    </w:p>
    <w:p w14:paraId="1F0F0A21" w14:textId="77777777" w:rsidR="007347B3" w:rsidRDefault="007347B3" w:rsidP="007347B3">
      <w:pPr>
        <w:pStyle w:val="NoSpacing"/>
      </w:pPr>
    </w:p>
    <w:p w14:paraId="02812E8B" w14:textId="77777777" w:rsidR="007347B3" w:rsidRDefault="007347B3" w:rsidP="007347B3">
      <w:pPr>
        <w:pStyle w:val="NoSpacing"/>
      </w:pPr>
    </w:p>
    <w:p w14:paraId="19ECBE34" w14:textId="77777777" w:rsidR="007347B3" w:rsidRDefault="007347B3" w:rsidP="007347B3">
      <w:pPr>
        <w:pStyle w:val="NoSpacing"/>
      </w:pPr>
    </w:p>
    <w:p w14:paraId="6084C609" w14:textId="77777777" w:rsidR="007347B3" w:rsidRDefault="007347B3" w:rsidP="007347B3">
      <w:pPr>
        <w:pStyle w:val="NoSpacing"/>
      </w:pPr>
    </w:p>
    <w:p w14:paraId="15F3816C" w14:textId="77777777" w:rsidR="007347B3" w:rsidRDefault="007347B3" w:rsidP="007347B3">
      <w:pPr>
        <w:pStyle w:val="NoSpacing"/>
      </w:pPr>
    </w:p>
    <w:p w14:paraId="7EF5E26A" w14:textId="77777777" w:rsidR="007347B3" w:rsidRDefault="007347B3" w:rsidP="007347B3">
      <w:pPr>
        <w:pStyle w:val="NoSpacing"/>
      </w:pPr>
    </w:p>
    <w:p w14:paraId="14FAAE58" w14:textId="77777777" w:rsidR="007347B3" w:rsidRDefault="007347B3" w:rsidP="007347B3">
      <w:pPr>
        <w:pStyle w:val="NoSpacing"/>
      </w:pPr>
    </w:p>
    <w:p w14:paraId="2ADE80CD" w14:textId="77777777" w:rsidR="007347B3" w:rsidRDefault="007347B3" w:rsidP="007347B3">
      <w:pPr>
        <w:pStyle w:val="NoSpacing"/>
      </w:pPr>
    </w:p>
    <w:p w14:paraId="5AE8C57B" w14:textId="77777777" w:rsidR="007347B3" w:rsidRDefault="007347B3" w:rsidP="007347B3">
      <w:pPr>
        <w:pStyle w:val="NoSpacing"/>
      </w:pPr>
    </w:p>
    <w:p w14:paraId="5047B101" w14:textId="77777777" w:rsidR="007347B3" w:rsidRDefault="007347B3" w:rsidP="007347B3">
      <w:pPr>
        <w:pStyle w:val="NoSpacing"/>
      </w:pPr>
    </w:p>
    <w:p w14:paraId="7E896697" w14:textId="3BFBF8A0" w:rsidR="0085383F" w:rsidRDefault="0085383F" w:rsidP="0085383F">
      <w:pPr>
        <w:pStyle w:val="Caption"/>
        <w:keepNext/>
      </w:pPr>
      <w:r>
        <w:t xml:space="preserve">Table </w:t>
      </w:r>
      <w:fldSimple w:instr=" SEQ Table \* ARABIC ">
        <w:r>
          <w:rPr>
            <w:noProof/>
          </w:rPr>
          <w:t>1</w:t>
        </w:r>
      </w:fldSimple>
      <w:r>
        <w:t xml:space="preserve">: </w:t>
      </w:r>
      <w:r w:rsidR="005A6EE2">
        <w:t>Representation of CO</w:t>
      </w:r>
      <w:r w:rsidR="005A6EE2" w:rsidRPr="00207456">
        <w:rPr>
          <w:vertAlign w:val="subscript"/>
        </w:rPr>
        <w:t>2</w:t>
      </w:r>
      <w:r w:rsidR="005A6EE2">
        <w:t xml:space="preserve"> </w:t>
      </w:r>
      <w:r w:rsidR="00207456">
        <w:t>s</w:t>
      </w:r>
      <w:r w:rsidR="005A6EE2">
        <w:t xml:space="preserve">torage in </w:t>
      </w:r>
      <w:r w:rsidR="00207456">
        <w:t>l</w:t>
      </w:r>
      <w:r w:rsidR="001C0484">
        <w:t xml:space="preserve">eading </w:t>
      </w:r>
      <w:r w:rsidR="00207456">
        <w:t>i</w:t>
      </w:r>
      <w:r w:rsidR="005A6EE2">
        <w:t xml:space="preserve">ntegrated </w:t>
      </w:r>
      <w:r w:rsidR="00207456">
        <w:t>a</w:t>
      </w:r>
      <w:r w:rsidR="005A6EE2">
        <w:t xml:space="preserve">ssessment </w:t>
      </w:r>
      <w:r w:rsidR="00207456">
        <w:t>m</w:t>
      </w:r>
      <w:r w:rsidR="005A6EE2">
        <w:t>odels</w:t>
      </w:r>
      <w:r w:rsidR="00F14064">
        <w:t>. Source: Grant et. al, (2022)</w:t>
      </w:r>
      <w:r w:rsidR="001C0484">
        <w:fldChar w:fldCharType="begin"/>
      </w:r>
      <w:r w:rsidR="001C0484">
        <w:instrText xml:space="preserve"> ADDIN ZOTERO_ITEM CSL_CITATION {"citationID":"ZgPYf89y","properties":{"formattedCitation":"\\super 1\\nosupersub{}","plainCitation":"1","noteIndex":0},"citationItems":[{"id":1963,"uris":["http://zotero.org/users/12181224/items/65RCZAL5"],"itemData":{"id":1963,"type":"article-journal","abstract":"Most low-carbon scenarios produced by integrated assessment models deploy substantial amounts of carbon capture and storage (CCS). These models generally assume that CO2 storage is a low-cost and globally ubiquitous resource. Here we challenge this assumption, introducing a CO2 storage potential which accounts for the financial, contractual, and institutional barriers to CO2 storage, which we term the investable potential. We provide a first estimate of this investable potential and utilise a global energy system model to explore the implications for global and regional mitigation pathways. Our results suggest that low-carbon scenarios which assume abundant CO2 storage may substantially overestimate the role of CCS in deep decarbonisation, particularly in key regions such as China and India. Limited CO2 storage leads to mitigation pathways with faster emission reductions and greater reliance on renewable energy for decarbonisation. We demonstrate that the optimal use of CCS depends heavily on the availability of CO2 storage, with different use-cases prioritised at different scales of storage availability. Finally, we present exploratory analysis on the potential for cross-border trade in captured CO2 to match sources and sinks. The results of this analysis can help calibrate expectations and inform policy decisions around the role of CCS in addressing climate change.","container-title":"International Journal of Greenhouse Gas Control","DOI":"10.1016/j.ijggc.2022.103766","ISSN":"1750-5836","journalAbbreviation":"International Journal of Greenhouse Gas Control","page":"103766","source":"ScienceDirect","title":"Enhancing the realism of decarbonisation scenarios with practicable regional constraints on CO2 storage capacity","volume":"120","author":[{"family":"Grant","given":"Neil"},{"family":"Gambhir","given":"Ajay"},{"family":"Mittal","given":"Shivika"},{"family":"Greig","given":"Chris"},{"family":"Köberle","given":"Alexandre C."}],"issued":{"date-parts":[["2022",10,1]]}}}],"schema":"https://github.com/citation-style-language/schema/raw/master/csl-citation.json"} </w:instrText>
      </w:r>
      <w:r w:rsidR="001C0484">
        <w:fldChar w:fldCharType="separate"/>
      </w:r>
      <w:r w:rsidR="001C0484" w:rsidRPr="001C0484">
        <w:rPr>
          <w:rFonts w:ascii="Calibri" w:hAnsi="Calibri" w:cs="Calibri"/>
          <w:szCs w:val="24"/>
          <w:vertAlign w:val="superscript"/>
        </w:rPr>
        <w:t>1</w:t>
      </w:r>
      <w:r w:rsidR="001C0484">
        <w:fldChar w:fldCharType="end"/>
      </w:r>
    </w:p>
    <w:tbl>
      <w:tblPr>
        <w:tblW w:w="9360" w:type="dxa"/>
        <w:tblLayout w:type="fixed"/>
        <w:tblLook w:val="04A0" w:firstRow="1" w:lastRow="0" w:firstColumn="1" w:lastColumn="0" w:noHBand="0" w:noVBand="1"/>
      </w:tblPr>
      <w:tblGrid>
        <w:gridCol w:w="900"/>
        <w:gridCol w:w="1710"/>
        <w:gridCol w:w="1054"/>
        <w:gridCol w:w="1106"/>
        <w:gridCol w:w="1609"/>
        <w:gridCol w:w="1631"/>
        <w:gridCol w:w="1350"/>
      </w:tblGrid>
      <w:tr w:rsidR="005A6EE2" w:rsidRPr="0085383F" w14:paraId="583F84BA" w14:textId="77777777" w:rsidTr="0028693B">
        <w:trPr>
          <w:trHeight w:val="300"/>
        </w:trPr>
        <w:tc>
          <w:tcPr>
            <w:tcW w:w="900" w:type="dxa"/>
            <w:tcBorders>
              <w:top w:val="single" w:sz="8" w:space="0" w:color="8E8E8E"/>
              <w:left w:val="nil"/>
              <w:bottom w:val="single" w:sz="8" w:space="0" w:color="8E8E8E"/>
              <w:right w:val="nil"/>
            </w:tcBorders>
            <w:shd w:val="clear" w:color="auto" w:fill="auto"/>
            <w:hideMark/>
          </w:tcPr>
          <w:p w14:paraId="1F183CC6" w14:textId="77777777" w:rsidR="0085383F" w:rsidRPr="0085383F" w:rsidRDefault="0085383F" w:rsidP="0085383F">
            <w:pPr>
              <w:spacing w:after="0" w:line="240" w:lineRule="auto"/>
              <w:rPr>
                <w:rFonts w:eastAsia="Times New Roman" w:cstheme="minorHAnsi"/>
                <w:b/>
                <w:bCs/>
                <w:color w:val="1F1F1F"/>
                <w:sz w:val="16"/>
                <w:szCs w:val="16"/>
              </w:rPr>
            </w:pPr>
            <w:r w:rsidRPr="0085383F">
              <w:rPr>
                <w:rFonts w:eastAsia="Times New Roman" w:cstheme="minorHAnsi"/>
                <w:b/>
                <w:bCs/>
                <w:color w:val="1F1F1F"/>
                <w:sz w:val="16"/>
                <w:szCs w:val="16"/>
              </w:rPr>
              <w:t>Variable</w:t>
            </w:r>
          </w:p>
        </w:tc>
        <w:tc>
          <w:tcPr>
            <w:tcW w:w="1710" w:type="dxa"/>
            <w:tcBorders>
              <w:top w:val="single" w:sz="8" w:space="0" w:color="8E8E8E"/>
              <w:left w:val="nil"/>
              <w:bottom w:val="single" w:sz="8" w:space="0" w:color="8E8E8E"/>
              <w:right w:val="nil"/>
            </w:tcBorders>
            <w:shd w:val="clear" w:color="auto" w:fill="auto"/>
            <w:hideMark/>
          </w:tcPr>
          <w:p w14:paraId="7FE04A1F" w14:textId="77777777" w:rsidR="0085383F" w:rsidRPr="0085383F" w:rsidRDefault="0085383F" w:rsidP="0085383F">
            <w:pPr>
              <w:spacing w:after="0" w:line="240" w:lineRule="auto"/>
              <w:rPr>
                <w:rFonts w:eastAsia="Times New Roman" w:cstheme="minorHAnsi"/>
                <w:b/>
                <w:bCs/>
                <w:color w:val="1F1F1F"/>
                <w:sz w:val="16"/>
                <w:szCs w:val="16"/>
              </w:rPr>
            </w:pPr>
            <w:r w:rsidRPr="0085383F">
              <w:rPr>
                <w:rFonts w:eastAsia="Times New Roman" w:cstheme="minorHAnsi"/>
                <w:b/>
                <w:bCs/>
                <w:color w:val="1F1F1F"/>
                <w:sz w:val="16"/>
                <w:szCs w:val="16"/>
              </w:rPr>
              <w:t>REMIND</w:t>
            </w:r>
          </w:p>
        </w:tc>
        <w:tc>
          <w:tcPr>
            <w:tcW w:w="1054" w:type="dxa"/>
            <w:tcBorders>
              <w:top w:val="single" w:sz="8" w:space="0" w:color="8E8E8E"/>
              <w:left w:val="nil"/>
              <w:bottom w:val="single" w:sz="8" w:space="0" w:color="8E8E8E"/>
              <w:right w:val="nil"/>
            </w:tcBorders>
            <w:shd w:val="clear" w:color="auto" w:fill="auto"/>
            <w:hideMark/>
          </w:tcPr>
          <w:p w14:paraId="5A88916E" w14:textId="77777777" w:rsidR="0085383F" w:rsidRPr="0085383F" w:rsidRDefault="0085383F" w:rsidP="0085383F">
            <w:pPr>
              <w:spacing w:after="0" w:line="240" w:lineRule="auto"/>
              <w:rPr>
                <w:rFonts w:eastAsia="Times New Roman" w:cstheme="minorHAnsi"/>
                <w:b/>
                <w:bCs/>
                <w:color w:val="1F1F1F"/>
                <w:sz w:val="16"/>
                <w:szCs w:val="16"/>
              </w:rPr>
            </w:pPr>
            <w:r w:rsidRPr="0085383F">
              <w:rPr>
                <w:rFonts w:eastAsia="Times New Roman" w:cstheme="minorHAnsi"/>
                <w:b/>
                <w:bCs/>
                <w:color w:val="1F1F1F"/>
                <w:sz w:val="16"/>
                <w:szCs w:val="16"/>
              </w:rPr>
              <w:t>GCAM</w:t>
            </w:r>
          </w:p>
        </w:tc>
        <w:tc>
          <w:tcPr>
            <w:tcW w:w="1106" w:type="dxa"/>
            <w:tcBorders>
              <w:top w:val="single" w:sz="8" w:space="0" w:color="8E8E8E"/>
              <w:left w:val="nil"/>
              <w:bottom w:val="single" w:sz="8" w:space="0" w:color="8E8E8E"/>
              <w:right w:val="nil"/>
            </w:tcBorders>
            <w:shd w:val="clear" w:color="auto" w:fill="auto"/>
            <w:hideMark/>
          </w:tcPr>
          <w:p w14:paraId="444000B4" w14:textId="77777777" w:rsidR="0085383F" w:rsidRPr="0085383F" w:rsidRDefault="0085383F" w:rsidP="0085383F">
            <w:pPr>
              <w:spacing w:after="0" w:line="240" w:lineRule="auto"/>
              <w:rPr>
                <w:rFonts w:eastAsia="Times New Roman" w:cstheme="minorHAnsi"/>
                <w:b/>
                <w:bCs/>
                <w:color w:val="1F1F1F"/>
                <w:sz w:val="16"/>
                <w:szCs w:val="16"/>
              </w:rPr>
            </w:pPr>
            <w:r w:rsidRPr="0085383F">
              <w:rPr>
                <w:rFonts w:eastAsia="Times New Roman" w:cstheme="minorHAnsi"/>
                <w:b/>
                <w:bCs/>
                <w:color w:val="1F1F1F"/>
                <w:sz w:val="16"/>
                <w:szCs w:val="16"/>
              </w:rPr>
              <w:t>WITCH</w:t>
            </w:r>
          </w:p>
        </w:tc>
        <w:tc>
          <w:tcPr>
            <w:tcW w:w="1609" w:type="dxa"/>
            <w:tcBorders>
              <w:top w:val="single" w:sz="8" w:space="0" w:color="8E8E8E"/>
              <w:left w:val="nil"/>
              <w:bottom w:val="single" w:sz="8" w:space="0" w:color="8E8E8E"/>
              <w:right w:val="nil"/>
            </w:tcBorders>
            <w:shd w:val="clear" w:color="auto" w:fill="auto"/>
            <w:hideMark/>
          </w:tcPr>
          <w:p w14:paraId="6667C7C3" w14:textId="77777777" w:rsidR="0085383F" w:rsidRPr="0085383F" w:rsidRDefault="0085383F" w:rsidP="0085383F">
            <w:pPr>
              <w:spacing w:after="0" w:line="240" w:lineRule="auto"/>
              <w:rPr>
                <w:rFonts w:eastAsia="Times New Roman" w:cstheme="minorHAnsi"/>
                <w:b/>
                <w:bCs/>
                <w:color w:val="1F1F1F"/>
                <w:sz w:val="16"/>
                <w:szCs w:val="16"/>
              </w:rPr>
            </w:pPr>
            <w:r w:rsidRPr="0085383F">
              <w:rPr>
                <w:rFonts w:eastAsia="Times New Roman" w:cstheme="minorHAnsi"/>
                <w:b/>
                <w:bCs/>
                <w:color w:val="1F1F1F"/>
                <w:sz w:val="16"/>
                <w:szCs w:val="16"/>
              </w:rPr>
              <w:t>AIM/CGE</w:t>
            </w:r>
          </w:p>
        </w:tc>
        <w:tc>
          <w:tcPr>
            <w:tcW w:w="1631" w:type="dxa"/>
            <w:tcBorders>
              <w:top w:val="single" w:sz="8" w:space="0" w:color="8E8E8E"/>
              <w:left w:val="nil"/>
              <w:bottom w:val="single" w:sz="8" w:space="0" w:color="8E8E8E"/>
              <w:right w:val="nil"/>
            </w:tcBorders>
            <w:shd w:val="clear" w:color="auto" w:fill="auto"/>
            <w:hideMark/>
          </w:tcPr>
          <w:p w14:paraId="366783E5" w14:textId="77777777" w:rsidR="0085383F" w:rsidRPr="0085383F" w:rsidRDefault="0085383F" w:rsidP="0085383F">
            <w:pPr>
              <w:spacing w:after="0" w:line="240" w:lineRule="auto"/>
              <w:rPr>
                <w:rFonts w:eastAsia="Times New Roman" w:cstheme="minorHAnsi"/>
                <w:b/>
                <w:bCs/>
                <w:color w:val="1F1F1F"/>
                <w:sz w:val="16"/>
                <w:szCs w:val="16"/>
              </w:rPr>
            </w:pPr>
            <w:r w:rsidRPr="0085383F">
              <w:rPr>
                <w:rFonts w:eastAsia="Times New Roman" w:cstheme="minorHAnsi"/>
                <w:b/>
                <w:bCs/>
                <w:color w:val="1F1F1F"/>
                <w:sz w:val="16"/>
                <w:szCs w:val="16"/>
              </w:rPr>
              <w:t>IMAGE</w:t>
            </w:r>
          </w:p>
        </w:tc>
        <w:tc>
          <w:tcPr>
            <w:tcW w:w="1350" w:type="dxa"/>
            <w:tcBorders>
              <w:top w:val="single" w:sz="8" w:space="0" w:color="8E8E8E"/>
              <w:left w:val="nil"/>
              <w:bottom w:val="single" w:sz="8" w:space="0" w:color="8E8E8E"/>
              <w:right w:val="nil"/>
            </w:tcBorders>
            <w:shd w:val="clear" w:color="auto" w:fill="auto"/>
            <w:hideMark/>
          </w:tcPr>
          <w:p w14:paraId="3C3BABED" w14:textId="77777777" w:rsidR="0085383F" w:rsidRPr="0085383F" w:rsidRDefault="0085383F" w:rsidP="0085383F">
            <w:pPr>
              <w:spacing w:after="0" w:line="240" w:lineRule="auto"/>
              <w:rPr>
                <w:rFonts w:eastAsia="Times New Roman" w:cstheme="minorHAnsi"/>
                <w:b/>
                <w:bCs/>
                <w:color w:val="1F1F1F"/>
                <w:sz w:val="16"/>
                <w:szCs w:val="16"/>
              </w:rPr>
            </w:pPr>
            <w:r w:rsidRPr="0085383F">
              <w:rPr>
                <w:rFonts w:eastAsia="Times New Roman" w:cstheme="minorHAnsi"/>
                <w:b/>
                <w:bCs/>
                <w:color w:val="1F1F1F"/>
                <w:sz w:val="16"/>
                <w:szCs w:val="16"/>
              </w:rPr>
              <w:t>MESSAGE</w:t>
            </w:r>
          </w:p>
        </w:tc>
      </w:tr>
      <w:tr w:rsidR="005A6EE2" w:rsidRPr="0085383F" w14:paraId="411FE5FD" w14:textId="77777777" w:rsidTr="0028693B">
        <w:trPr>
          <w:trHeight w:val="2530"/>
        </w:trPr>
        <w:tc>
          <w:tcPr>
            <w:tcW w:w="900" w:type="dxa"/>
            <w:tcBorders>
              <w:top w:val="nil"/>
              <w:left w:val="nil"/>
              <w:bottom w:val="single" w:sz="8" w:space="0" w:color="8E8E8E"/>
              <w:right w:val="nil"/>
            </w:tcBorders>
            <w:shd w:val="clear" w:color="auto" w:fill="auto"/>
            <w:hideMark/>
          </w:tcPr>
          <w:p w14:paraId="17D3C76A" w14:textId="77777777"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Storage potential</w:t>
            </w:r>
          </w:p>
        </w:tc>
        <w:tc>
          <w:tcPr>
            <w:tcW w:w="1710" w:type="dxa"/>
            <w:tcBorders>
              <w:top w:val="nil"/>
              <w:left w:val="nil"/>
              <w:bottom w:val="single" w:sz="8" w:space="0" w:color="8E8E8E"/>
              <w:right w:val="nil"/>
            </w:tcBorders>
            <w:shd w:val="clear" w:color="auto" w:fill="auto"/>
            <w:hideMark/>
          </w:tcPr>
          <w:p w14:paraId="3295D9F1" w14:textId="5230A59D"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Global storage potential of around 3700</w:t>
            </w:r>
            <w:r w:rsidR="00207456">
              <w:rPr>
                <w:rFonts w:eastAsia="Times New Roman" w:cstheme="minorHAnsi"/>
                <w:color w:val="1F1F1F"/>
                <w:sz w:val="16"/>
                <w:szCs w:val="16"/>
              </w:rPr>
              <w:t xml:space="preserve"> </w:t>
            </w:r>
            <w:r w:rsidRPr="0085383F">
              <w:rPr>
                <w:rFonts w:eastAsia="Times New Roman" w:cstheme="minorHAnsi"/>
                <w:color w:val="1F1F1F"/>
                <w:sz w:val="16"/>
                <w:szCs w:val="16"/>
              </w:rPr>
              <w:t xml:space="preserve">GtCO2 is </w:t>
            </w:r>
            <w:proofErr w:type="gramStart"/>
            <w:r w:rsidRPr="0085383F">
              <w:rPr>
                <w:rFonts w:eastAsia="Times New Roman" w:cstheme="minorHAnsi"/>
                <w:color w:val="1F1F1F"/>
                <w:sz w:val="16"/>
                <w:szCs w:val="16"/>
              </w:rPr>
              <w:t>assumed</w:t>
            </w:r>
            <w:proofErr w:type="gramEnd"/>
            <w:r w:rsidRPr="0085383F">
              <w:rPr>
                <w:rFonts w:eastAsia="Times New Roman" w:cstheme="minorHAnsi"/>
                <w:color w:val="1F1F1F"/>
                <w:sz w:val="16"/>
                <w:szCs w:val="16"/>
              </w:rPr>
              <w:t xml:space="preserve"> and regional constraints are also placed</w:t>
            </w:r>
          </w:p>
        </w:tc>
        <w:tc>
          <w:tcPr>
            <w:tcW w:w="1054" w:type="dxa"/>
            <w:tcBorders>
              <w:top w:val="nil"/>
              <w:left w:val="nil"/>
              <w:bottom w:val="single" w:sz="8" w:space="0" w:color="8E8E8E"/>
              <w:right w:val="nil"/>
            </w:tcBorders>
            <w:shd w:val="clear" w:color="auto" w:fill="auto"/>
            <w:hideMark/>
          </w:tcPr>
          <w:p w14:paraId="39D6C160" w14:textId="77777777"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Global storage potential of 7178 GtCO</w:t>
            </w:r>
            <w:r w:rsidRPr="00207456">
              <w:rPr>
                <w:rFonts w:eastAsia="Times New Roman" w:cstheme="minorHAnsi"/>
                <w:color w:val="1F1F1F"/>
                <w:sz w:val="16"/>
                <w:szCs w:val="16"/>
                <w:vertAlign w:val="subscript"/>
              </w:rPr>
              <w:t>2</w:t>
            </w:r>
            <w:r w:rsidRPr="0085383F">
              <w:rPr>
                <w:rFonts w:eastAsia="Times New Roman" w:cstheme="minorHAnsi"/>
                <w:color w:val="1F1F1F"/>
                <w:sz w:val="16"/>
                <w:szCs w:val="16"/>
              </w:rPr>
              <w:t> is assumed</w:t>
            </w:r>
          </w:p>
        </w:tc>
        <w:tc>
          <w:tcPr>
            <w:tcW w:w="1106" w:type="dxa"/>
            <w:tcBorders>
              <w:top w:val="nil"/>
              <w:left w:val="nil"/>
              <w:bottom w:val="single" w:sz="8" w:space="0" w:color="8E8E8E"/>
              <w:right w:val="nil"/>
            </w:tcBorders>
            <w:shd w:val="clear" w:color="auto" w:fill="auto"/>
            <w:hideMark/>
          </w:tcPr>
          <w:p w14:paraId="7EC55D02" w14:textId="2F4E46DC"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Default global storage potential of 11000</w:t>
            </w:r>
            <w:r w:rsidR="00207456">
              <w:rPr>
                <w:rFonts w:eastAsia="Times New Roman" w:cstheme="minorHAnsi"/>
                <w:color w:val="1F1F1F"/>
                <w:sz w:val="16"/>
                <w:szCs w:val="16"/>
              </w:rPr>
              <w:t xml:space="preserve"> </w:t>
            </w:r>
            <w:r w:rsidRPr="0085383F">
              <w:rPr>
                <w:rFonts w:eastAsia="Times New Roman" w:cstheme="minorHAnsi"/>
                <w:color w:val="1F1F1F"/>
                <w:sz w:val="16"/>
                <w:szCs w:val="16"/>
              </w:rPr>
              <w:t>GtCO</w:t>
            </w:r>
            <w:r w:rsidRPr="00207456">
              <w:rPr>
                <w:rFonts w:eastAsia="Times New Roman" w:cstheme="minorHAnsi"/>
                <w:color w:val="1F1F1F"/>
                <w:sz w:val="16"/>
                <w:szCs w:val="16"/>
                <w:vertAlign w:val="subscript"/>
              </w:rPr>
              <w:t>2</w:t>
            </w:r>
            <w:r w:rsidRPr="0085383F">
              <w:rPr>
                <w:rFonts w:eastAsia="Times New Roman" w:cstheme="minorHAnsi"/>
                <w:color w:val="1F1F1F"/>
                <w:sz w:val="16"/>
                <w:szCs w:val="16"/>
              </w:rPr>
              <w:t> is assumed</w:t>
            </w:r>
          </w:p>
        </w:tc>
        <w:tc>
          <w:tcPr>
            <w:tcW w:w="1609" w:type="dxa"/>
            <w:tcBorders>
              <w:top w:val="nil"/>
              <w:left w:val="nil"/>
              <w:bottom w:val="single" w:sz="8" w:space="0" w:color="8E8E8E"/>
              <w:right w:val="nil"/>
            </w:tcBorders>
            <w:shd w:val="clear" w:color="auto" w:fill="auto"/>
            <w:hideMark/>
          </w:tcPr>
          <w:p w14:paraId="748E0D76" w14:textId="6901430E"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No explicit constraint on the storage potential is applied, but ex-ante comparison is performed with global storage potential estimates to ensure consistency</w:t>
            </w:r>
          </w:p>
        </w:tc>
        <w:tc>
          <w:tcPr>
            <w:tcW w:w="1631" w:type="dxa"/>
            <w:tcBorders>
              <w:top w:val="nil"/>
              <w:left w:val="nil"/>
              <w:bottom w:val="single" w:sz="8" w:space="0" w:color="8E8E8E"/>
              <w:right w:val="nil"/>
            </w:tcBorders>
            <w:shd w:val="clear" w:color="auto" w:fill="auto"/>
            <w:hideMark/>
          </w:tcPr>
          <w:p w14:paraId="08A74BE6" w14:textId="707667D2"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Global storage potential of 5500</w:t>
            </w:r>
            <w:r w:rsidR="00795A6E">
              <w:rPr>
                <w:rFonts w:eastAsia="Times New Roman" w:cstheme="minorHAnsi"/>
                <w:color w:val="1F1F1F"/>
                <w:sz w:val="16"/>
                <w:szCs w:val="16"/>
              </w:rPr>
              <w:t xml:space="preserve"> </w:t>
            </w:r>
            <w:r w:rsidRPr="0085383F">
              <w:rPr>
                <w:rFonts w:eastAsia="Times New Roman" w:cstheme="minorHAnsi"/>
                <w:color w:val="1F1F1F"/>
                <w:sz w:val="16"/>
                <w:szCs w:val="16"/>
              </w:rPr>
              <w:t>GtCO</w:t>
            </w:r>
            <w:r w:rsidRPr="00207456">
              <w:rPr>
                <w:rFonts w:eastAsia="Times New Roman" w:cstheme="minorHAnsi"/>
                <w:color w:val="1F1F1F"/>
                <w:sz w:val="16"/>
                <w:szCs w:val="16"/>
                <w:vertAlign w:val="subscript"/>
              </w:rPr>
              <w:t>2</w:t>
            </w:r>
            <w:r w:rsidRPr="0085383F">
              <w:rPr>
                <w:rFonts w:eastAsia="Times New Roman" w:cstheme="minorHAnsi"/>
                <w:color w:val="1F1F1F"/>
                <w:sz w:val="16"/>
                <w:szCs w:val="16"/>
              </w:rPr>
              <w:t> is assumed</w:t>
            </w:r>
          </w:p>
        </w:tc>
        <w:tc>
          <w:tcPr>
            <w:tcW w:w="1350" w:type="dxa"/>
            <w:tcBorders>
              <w:top w:val="nil"/>
              <w:left w:val="nil"/>
              <w:bottom w:val="single" w:sz="8" w:space="0" w:color="8E8E8E"/>
              <w:right w:val="nil"/>
            </w:tcBorders>
            <w:shd w:val="clear" w:color="auto" w:fill="auto"/>
            <w:hideMark/>
          </w:tcPr>
          <w:p w14:paraId="15177CEA" w14:textId="0979C72C"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No explicit constraint on the storage potential is applied</w:t>
            </w:r>
          </w:p>
        </w:tc>
      </w:tr>
      <w:tr w:rsidR="005A6EE2" w:rsidRPr="0085383F" w14:paraId="787D8C46" w14:textId="77777777" w:rsidTr="0028693B">
        <w:trPr>
          <w:trHeight w:val="1980"/>
        </w:trPr>
        <w:tc>
          <w:tcPr>
            <w:tcW w:w="900" w:type="dxa"/>
            <w:vMerge w:val="restart"/>
            <w:tcBorders>
              <w:top w:val="nil"/>
              <w:left w:val="nil"/>
              <w:bottom w:val="single" w:sz="8" w:space="0" w:color="8E8E8E"/>
              <w:right w:val="nil"/>
            </w:tcBorders>
            <w:shd w:val="clear" w:color="auto" w:fill="auto"/>
            <w:hideMark/>
          </w:tcPr>
          <w:p w14:paraId="7FC6F199" w14:textId="77777777"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Injection rate</w:t>
            </w:r>
          </w:p>
        </w:tc>
        <w:tc>
          <w:tcPr>
            <w:tcW w:w="1710" w:type="dxa"/>
            <w:tcBorders>
              <w:top w:val="nil"/>
              <w:left w:val="nil"/>
              <w:bottom w:val="nil"/>
              <w:right w:val="nil"/>
            </w:tcBorders>
            <w:shd w:val="clear" w:color="auto" w:fill="auto"/>
            <w:hideMark/>
          </w:tcPr>
          <w:p w14:paraId="0E2F80DB" w14:textId="1FDA9B68"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The yearly injection rate of CO</w:t>
            </w:r>
            <w:r w:rsidRPr="00207456">
              <w:rPr>
                <w:rFonts w:eastAsia="Times New Roman" w:cstheme="minorHAnsi"/>
                <w:color w:val="1F1F1F"/>
                <w:sz w:val="16"/>
                <w:szCs w:val="16"/>
                <w:vertAlign w:val="subscript"/>
              </w:rPr>
              <w:t>2</w:t>
            </w:r>
            <w:r w:rsidRPr="0085383F">
              <w:rPr>
                <w:rFonts w:eastAsia="Times New Roman" w:cstheme="minorHAnsi"/>
                <w:color w:val="1F1F1F"/>
                <w:sz w:val="16"/>
                <w:szCs w:val="16"/>
              </w:rPr>
              <w:t> is limited to 0.5% of total storage capacity due to technical and geological constraints</w:t>
            </w:r>
          </w:p>
        </w:tc>
        <w:tc>
          <w:tcPr>
            <w:tcW w:w="1054" w:type="dxa"/>
            <w:vMerge w:val="restart"/>
            <w:tcBorders>
              <w:top w:val="nil"/>
              <w:left w:val="nil"/>
              <w:bottom w:val="single" w:sz="8" w:space="0" w:color="8E8E8E"/>
              <w:right w:val="nil"/>
            </w:tcBorders>
            <w:shd w:val="clear" w:color="auto" w:fill="auto"/>
            <w:hideMark/>
          </w:tcPr>
          <w:p w14:paraId="4F6F1837" w14:textId="1FED094A"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Injection rate constraints are not modelled</w:t>
            </w:r>
          </w:p>
        </w:tc>
        <w:tc>
          <w:tcPr>
            <w:tcW w:w="1106" w:type="dxa"/>
            <w:vMerge w:val="restart"/>
            <w:tcBorders>
              <w:top w:val="nil"/>
              <w:left w:val="nil"/>
              <w:bottom w:val="single" w:sz="8" w:space="0" w:color="8E8E8E"/>
              <w:right w:val="nil"/>
            </w:tcBorders>
            <w:shd w:val="clear" w:color="auto" w:fill="auto"/>
            <w:hideMark/>
          </w:tcPr>
          <w:p w14:paraId="7400DAD5" w14:textId="638A2563"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Injection rate constraints are not modelled</w:t>
            </w:r>
          </w:p>
        </w:tc>
        <w:tc>
          <w:tcPr>
            <w:tcW w:w="1609" w:type="dxa"/>
            <w:vMerge w:val="restart"/>
            <w:tcBorders>
              <w:top w:val="nil"/>
              <w:left w:val="nil"/>
              <w:bottom w:val="single" w:sz="8" w:space="0" w:color="8E8E8E"/>
              <w:right w:val="nil"/>
            </w:tcBorders>
            <w:shd w:val="clear" w:color="auto" w:fill="auto"/>
            <w:hideMark/>
          </w:tcPr>
          <w:p w14:paraId="5FD809F3" w14:textId="45C92812"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Injection rate constraints are not modelled</w:t>
            </w:r>
          </w:p>
        </w:tc>
        <w:tc>
          <w:tcPr>
            <w:tcW w:w="1631" w:type="dxa"/>
            <w:vMerge w:val="restart"/>
            <w:tcBorders>
              <w:top w:val="nil"/>
              <w:left w:val="nil"/>
              <w:bottom w:val="single" w:sz="8" w:space="0" w:color="8E8E8E"/>
              <w:right w:val="nil"/>
            </w:tcBorders>
            <w:shd w:val="clear" w:color="auto" w:fill="auto"/>
            <w:hideMark/>
          </w:tcPr>
          <w:p w14:paraId="7E0290C1" w14:textId="511323F6"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Injection rate constraints are not modelled</w:t>
            </w:r>
          </w:p>
        </w:tc>
        <w:tc>
          <w:tcPr>
            <w:tcW w:w="1350" w:type="dxa"/>
            <w:vMerge w:val="restart"/>
            <w:tcBorders>
              <w:top w:val="nil"/>
              <w:left w:val="nil"/>
              <w:bottom w:val="single" w:sz="8" w:space="0" w:color="8E8E8E"/>
              <w:right w:val="nil"/>
            </w:tcBorders>
            <w:shd w:val="clear" w:color="auto" w:fill="auto"/>
            <w:hideMark/>
          </w:tcPr>
          <w:p w14:paraId="43784861" w14:textId="66578402"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Injection rate constraints are not modelled</w:t>
            </w:r>
          </w:p>
        </w:tc>
      </w:tr>
      <w:tr w:rsidR="005A6EE2" w:rsidRPr="005A6EE2" w14:paraId="6443F913" w14:textId="77777777" w:rsidTr="0028693B">
        <w:trPr>
          <w:trHeight w:val="1270"/>
        </w:trPr>
        <w:tc>
          <w:tcPr>
            <w:tcW w:w="900" w:type="dxa"/>
            <w:vMerge/>
            <w:tcBorders>
              <w:top w:val="nil"/>
              <w:left w:val="nil"/>
              <w:bottom w:val="single" w:sz="8" w:space="0" w:color="8E8E8E"/>
              <w:right w:val="nil"/>
            </w:tcBorders>
            <w:vAlign w:val="center"/>
            <w:hideMark/>
          </w:tcPr>
          <w:p w14:paraId="037B4DDF" w14:textId="77777777" w:rsidR="0085383F" w:rsidRPr="0085383F" w:rsidRDefault="0085383F" w:rsidP="0085383F">
            <w:pPr>
              <w:spacing w:after="0" w:line="240" w:lineRule="auto"/>
              <w:rPr>
                <w:rFonts w:eastAsia="Times New Roman" w:cstheme="minorHAnsi"/>
                <w:color w:val="1F1F1F"/>
                <w:sz w:val="16"/>
                <w:szCs w:val="16"/>
              </w:rPr>
            </w:pPr>
          </w:p>
        </w:tc>
        <w:tc>
          <w:tcPr>
            <w:tcW w:w="1710" w:type="dxa"/>
            <w:tcBorders>
              <w:top w:val="nil"/>
              <w:left w:val="nil"/>
              <w:bottom w:val="single" w:sz="8" w:space="0" w:color="8E8E8E"/>
              <w:right w:val="nil"/>
            </w:tcBorders>
            <w:shd w:val="clear" w:color="auto" w:fill="auto"/>
            <w:hideMark/>
          </w:tcPr>
          <w:p w14:paraId="2C6721FB" w14:textId="37BB1A4F"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This corresponds to a maximum injection rate of 21.9</w:t>
            </w:r>
            <w:r w:rsidR="00207456">
              <w:rPr>
                <w:rFonts w:eastAsia="Times New Roman" w:cstheme="minorHAnsi"/>
                <w:color w:val="1F1F1F"/>
                <w:sz w:val="16"/>
                <w:szCs w:val="16"/>
              </w:rPr>
              <w:t xml:space="preserve"> </w:t>
            </w:r>
            <w:r w:rsidRPr="0085383F">
              <w:rPr>
                <w:rFonts w:eastAsia="Times New Roman" w:cstheme="minorHAnsi"/>
                <w:color w:val="1F1F1F"/>
                <w:sz w:val="16"/>
                <w:szCs w:val="16"/>
              </w:rPr>
              <w:t>GtCO</w:t>
            </w:r>
            <w:r w:rsidRPr="00207456">
              <w:rPr>
                <w:rFonts w:eastAsia="Times New Roman" w:cstheme="minorHAnsi"/>
                <w:color w:val="1F1F1F"/>
                <w:sz w:val="16"/>
                <w:szCs w:val="16"/>
                <w:vertAlign w:val="subscript"/>
              </w:rPr>
              <w:t>2</w:t>
            </w:r>
            <w:r w:rsidRPr="0085383F">
              <w:rPr>
                <w:rFonts w:eastAsia="Times New Roman" w:cstheme="minorHAnsi"/>
                <w:color w:val="1F1F1F"/>
                <w:sz w:val="16"/>
                <w:szCs w:val="16"/>
              </w:rPr>
              <w:t>/y</w:t>
            </w:r>
          </w:p>
        </w:tc>
        <w:tc>
          <w:tcPr>
            <w:tcW w:w="1054" w:type="dxa"/>
            <w:vMerge/>
            <w:tcBorders>
              <w:top w:val="nil"/>
              <w:left w:val="nil"/>
              <w:bottom w:val="single" w:sz="8" w:space="0" w:color="8E8E8E"/>
              <w:right w:val="nil"/>
            </w:tcBorders>
            <w:vAlign w:val="center"/>
            <w:hideMark/>
          </w:tcPr>
          <w:p w14:paraId="0B8F55FB" w14:textId="77777777" w:rsidR="0085383F" w:rsidRPr="0085383F" w:rsidRDefault="0085383F" w:rsidP="0085383F">
            <w:pPr>
              <w:spacing w:after="0" w:line="240" w:lineRule="auto"/>
              <w:rPr>
                <w:rFonts w:eastAsia="Times New Roman" w:cstheme="minorHAnsi"/>
                <w:color w:val="1F1F1F"/>
                <w:sz w:val="16"/>
                <w:szCs w:val="16"/>
              </w:rPr>
            </w:pPr>
          </w:p>
        </w:tc>
        <w:tc>
          <w:tcPr>
            <w:tcW w:w="1106" w:type="dxa"/>
            <w:vMerge/>
            <w:tcBorders>
              <w:top w:val="nil"/>
              <w:left w:val="nil"/>
              <w:bottom w:val="single" w:sz="8" w:space="0" w:color="8E8E8E"/>
              <w:right w:val="nil"/>
            </w:tcBorders>
            <w:vAlign w:val="center"/>
            <w:hideMark/>
          </w:tcPr>
          <w:p w14:paraId="14E22FB7" w14:textId="77777777" w:rsidR="0085383F" w:rsidRPr="0085383F" w:rsidRDefault="0085383F" w:rsidP="0085383F">
            <w:pPr>
              <w:spacing w:after="0" w:line="240" w:lineRule="auto"/>
              <w:rPr>
                <w:rFonts w:eastAsia="Times New Roman" w:cstheme="minorHAnsi"/>
                <w:color w:val="1F1F1F"/>
                <w:sz w:val="16"/>
                <w:szCs w:val="16"/>
              </w:rPr>
            </w:pPr>
          </w:p>
        </w:tc>
        <w:tc>
          <w:tcPr>
            <w:tcW w:w="1609" w:type="dxa"/>
            <w:vMerge/>
            <w:tcBorders>
              <w:top w:val="nil"/>
              <w:left w:val="nil"/>
              <w:bottom w:val="single" w:sz="8" w:space="0" w:color="8E8E8E"/>
              <w:right w:val="nil"/>
            </w:tcBorders>
            <w:vAlign w:val="center"/>
            <w:hideMark/>
          </w:tcPr>
          <w:p w14:paraId="444D356E" w14:textId="77777777" w:rsidR="0085383F" w:rsidRPr="0085383F" w:rsidRDefault="0085383F" w:rsidP="0085383F">
            <w:pPr>
              <w:spacing w:after="0" w:line="240" w:lineRule="auto"/>
              <w:rPr>
                <w:rFonts w:eastAsia="Times New Roman" w:cstheme="minorHAnsi"/>
                <w:color w:val="1F1F1F"/>
                <w:sz w:val="16"/>
                <w:szCs w:val="16"/>
              </w:rPr>
            </w:pPr>
          </w:p>
        </w:tc>
        <w:tc>
          <w:tcPr>
            <w:tcW w:w="1631" w:type="dxa"/>
            <w:vMerge/>
            <w:tcBorders>
              <w:top w:val="nil"/>
              <w:left w:val="nil"/>
              <w:bottom w:val="single" w:sz="8" w:space="0" w:color="8E8E8E"/>
              <w:right w:val="nil"/>
            </w:tcBorders>
            <w:vAlign w:val="center"/>
            <w:hideMark/>
          </w:tcPr>
          <w:p w14:paraId="61078E68" w14:textId="77777777" w:rsidR="0085383F" w:rsidRPr="0085383F" w:rsidRDefault="0085383F" w:rsidP="0085383F">
            <w:pPr>
              <w:spacing w:after="0" w:line="240" w:lineRule="auto"/>
              <w:rPr>
                <w:rFonts w:eastAsia="Times New Roman" w:cstheme="minorHAnsi"/>
                <w:color w:val="1F1F1F"/>
                <w:sz w:val="16"/>
                <w:szCs w:val="16"/>
              </w:rPr>
            </w:pPr>
          </w:p>
        </w:tc>
        <w:tc>
          <w:tcPr>
            <w:tcW w:w="1350" w:type="dxa"/>
            <w:vMerge/>
            <w:tcBorders>
              <w:top w:val="nil"/>
              <w:left w:val="nil"/>
              <w:bottom w:val="single" w:sz="8" w:space="0" w:color="8E8E8E"/>
              <w:right w:val="nil"/>
            </w:tcBorders>
            <w:vAlign w:val="center"/>
            <w:hideMark/>
          </w:tcPr>
          <w:p w14:paraId="79EF16A0" w14:textId="77777777" w:rsidR="0085383F" w:rsidRPr="0085383F" w:rsidRDefault="0085383F" w:rsidP="0085383F">
            <w:pPr>
              <w:spacing w:after="0" w:line="240" w:lineRule="auto"/>
              <w:rPr>
                <w:rFonts w:eastAsia="Times New Roman" w:cstheme="minorHAnsi"/>
                <w:color w:val="1F1F1F"/>
                <w:sz w:val="16"/>
                <w:szCs w:val="16"/>
              </w:rPr>
            </w:pPr>
          </w:p>
        </w:tc>
      </w:tr>
      <w:tr w:rsidR="005A6EE2" w:rsidRPr="0085383F" w14:paraId="1CD64F86" w14:textId="77777777" w:rsidTr="0028693B">
        <w:trPr>
          <w:trHeight w:val="1090"/>
        </w:trPr>
        <w:tc>
          <w:tcPr>
            <w:tcW w:w="900" w:type="dxa"/>
            <w:tcBorders>
              <w:top w:val="nil"/>
              <w:left w:val="nil"/>
              <w:bottom w:val="single" w:sz="8" w:space="0" w:color="8E8E8E"/>
              <w:right w:val="nil"/>
            </w:tcBorders>
            <w:shd w:val="clear" w:color="auto" w:fill="auto"/>
            <w:hideMark/>
          </w:tcPr>
          <w:p w14:paraId="1EB73EF9" w14:textId="77777777" w:rsidR="0085383F" w:rsidRPr="0085383F" w:rsidRDefault="0085383F" w:rsidP="0085383F">
            <w:pPr>
              <w:spacing w:after="0" w:line="240" w:lineRule="auto"/>
              <w:rPr>
                <w:rFonts w:eastAsia="Times New Roman" w:cstheme="minorHAnsi"/>
                <w:color w:val="1F1F1F"/>
                <w:sz w:val="16"/>
                <w:szCs w:val="16"/>
              </w:rPr>
            </w:pPr>
            <w:r w:rsidRPr="0085383F">
              <w:rPr>
                <w:rFonts w:eastAsia="Times New Roman" w:cstheme="minorHAnsi"/>
                <w:color w:val="1F1F1F"/>
                <w:sz w:val="16"/>
                <w:szCs w:val="16"/>
              </w:rPr>
              <w:t>Source</w:t>
            </w:r>
          </w:p>
        </w:tc>
        <w:tc>
          <w:tcPr>
            <w:tcW w:w="1710" w:type="dxa"/>
            <w:tcBorders>
              <w:top w:val="nil"/>
              <w:left w:val="nil"/>
              <w:bottom w:val="single" w:sz="8" w:space="0" w:color="8E8E8E"/>
              <w:right w:val="nil"/>
            </w:tcBorders>
            <w:shd w:val="clear" w:color="auto" w:fill="auto"/>
            <w:hideMark/>
          </w:tcPr>
          <w:p w14:paraId="76F78D9A" w14:textId="35C2152F" w:rsidR="0085383F" w:rsidRPr="0085383F" w:rsidRDefault="00A93A35" w:rsidP="0085383F">
            <w:pPr>
              <w:spacing w:after="0" w:line="240" w:lineRule="auto"/>
              <w:rPr>
                <w:rFonts w:eastAsia="Times New Roman" w:cstheme="minorHAnsi"/>
                <w:color w:val="1F1F1F"/>
                <w:sz w:val="16"/>
                <w:szCs w:val="16"/>
              </w:rPr>
            </w:pPr>
            <w:r w:rsidRPr="004903FF">
              <w:rPr>
                <w:rFonts w:eastAsia="Times New Roman" w:cstheme="minorHAnsi"/>
                <w:color w:val="1F1F1F"/>
                <w:sz w:val="16"/>
                <w:szCs w:val="16"/>
              </w:rPr>
              <w:fldChar w:fldCharType="begin"/>
            </w:r>
            <w:r w:rsidR="002633DA" w:rsidRPr="004903FF">
              <w:rPr>
                <w:rFonts w:eastAsia="Times New Roman" w:cstheme="minorHAnsi"/>
                <w:color w:val="1F1F1F"/>
                <w:sz w:val="16"/>
                <w:szCs w:val="16"/>
              </w:rPr>
              <w:instrText xml:space="preserve"> ADDIN ZOTERO_ITEM CSL_CITATION {"citationID":"18MhzAJ0","properties":{"formattedCitation":"\\super 2,3\\nosupersub{}","plainCitation":"2,3","noteIndex":0},"citationItems":[{"id":2159,"uris":["http://zotero.org/users/12181224/items/V9GKD52X"],"itemData":{"id":2159,"type":"thesis","abstract":"The thesis assesses the contribution of technology option of Carbon Capture and Sequestration (CCS) to climate change mitigation. CCS means that CO2 is captured at large industrial facilities and sequestered in goelogical structures. The technology uses the endogenous growth model MIND. Herein the various climate change mitigation options of reducing economic growth, increasing energy efficiency, changing the energy mix and CCS are assessed simultaneously. An important question is whether CCS is a temporary or long-term solution. The results show that in the middle of the 21st century CCS has its peak contribution, which allows prolonged use of relatively cheap fossil energy carriers. However, this leads to delayed introduction of renewable energy carriers. The technology path ways are accombined with different costs of climate change mitigation. The use of CCS delays and reduces the costs of climate change mitigation. However, the delayed introduction of renewable energy carriers leads to reduced technological learning, which induces higher costs in the longer term. All in all the temporary use of CCS reduces the costs of climate change mitigation costs. The result is robust, which is tested with various uncertainty analysis.","language":"eng","publisher":"Universität Potsdam","source":"publishup.uni-potsdam.de","title":"Carbon capture and sequestration : an option to buy time?","title-short":"Carbon capture and sequestration","URL":"https://publishup.uni-potsdam.de/frontdoor/index/index/docId/579","author":[{"family":"Bauer","given":"Niclas Alexandre"}],"accessed":{"date-parts":[["2024",6,6]]},"issued":{"date-parts":[["2005"]]}}},{"id":360,"uris":["http://zotero.org/users/12181224/items/6KTA8MYT"],"itemData":{"id":360,"type":"article-journal","DOI":"10.1145/3290607.3312997","issue":"November","page":"1-6","title":"Description of the REMIND model (Version 1.6)","author":[{"family":"Hutton","given":"Courtney"},{"family":"Saravanan","given":"Shalini"}],"issued":{"date-parts":[["2019"]]}}}],"schema":"https://github.com/citation-style-language/schema/raw/master/csl-citation.json"} </w:instrText>
            </w:r>
            <w:r w:rsidRPr="004903FF">
              <w:rPr>
                <w:rFonts w:eastAsia="Times New Roman" w:cstheme="minorHAnsi"/>
                <w:color w:val="1F1F1F"/>
                <w:sz w:val="16"/>
                <w:szCs w:val="16"/>
              </w:rPr>
              <w:fldChar w:fldCharType="separate"/>
            </w:r>
            <w:r w:rsidR="002633DA" w:rsidRPr="004903FF">
              <w:rPr>
                <w:rFonts w:ascii="Calibri" w:hAnsi="Calibri" w:cs="Calibri"/>
                <w:sz w:val="16"/>
                <w:szCs w:val="24"/>
              </w:rPr>
              <w:t>2,3</w:t>
            </w:r>
            <w:r w:rsidRPr="004903FF">
              <w:rPr>
                <w:rFonts w:eastAsia="Times New Roman" w:cstheme="minorHAnsi"/>
                <w:color w:val="1F1F1F"/>
                <w:sz w:val="16"/>
                <w:szCs w:val="16"/>
              </w:rPr>
              <w:fldChar w:fldCharType="end"/>
            </w:r>
          </w:p>
        </w:tc>
        <w:tc>
          <w:tcPr>
            <w:tcW w:w="1054" w:type="dxa"/>
            <w:tcBorders>
              <w:top w:val="nil"/>
              <w:left w:val="nil"/>
              <w:bottom w:val="single" w:sz="8" w:space="0" w:color="8E8E8E"/>
              <w:right w:val="nil"/>
            </w:tcBorders>
            <w:shd w:val="clear" w:color="auto" w:fill="auto"/>
            <w:hideMark/>
          </w:tcPr>
          <w:p w14:paraId="3DDD8CA9" w14:textId="62C1D84D" w:rsidR="0085383F" w:rsidRPr="004903FF" w:rsidRDefault="002E4271" w:rsidP="0085383F">
            <w:pPr>
              <w:spacing w:after="0" w:line="240" w:lineRule="auto"/>
              <w:rPr>
                <w:rFonts w:eastAsia="Times New Roman" w:cstheme="minorHAnsi"/>
                <w:color w:val="1F1F1F"/>
                <w:sz w:val="16"/>
                <w:szCs w:val="16"/>
              </w:rPr>
            </w:pPr>
            <w:r w:rsidRPr="004903FF">
              <w:rPr>
                <w:rFonts w:eastAsia="Times New Roman" w:cstheme="minorHAnsi"/>
                <w:color w:val="1F1F1F"/>
                <w:sz w:val="16"/>
                <w:szCs w:val="16"/>
              </w:rPr>
              <w:fldChar w:fldCharType="begin"/>
            </w:r>
            <w:r w:rsidRPr="004903FF">
              <w:rPr>
                <w:rFonts w:eastAsia="Times New Roman" w:cstheme="minorHAnsi"/>
                <w:color w:val="1F1F1F"/>
                <w:sz w:val="16"/>
                <w:szCs w:val="16"/>
              </w:rPr>
              <w:instrText xml:space="preserve"> ADDIN ZOTERO_ITEM CSL_CITATION {"citationID":"vQ1IdNo2","properties":{"formattedCitation":"\\super 4,5\\nosupersub{}","plainCitation":"4,5","noteIndex":0},"citationItems":[{"id":99,"uris":["http://zotero.org/users/12181224/items/QH7FPW6X"],"itemData":{"id":99,"type":"article-journal","abstract":"&lt;p&gt;&lt;![CDATA[&lt;p&gt;&lt;strong&gt;Abstract.&lt;/strong&gt; This paper describes GCAM v5.1, an open source model that represents the linkages between energy, water, land, climate, and economic systems. GCAM is a market equilibrium model, is global in scope, and operates from 1990 to 2100 in 5-year time steps. It can be used to examine, for example, how changes in population, income, or technology cost might alter crop production, energy demand, or water withdrawals, or how changes in one region's demand for energy affect energy, water, and land in other regions. This paper describes the model, including its assumptions, inputs, and outputs. We then use 11 scenarios, varying the socioeconomic and climate policy assumptions, to illustrate the results from the model. The resulting scenarios demonstrate a wide range of potential future energy, water, and land uses. We compare the results from GCAM v5.1 to historical data and to future scenario simulations from earlier versions of GCAM and from other models. Finally, we provide information on how to obtain the model.&lt;/p&gt;]]&gt;&lt;/p&gt;","container-title":"Geoscientific Model Development","DOI":"10.5194/gmd-12-677-2019","ISSN":"1991-9603","issue":"2","page":"677–698","title":"GCAM v5.1: representing the linkages between energy, water, land, climate, and economic systems","volume":"12","author":[{"family":"Calvin","given":"Katherine"},{"family":"Patel","given":"Pralit"},{"family":"Clarke","given":"Leon"},{"family":"Asrar","given":"Ghassem"},{"family":"Bond-Lamberty","given":"Ben"},{"family":"Cui","given":"Ryna Yiyun"},{"family":"Di Vittorio","given":"Alan"},{"family":"Dorheim","given":"Kalyn"},{"family":"Edmonds","given":"Jae"},{"family":"Hartin","given":"Corinne"},{"family":"Hejazi","given":"Mohamad"},{"family":"Horowitz","given":"Russell"},{"family":"Iyer","given":"Gokul"},{"family":"Kyle","given":"Page"},{"family":"Kim","given":"Sonny"},{"family":"Link","given":"Robert"},{"family":"McJeon","given":"Haewon"},{"family":"Smith","given":"Steven J."},{"family":"Snyder","given":"Abigail"},{"family":"Waldhoff","given":"Stephanie"},{"family":"Wise","given":"Marshall"}],"issued":{"date-parts":[["2019",2]]}}},{"id":2163,"uris":["http://zotero.org/users/12181224/items/JN44P2NT"],"itemData":{"id":2163,"type":"chapter","abstract":"This chapter illustrates that stabilizing atmospheric concentrations of greenhouse gases requires addressing important emission sources. The cement industry faces several challenges in reducing its CO2 emissions such as: its heavy dependence on fossil fuels, especially high-carbon fossil fuels, its dependence on limestone-based clinker, and the age and efficiency of its capital stock. The industry has several options for reducing cement-related CO2 emissions. Conventional CO2 management approaches are available to address technological and product improvements that can reduce emissions per unit of cement produced, and that to some degree are already being deployed within the industry. Advanced CO2 management approaches include technologies and alternative products that are in an early stage of technical development or acceptance, including carbon dioxide capture and storage (CCS), hybrid cement-energy facilities, and the use of non-cement binders that have lower specific emissions. The present cost curves for the marginal cost of mitigating CO2 emissions through conventional approaches as well as for CCS deployment for the North American cement industry. These cost curves provide insight into the emissions-reduction roles that these different options may fill for the industry over the near and longer terms, based on estimated future demand and possible climate policy emissions reduction targets.","container-title":"Greenhouse Gas Control Technologies 7","event-place":"Oxford","ISBN":"978-0-08-044704-9","note":"DOI: 10.1016/B978-008044704-9/50091-4","page":"901-909","publisher":"Elsevier Science Ltd","publisher-place":"Oxford","source":"ScienceDirect","title":"- The role of carbon dioxide capture and storage in reducing emissions from cement plants in North America","URL":"https://www.sciencedirect.com/science/article/pii/B9780080447049500914","author":[{"family":"Mahasenan","given":"N."},{"family":"Dahowski","given":"R. T."},{"family":"Davidson","given":"C. L."}],"editor":[{"family":"Rubin","given":"E. S."},{"family":"Keith","given":"D. W."},{"family":"Gilboy","given":"C. F."},{"family":"Wilson","given":"M."},{"family":"Morris","given":"T."},{"family":"Gale","given":"J."},{"family":"Thambimuthu","given":"K."}],"accessed":{"date-parts":[["2024",6,6]]},"issued":{"date-parts":[["2005",1,1]]}}}],"schema":"https://github.com/citation-style-language/schema/raw/master/csl-citation.json"} </w:instrText>
            </w:r>
            <w:r w:rsidRPr="004903FF">
              <w:rPr>
                <w:rFonts w:eastAsia="Times New Roman" w:cstheme="minorHAnsi"/>
                <w:color w:val="1F1F1F"/>
                <w:sz w:val="16"/>
                <w:szCs w:val="16"/>
              </w:rPr>
              <w:fldChar w:fldCharType="separate"/>
            </w:r>
            <w:r w:rsidRPr="004903FF">
              <w:rPr>
                <w:rFonts w:ascii="Calibri" w:hAnsi="Calibri" w:cs="Calibri"/>
                <w:sz w:val="16"/>
                <w:szCs w:val="24"/>
              </w:rPr>
              <w:t>4,5</w:t>
            </w:r>
            <w:r w:rsidRPr="004903FF">
              <w:rPr>
                <w:rFonts w:eastAsia="Times New Roman" w:cstheme="minorHAnsi"/>
                <w:color w:val="1F1F1F"/>
                <w:sz w:val="16"/>
                <w:szCs w:val="16"/>
              </w:rPr>
              <w:fldChar w:fldCharType="end"/>
            </w:r>
          </w:p>
          <w:p w14:paraId="1200412A" w14:textId="26DB28EA" w:rsidR="002E4271" w:rsidRPr="0085383F" w:rsidRDefault="002E4271" w:rsidP="0085383F">
            <w:pPr>
              <w:spacing w:after="0" w:line="240" w:lineRule="auto"/>
              <w:rPr>
                <w:rFonts w:eastAsia="Times New Roman" w:cstheme="minorHAnsi"/>
                <w:color w:val="1F1F1F"/>
                <w:sz w:val="16"/>
                <w:szCs w:val="16"/>
              </w:rPr>
            </w:pPr>
          </w:p>
        </w:tc>
        <w:tc>
          <w:tcPr>
            <w:tcW w:w="1106" w:type="dxa"/>
            <w:tcBorders>
              <w:top w:val="nil"/>
              <w:left w:val="nil"/>
              <w:bottom w:val="single" w:sz="8" w:space="0" w:color="8E8E8E"/>
              <w:right w:val="nil"/>
            </w:tcBorders>
            <w:shd w:val="clear" w:color="auto" w:fill="auto"/>
            <w:hideMark/>
          </w:tcPr>
          <w:p w14:paraId="2ED0913F" w14:textId="464CA574" w:rsidR="0085383F" w:rsidRPr="0085383F" w:rsidRDefault="004903FF" w:rsidP="0085383F">
            <w:pPr>
              <w:spacing w:after="0" w:line="240" w:lineRule="auto"/>
              <w:rPr>
                <w:rFonts w:eastAsia="Times New Roman" w:cstheme="minorHAnsi"/>
                <w:color w:val="1F1F1F"/>
                <w:sz w:val="16"/>
                <w:szCs w:val="16"/>
              </w:rPr>
            </w:pPr>
            <w:r w:rsidRPr="005D3DD7">
              <w:rPr>
                <w:rFonts w:eastAsia="Times New Roman" w:cstheme="minorHAnsi"/>
                <w:color w:val="1F1F1F"/>
                <w:sz w:val="16"/>
                <w:szCs w:val="16"/>
              </w:rPr>
              <w:fldChar w:fldCharType="begin"/>
            </w:r>
            <w:r w:rsidRPr="005D3DD7">
              <w:rPr>
                <w:rFonts w:eastAsia="Times New Roman" w:cstheme="minorHAnsi"/>
                <w:color w:val="1F1F1F"/>
                <w:sz w:val="16"/>
                <w:szCs w:val="16"/>
              </w:rPr>
              <w:instrText xml:space="preserve"> ADDIN ZOTERO_ITEM CSL_CITATION {"citationID":"1v5Feuqp","properties":{"formattedCitation":"\\super 6,7\\nosupersub{}","plainCitation":"6,7","noteIndex":0},"citationItems":[{"id":1345,"uris":["http://zotero.org/users/12181224/items/Z3GME8ET"],"itemData":{"id":1345,"type":"article-journal","abstract":"This paper provides a novel assessment of the role of direct air capture of CO2 from ambient air (DAC) on the feasibility of achieving stringent climate stabilization. We use the WITCH energy-economy-climate model to investigate the long term prospects of DAC, implementing a technological specification based on recent estimates by the American Physical Society (APS 2011). Assuming global cooperation on a stringent climate policy we find that: (1) DAC is deployed only late in century, after other low carbon options, though at a very significant scale; (2) DAC has an impact on the marginal and total abatement costs (reducing them) and on the timing of mitigation (postponing it); (3) DAC also allows for a prolonged use of oil, with a positive welfare impact for energy exporting countries. Finally, we assess the role of DAC in a less than ideal climate policy by exploring its potential for engaging energy exporting countries in climate mitigation activities by means of a “clean oil” market in which oil exporters can sell oil decarbonized via DAC.","container-title":"Climatic Change","DOI":"10.1007/s10584-013-0714-7","ISSN":"1573-1480","issue":"1","page":"59-72","title":"Direct air capture of CO2 and climate stabilization: A model based assessment","volume":"118","author":[{"family":"Chen","given":"Chen"},{"family":"Tavoni","given":"Massimo"}],"issued":{"date-parts":[["2013"]]}}},{"id":1377,"uris":["http://zotero.org/users/12181224/items/XZ9UYT2Q"],"itemData":{"id":1377,"type":"article-journal","abstract":"The feasibility of large-scale biological CO2 removal to achieve stringent climate targets remains unclear. Direct Air Carbon Capture and Storage (DACCS) offers an alternative negative emissions technology (NET) option. Here we conduct the first inter-model comparison on the role of DACCS in 1.5 and 2 °C scenarios, under a variety of techno-economic assumptions. Deploying DACCS significantly reduces mitigation costs, and it complements rather than substitutes other NETs. The key factor limiting DACCS deployment is the rate at which it can be scaled up. Our scenarios' average DACCS scale-up rates of 1.5 GtCO2/yr would require considerable sorbent production and up to 300 EJ/yr of energy input by 2100. The risk of assuming that DACCS can be deployed at scale, and finding it to be subsequently unavailable, leads to a global temperature overshoot of up to 0.8 °C. DACCS should therefore be developed and deployed alongside, rather than instead of, other mitigation options.","container-title":"Nature Communications","DOI":"10.1038/s41467-019-10842-5","ISSN":"20411723","issue":"1","note":"publisher: Nature Publishing Group\nPMID: 31332176","title":"An inter-model assessment of the role of direct air capture in deep mitigation pathways","volume":"10","author":[{"family":"Realmonte","given":"Giulia"},{"family":"Drouet","given":"Laurent"},{"family":"Gambhir","given":"Ajay"},{"family":"Glynn","given":"James"},{"family":"Hawkes","given":"Adam"},{"family":"Köberle","given":"Alexandre C."},{"family":"Tavoni","given":"Massimo"}],"issued":{"date-parts":[["2019",12]]}}}],"schema":"https://github.com/citation-style-language/schema/raw/master/csl-citation.json"} </w:instrText>
            </w:r>
            <w:r w:rsidRPr="005D3DD7">
              <w:rPr>
                <w:rFonts w:eastAsia="Times New Roman" w:cstheme="minorHAnsi"/>
                <w:color w:val="1F1F1F"/>
                <w:sz w:val="16"/>
                <w:szCs w:val="16"/>
              </w:rPr>
              <w:fldChar w:fldCharType="separate"/>
            </w:r>
            <w:r w:rsidRPr="005D3DD7">
              <w:rPr>
                <w:rFonts w:ascii="Calibri" w:hAnsi="Calibri" w:cs="Calibri"/>
                <w:sz w:val="16"/>
                <w:szCs w:val="24"/>
              </w:rPr>
              <w:t>6,7</w:t>
            </w:r>
            <w:r w:rsidRPr="005D3DD7">
              <w:rPr>
                <w:rFonts w:eastAsia="Times New Roman" w:cstheme="minorHAnsi"/>
                <w:color w:val="1F1F1F"/>
                <w:sz w:val="16"/>
                <w:szCs w:val="16"/>
              </w:rPr>
              <w:fldChar w:fldCharType="end"/>
            </w:r>
          </w:p>
        </w:tc>
        <w:tc>
          <w:tcPr>
            <w:tcW w:w="1609" w:type="dxa"/>
            <w:tcBorders>
              <w:top w:val="nil"/>
              <w:left w:val="nil"/>
              <w:bottom w:val="single" w:sz="8" w:space="0" w:color="8E8E8E"/>
              <w:right w:val="nil"/>
            </w:tcBorders>
            <w:shd w:val="clear" w:color="auto" w:fill="auto"/>
            <w:hideMark/>
          </w:tcPr>
          <w:p w14:paraId="1260DF14" w14:textId="2D9687D1" w:rsidR="0085383F" w:rsidRPr="0085383F" w:rsidRDefault="00DA1A88" w:rsidP="0085383F">
            <w:pPr>
              <w:spacing w:after="0" w:line="240" w:lineRule="auto"/>
              <w:rPr>
                <w:rFonts w:eastAsia="Times New Roman" w:cstheme="minorHAnsi"/>
                <w:color w:val="0563C1"/>
                <w:sz w:val="16"/>
                <w:szCs w:val="16"/>
              </w:rPr>
            </w:pPr>
            <w:r w:rsidRPr="005D3DD7">
              <w:rPr>
                <w:rFonts w:eastAsia="Times New Roman" w:cstheme="minorHAnsi"/>
                <w:color w:val="0563C1"/>
                <w:sz w:val="16"/>
                <w:szCs w:val="16"/>
              </w:rPr>
              <w:fldChar w:fldCharType="begin"/>
            </w:r>
            <w:r w:rsidRPr="005D3DD7">
              <w:rPr>
                <w:rFonts w:eastAsia="Times New Roman" w:cstheme="minorHAnsi"/>
                <w:color w:val="0563C1"/>
                <w:sz w:val="16"/>
                <w:szCs w:val="16"/>
              </w:rPr>
              <w:instrText xml:space="preserve"> ADDIN ZOTERO_ITEM CSL_CITATION {"citationID":"9AIxNRwm","properties":{"formattedCitation":"\\super 8\\nosupersub{}","plainCitation":"8","noteIndex":0},"citationItems":[{"id":2165,"uris":["http://zotero.org/users/12181224/items/3GUEAY3T"],"itemData":{"id":2165,"type":"webpage","title":"AIM/CGE V2.0: Basic Feature of the Model | SpringerLink","URL":"https://link.springer.com/chapter/10.1007/978-981-10-3869-3_13","accessed":{"date-parts":[["2024",6,6]]}}}],"schema":"https://github.com/citation-style-language/schema/raw/master/csl-citation.json"} </w:instrText>
            </w:r>
            <w:r w:rsidRPr="005D3DD7">
              <w:rPr>
                <w:rFonts w:eastAsia="Times New Roman" w:cstheme="minorHAnsi"/>
                <w:color w:val="0563C1"/>
                <w:sz w:val="16"/>
                <w:szCs w:val="16"/>
              </w:rPr>
              <w:fldChar w:fldCharType="separate"/>
            </w:r>
            <w:r w:rsidRPr="005D3DD7">
              <w:rPr>
                <w:rFonts w:ascii="Calibri" w:hAnsi="Calibri" w:cs="Calibri"/>
                <w:sz w:val="16"/>
                <w:szCs w:val="24"/>
              </w:rPr>
              <w:t>8</w:t>
            </w:r>
            <w:r w:rsidRPr="005D3DD7">
              <w:rPr>
                <w:rFonts w:eastAsia="Times New Roman" w:cstheme="minorHAnsi"/>
                <w:color w:val="0563C1"/>
                <w:sz w:val="16"/>
                <w:szCs w:val="16"/>
              </w:rPr>
              <w:fldChar w:fldCharType="end"/>
            </w:r>
          </w:p>
        </w:tc>
        <w:tc>
          <w:tcPr>
            <w:tcW w:w="1631" w:type="dxa"/>
            <w:tcBorders>
              <w:top w:val="nil"/>
              <w:left w:val="nil"/>
              <w:bottom w:val="single" w:sz="8" w:space="0" w:color="8E8E8E"/>
              <w:right w:val="nil"/>
            </w:tcBorders>
            <w:shd w:val="clear" w:color="auto" w:fill="auto"/>
            <w:hideMark/>
          </w:tcPr>
          <w:p w14:paraId="295AB6CB" w14:textId="27813C5E" w:rsidR="0085383F" w:rsidRPr="0085383F" w:rsidRDefault="00E972BD" w:rsidP="0085383F">
            <w:pPr>
              <w:spacing w:after="0" w:line="240" w:lineRule="auto"/>
              <w:rPr>
                <w:rFonts w:eastAsia="Times New Roman" w:cstheme="minorHAnsi"/>
                <w:color w:val="1F1F1F"/>
                <w:sz w:val="16"/>
                <w:szCs w:val="16"/>
              </w:rPr>
            </w:pPr>
            <w:r w:rsidRPr="005D3DD7">
              <w:rPr>
                <w:rFonts w:eastAsia="Times New Roman" w:cstheme="minorHAnsi"/>
                <w:color w:val="1F1F1F"/>
                <w:sz w:val="16"/>
                <w:szCs w:val="16"/>
              </w:rPr>
              <w:fldChar w:fldCharType="begin"/>
            </w:r>
            <w:r w:rsidR="005C2FF1" w:rsidRPr="005D3DD7">
              <w:rPr>
                <w:rFonts w:eastAsia="Times New Roman" w:cstheme="minorHAnsi"/>
                <w:color w:val="1F1F1F"/>
                <w:sz w:val="16"/>
                <w:szCs w:val="16"/>
              </w:rPr>
              <w:instrText xml:space="preserve"> ADDIN ZOTERO_ITEM CSL_CITATION {"citationID":"0WKQEPRW","properties":{"formattedCitation":"\\super 9\\uc0\\u8211{}11\\nosupersub{}","plainCitation":"9–11","noteIndex":0},"citationItems":[{"id":2172,"uris":["http://zotero.org/users/12181224/items/EAZPSZQT"],"itemData":{"id":2172,"type":"article-journal","source":"ResearchGate","title":"Global Carbon Dioxide Storage Potential and Costs","author":[{"family":"Hendriks","given":"Chris"},{"family":"Crijns-Graus","given":"Wina"},{"family":"Bergen","given":"Frank"}],"issued":{"date-parts":[["2004",5,7]]}}},{"id":2180,"uris":["http://zotero.org/users/12181224/items/585647PS"],"itemData":{"id":2180,"type":"article-journal","abstract":"Abstract\n            \n              Integrated assessment models (IAMs) form a prime tool in informing about climate mitigation strategies. Diagnostic indicators that allow comparison across these models can help describe and explain differences in model projections. This increases transparency and comparability. Earlier, the IAM community has developed an approach to diagnose models (Kriegler (2015\n              Technol. Forecast. Soc. Change\n              90\n              45–61)). Here we build on this, by proposing a selected set of well-defined indicators as a community standard, to systematically and routinely assess IAM behaviour, similar to metrics used for other modeling communities such as climate models. These indicators are the relative abatement index, emission reduction type index, inertia timescale, fossil fuel reduction, transformation index and cost per abatement value. We apply the approach to 17 IAMs, assessing both older as well as their latest versions, as applied in the IPCC 6th Assessment Report. The study shows that the approach can be easily applied and used to indentify key differences between models and model versions. Moreover, we demonstrate that this comparison helps to link model behavior to model characteristics and assumptions. We show that together, the set of six indicators can provide useful indication of the main traits of the model and can roughly indicate the general model behavior. The results also show that there is often a considerable spread across the models. Interestingly, the diagnostic values often change for different model versions, but there does not seem to be a distinct trend.","container-title":"Environmental Research Letters","DOI":"10.1088/1748-9326/abf964","ISSN":"1748-9326","issue":"5","journalAbbreviation":"Environ. Res. Lett.","page":"054046","source":"DOI.org (Crossref)","title":"Integrated assessment model diagnostics: key indicators and model evolution","title-short":"Integrated assessment model diagnostics","volume":"16","author":[{"family":"Harmsen","given":"Mathijs"},{"family":"Kriegler","given":"Elmar"},{"family":"Van Vuuren","given":"Detlef P"},{"family":"Van Der Wijst","given":"Kaj-Ivar"},{"family":"Luderer","given":"Gunnar"},{"family":"Cui","given":"Ryna"},{"family":"Dessens","given":"Olivier"},{"family":"Drouet","given":"Laurent"},{"family":"Emmerling","given":"Johannes"},{"family":"Morris","given":"Jennifer Faye"},{"family":"Fosse","given":"Florian"},{"family":"Fragkiadakis","given":"Dimitris"},{"family":"Fragkiadakis","given":"Kostas"},{"family":"Fragkos","given":"Panagiotis"},{"family":"Fricko","given":"Oliver"},{"family":"Fujimori","given":"Shinichiro"},{"family":"Gernaat","given":"David"},{"family":"Guivarch","given":"Céline"},{"family":"Iyer","given":"Gokul"},{"family":"Karkatsoulis","given":"Panagiotis"},{"family":"Keppo","given":"Ilkka"},{"family":"Keramidas","given":"Kimon"},{"family":"Köberle","given":"Alexandre"},{"family":"Kolp","given":"Peter"},{"family":"Krey","given":"Volker"},{"family":"Krüger","given":"Christoph"},{"family":"Leblanc","given":"Florian"},{"family":"Mittal","given":"Shivika"},{"family":"Paltsev","given":"Sergey"},{"family":"Rochedo","given":"Pedro"},{"family":"Van Ruijven","given":"Bas J"},{"family":"Sands","given":"Ronald D"},{"family":"Sano","given":"Fuminori"},{"family":"Strefler","given":"Jessica"},{"family":"Arroyo","given":"Eveline Vasquez"},{"family":"Wada","given":"Kenichi"},{"family":"Zakeri","given":"Behnam"}],"issued":{"date-parts":[["2021",5,1]]}}},{"id":2168,"uris":["http://zotero.org/users/12181224/items/YE723HIL"],"itemData":{"id":2168,"type":"article-journal","container-title":"Technological Forecasting and Social Change","DOI":"10.1016/j.techfore.2013.09.020","ISSN":"00401625","journalAbbreviation":"Technological Forecasting and Social Change","language":"en","page":"45-61","source":"DOI.org (Crossref)","title":"Diagnostic indicators for integrated assessment models of climate policy","volume":"90","author":[{"family":"Kriegler","given":"Elmar"},{"family":"Petermann","given":"Nils"},{"family":"Krey","given":"Volker"},{"family":"Schwanitz","given":"Valeria Jana"},{"family":"Luderer","given":"Gunnar"},{"family":"Ashina","given":"Shuichi"},{"family":"Bosetti","given":"Valentina"},{"family":"Eom","given":"Jiyong"},{"family":"Kitous","given":"Alban"},{"family":"Méjean","given":"Aurélie"},{"family":"Paroussos","given":"Leonidas"},{"family":"Sano","given":"Fuminori"},{"family":"Turton","given":"Hal"},{"family":"Wilson","given":"Charlie"},{"family":"Van Vuuren","given":"Detlef P."}],"issued":{"date-parts":[["2015",1]]}}}],"schema":"https://github.com/citation-style-language/schema/raw/master/csl-citation.json"} </w:instrText>
            </w:r>
            <w:r w:rsidRPr="005D3DD7">
              <w:rPr>
                <w:rFonts w:eastAsia="Times New Roman" w:cstheme="minorHAnsi"/>
                <w:color w:val="1F1F1F"/>
                <w:sz w:val="16"/>
                <w:szCs w:val="16"/>
              </w:rPr>
              <w:fldChar w:fldCharType="separate"/>
            </w:r>
            <w:r w:rsidR="005C2FF1" w:rsidRPr="005D3DD7">
              <w:rPr>
                <w:rFonts w:ascii="Calibri" w:hAnsi="Calibri" w:cs="Calibri"/>
                <w:sz w:val="16"/>
                <w:szCs w:val="24"/>
              </w:rPr>
              <w:t>9–11</w:t>
            </w:r>
            <w:r w:rsidRPr="005D3DD7">
              <w:rPr>
                <w:rFonts w:eastAsia="Times New Roman" w:cstheme="minorHAnsi"/>
                <w:color w:val="1F1F1F"/>
                <w:sz w:val="16"/>
                <w:szCs w:val="16"/>
              </w:rPr>
              <w:fldChar w:fldCharType="end"/>
            </w:r>
          </w:p>
        </w:tc>
        <w:tc>
          <w:tcPr>
            <w:tcW w:w="1350" w:type="dxa"/>
            <w:tcBorders>
              <w:top w:val="nil"/>
              <w:left w:val="nil"/>
              <w:bottom w:val="single" w:sz="8" w:space="0" w:color="8E8E8E"/>
              <w:right w:val="nil"/>
            </w:tcBorders>
            <w:shd w:val="clear" w:color="auto" w:fill="auto"/>
            <w:hideMark/>
          </w:tcPr>
          <w:p w14:paraId="182349E3" w14:textId="2020408E" w:rsidR="0085383F" w:rsidRPr="0085383F" w:rsidRDefault="005D3DD7" w:rsidP="0085383F">
            <w:pPr>
              <w:spacing w:after="0" w:line="240" w:lineRule="auto"/>
              <w:rPr>
                <w:rFonts w:eastAsia="Times New Roman" w:cstheme="minorHAnsi"/>
                <w:color w:val="1F1F1F"/>
                <w:sz w:val="16"/>
                <w:szCs w:val="16"/>
              </w:rPr>
            </w:pPr>
            <w:r w:rsidRPr="00350E55">
              <w:rPr>
                <w:rFonts w:eastAsia="Times New Roman" w:cstheme="minorHAnsi"/>
                <w:color w:val="1F1F1F"/>
                <w:sz w:val="16"/>
                <w:szCs w:val="16"/>
              </w:rPr>
              <w:fldChar w:fldCharType="begin"/>
            </w:r>
            <w:r w:rsidR="00F75AC4" w:rsidRPr="00350E55">
              <w:rPr>
                <w:rFonts w:eastAsia="Times New Roman" w:cstheme="minorHAnsi"/>
                <w:color w:val="1F1F1F"/>
                <w:sz w:val="16"/>
                <w:szCs w:val="16"/>
              </w:rPr>
              <w:instrText xml:space="preserve"> ADDIN ZOTERO_ITEM CSL_CITATION {"citationID":"v4zvi81m","properties":{"formattedCitation":"\\super 12\\uc0\\u8211{}14\\nosupersub{}","plainCitation":"12–14","noteIndex":0},"citationItems":[{"id":1106,"uris":["http://zotero.org/users/12181224/items/N96HMWFV"],"itemData":{"id":1106,"type":"article-journal","abstract":"Studies of global environmental change make extensive use of scenarios to explore how the future can evolve under a consistent set of assumptions. The recently developed Shared Socioeconomic Pathways (SSPs) create a framework for the study of climate-related scenario outcomes. Their five narratives span a wide range of worlds that vary in their challenges for climate change mitigation and adaptation. Here we provide background on the quantification that has been selected to serve as the reference, or ‘marker', implementation for SSP2. The SSP2 narrative describes a middle-of-the-road development in the mitigation and adaptation challenges space. We explain how the narrative has been translated into quantitative assumptions in the IIASA Integrated Assessment Modelling Framework. We show that our SSP2 marker implementation occupies a central position for key metrics along the mitigation and adaptation challenge dimensions. For many dimensions the SSP2 marker implementation also reflects an extension of the historical experience, particularly in terms of carbon and energy intensity improvements in its baseline. This leads to a steady emissions increase over the 21st century, with projected end-of-century warming nearing 4 °C relative to preindustrial levels. On the other hand, SSP2 also shows that global-mean temperature increase can be limited to below 2 °C, pending stringent climate policies throughout the world. The added value of the SSP2 marker implementation for the wider scientific community is that it can serve as a starting point to further explore integrated solutions for achieving multiple societal objectives in light of the climate adaptation and mitigation challenges that society could face over the 21st century.","container-title":"Global Environmental Change","DOI":"10.1016/j.gloenvcha.2016.06.004","ISSN":"09593780","note":"publisher: Elsevier Ltd","page":"251–267","title":"The marker quantification of the Shared Socioeconomic Pathway 2: A middle-of-the-road scenario for the 21st century","volume":"42","author":[{"family":"Fricko","given":"Oliver"},{"family":"Havlik","given":"Petr"},{"family":"Rogelj","given":"Joeri"},{"family":"Klimont","given":"Zbigniew"},{"family":"Gusti","given":"Mykola"},{"family":"Johnson","given":"Nils"},{"family":"Kolp","given":"Peter"},{"family":"Strubegger","given":"Manfred"},{"family":"Valin","given":"Hugo"},{"family":"Amann","given":"Markus"},{"family":"Ermolieva","given":"Tatiana"},{"family":"Forsell","given":"Nicklas"},{"family":"Herrero","given":"Mario"},{"family":"Heyes","given":"Chris"},{"family":"Kindermann","given":"Georg"},{"family":"Krey","given":"Volker"},{"family":"McCollum","given":"David L."},{"family":"Obersteiner","given":"Michael"},{"family":"Pachauri","given":"Shonali"},{"family":"Rao","given":"Shilpa"},{"family":"Schmid","given":"Erwin"},{"family":"Schoepp","given":"Wolfgang"},{"family":"Riahi","given":"Keywan"}],"issued":{"date-parts":[["2017"]]}}},{"id":2183,"uris":["http://zotero.org/users/12181224/items/3SC22E6T"],"itemData":{"id":2183,"type":"article-journal","abstract":"The MESSAGE Integrated Assessment Model (IAM) developed by IIASA has been a central tool of energy-environment-economy systems analysis in the global scientific and policy arena. It played a major role in the Assessment Reports of the Intergovernmental Panel on Climate Change (IPCC); it provided marker scenarios of the Representative Concentration Pathways (RCPs) and the Shared Socio-Economic Pathways (SSPs); and it underpinned the analysis of the Global Energy Assessment (GEA). Alas, to provide relevant analysis for current and future challenges, numerical models of human and earth systems need to support higher spatial and temporal resolution, facilitate integration of data sources and methodologies across disciplines, and become open and transparent regarding the underlying data, methods, and the scientific workflow. In this manuscript, we present the building blocks of a new framework for an integrated assessment modeling platform; the “ecosystem” comprises: i) an open-source GAMS implementation of the MESSAGE energy++ system model integrated with the MACRO economic model; ii) a Java/database back-end for version-controlled data management, iii) interfaces for the scientific programming languages Python &amp; R for efficient input data and results processing workflows; and iv) a web-browser-based user interface for model/scenario management and intuitive “drag-and-drop” visualization of results. The framework aims to facilitate the highest level of openness for scientific analysis, bridging the need for transparency with efficient data processing and powerful numerical solvers. The platform is geared towards easy integration of data sources and models across disciplines, spatial scales and temporal disaggregation levels. All tools apply best-practice in collaborative software development, and comprehensive documentation of all building blocks and scripts is generated directly from the GAMS equations and the Java/Python/R source code.","container-title":"Environmental Modelling &amp; Software","DOI":"10.1016/j.envsoft.2018.11.012","ISSN":"1364-8152","journalAbbreviation":"Environmental Modelling &amp; Software","page":"143-156","source":"ScienceDirect","title":"The MESSAGEix Integrated Assessment Model and the &lt;i&gt;ix modeling platform&lt;/i&gt; (ixmp): An open framework for integrated and cross-cutting analysis of energy, climate, the environment, and sustainable development","title-short":"The MESSAGEix Integrated Assessment Model and the &lt;i&gt;ix modeling platform&lt;/i&gt; (ixmp)","volume":"112","author":[{"family":"Huppmann","given":"Daniel"},{"family":"Gidden","given":"Matthew"},{"family":"Fricko","given":"Oliver"},{"family":"Kolp","given":"Peter"},{"family":"Orthofer","given":"Clara"},{"family":"Pimmer","given":"Michael"},{"family":"Kushin","given":"Nikolay"},{"family":"Vinca","given":"Adriano"},{"family":"Mastrucci","given":"Alessio"},{"family":"Riahi","given":"Keywan"},{"family":"Krey","given":"Volker"}],"issued":{"date-parts":[["2019",2,1]]}}},{"id":2185,"uris":["http://zotero.org/users/12181224/items/NZBPZINK"],"itemData":{"id":2185,"type":"webpage","title":"MESSAGEix-GLOBIOM Documentation - 2020 release","URL":"https://pure.iiasa.ac.at/id/eprint/17115/","author":[{"family":"Krey","given":"V"},{"family":"Havlik","given":"P"},{"family":"Kishimoto","given":"P"},{"family":"Fricko","given":"O"},{"family":"Zilliacus","given":"J"},{"family":"Gidden","given":"M"},{"family":"Strubegger","given":"M"},{"family":"Kartasasmita","given":"G."}],"accessed":{"date-parts":[["2024",6,6]]},"issued":{"date-parts":[["2020"]]}}}],"schema":"https://github.com/citation-style-language/schema/raw/master/csl-citation.json"} </w:instrText>
            </w:r>
            <w:r w:rsidRPr="00350E55">
              <w:rPr>
                <w:rFonts w:eastAsia="Times New Roman" w:cstheme="minorHAnsi"/>
                <w:color w:val="1F1F1F"/>
                <w:sz w:val="16"/>
                <w:szCs w:val="16"/>
              </w:rPr>
              <w:fldChar w:fldCharType="separate"/>
            </w:r>
            <w:r w:rsidR="00F75AC4" w:rsidRPr="00350E55">
              <w:rPr>
                <w:rFonts w:ascii="Calibri" w:hAnsi="Calibri" w:cs="Calibri"/>
                <w:sz w:val="16"/>
                <w:szCs w:val="24"/>
              </w:rPr>
              <w:t>12–14</w:t>
            </w:r>
            <w:r w:rsidRPr="00350E55">
              <w:rPr>
                <w:rFonts w:eastAsia="Times New Roman" w:cstheme="minorHAnsi"/>
                <w:color w:val="1F1F1F"/>
                <w:sz w:val="16"/>
                <w:szCs w:val="16"/>
              </w:rPr>
              <w:fldChar w:fldCharType="end"/>
            </w:r>
          </w:p>
        </w:tc>
      </w:tr>
    </w:tbl>
    <w:p w14:paraId="7864693E" w14:textId="77777777" w:rsidR="007347B3" w:rsidRDefault="007347B3" w:rsidP="007347B3">
      <w:pPr>
        <w:pStyle w:val="NoSpacing"/>
      </w:pPr>
    </w:p>
    <w:p w14:paraId="36590DD6" w14:textId="77777777" w:rsidR="007347B3" w:rsidRDefault="007347B3" w:rsidP="007347B3">
      <w:pPr>
        <w:pStyle w:val="NoSpacing"/>
      </w:pPr>
    </w:p>
    <w:p w14:paraId="3E7116C5" w14:textId="77777777" w:rsidR="007347B3" w:rsidRDefault="007347B3" w:rsidP="007347B3">
      <w:pPr>
        <w:pStyle w:val="NoSpacing"/>
      </w:pPr>
    </w:p>
    <w:p w14:paraId="79B9DD21" w14:textId="3D016B58" w:rsidR="00C81AF0" w:rsidRDefault="00814512" w:rsidP="00207456">
      <w:pPr>
        <w:pStyle w:val="NoSpacing"/>
        <w:jc w:val="both"/>
      </w:pPr>
      <w:r>
        <w:t xml:space="preserve">Supplementary Figure 1 is a conceptual diagram </w:t>
      </w:r>
      <w:r w:rsidR="00FB5BCF">
        <w:t xml:space="preserve">for the dynamic (rate-constrained) supply curves for CCS developed for this work. The </w:t>
      </w:r>
      <w:r w:rsidR="00E82EF3">
        <w:t xml:space="preserve">dynamic supply curves </w:t>
      </w:r>
      <w:r w:rsidR="00C67870">
        <w:t xml:space="preserve">(orange lines) </w:t>
      </w:r>
      <w:r w:rsidR="00E82EF3">
        <w:t>are consumed along with the cumulative storage curves</w:t>
      </w:r>
      <w:r w:rsidR="00C67870">
        <w:t xml:space="preserve"> (brown lines)</w:t>
      </w:r>
      <w:r w:rsidR="00E82EF3">
        <w:t xml:space="preserve"> and serve to </w:t>
      </w:r>
      <w:r w:rsidR="00CC6E17">
        <w:t xml:space="preserve">limit the amount of </w:t>
      </w:r>
      <w:r w:rsidR="003E2861">
        <w:t>carbon capture and storage (</w:t>
      </w:r>
      <w:r w:rsidR="00CC6E17">
        <w:t>CCS</w:t>
      </w:r>
      <w:r w:rsidR="003E2861">
        <w:t>)</w:t>
      </w:r>
      <w:r w:rsidR="00CC6E17">
        <w:t xml:space="preserve"> that can take place in any given year. </w:t>
      </w:r>
      <w:r w:rsidR="007347B3">
        <w:t>The</w:t>
      </w:r>
      <w:r w:rsidR="005E168C">
        <w:t>se</w:t>
      </w:r>
      <w:r w:rsidR="007347B3">
        <w:t xml:space="preserve"> dynami</w:t>
      </w:r>
      <w:r w:rsidR="00F5135E">
        <w:t xml:space="preserve">c curves can be scaled along the </w:t>
      </w:r>
      <w:r w:rsidR="000316EF">
        <w:t xml:space="preserve">abscissa </w:t>
      </w:r>
      <w:r w:rsidR="005E168C">
        <w:t>(</w:t>
      </w:r>
      <w:r w:rsidR="00BD6BA6">
        <w:t xml:space="preserve">storage </w:t>
      </w:r>
      <w:r w:rsidR="005E168C">
        <w:t>quantity) axis using an efficiency parameter to further constrict or relax the rate constraint</w:t>
      </w:r>
      <w:r w:rsidR="00BD6BA6">
        <w:t xml:space="preserve"> over time</w:t>
      </w:r>
      <w:r w:rsidR="004468E0">
        <w:t>.</w:t>
      </w:r>
    </w:p>
    <w:p w14:paraId="34E79095" w14:textId="77777777" w:rsidR="00C81AF0" w:rsidRDefault="00C81AF0" w:rsidP="009C7016">
      <w:pPr>
        <w:keepNext/>
      </w:pPr>
    </w:p>
    <w:p w14:paraId="142291FE" w14:textId="63FB25D7" w:rsidR="009C7016" w:rsidRDefault="009C7016" w:rsidP="009C7016">
      <w:pPr>
        <w:keepNext/>
      </w:pPr>
      <w:r w:rsidRPr="009C7016">
        <w:rPr>
          <w:noProof/>
        </w:rPr>
        <w:drawing>
          <wp:inline distT="0" distB="0" distL="0" distR="0" wp14:anchorId="08040616" wp14:editId="10DCD25F">
            <wp:extent cx="5486411" cy="3657607"/>
            <wp:effectExtent l="0" t="0" r="0" b="0"/>
            <wp:docPr id="6" name="Content Placeholder 7">
              <a:extLst xmlns:a="http://schemas.openxmlformats.org/drawingml/2006/main">
                <a:ext uri="{FF2B5EF4-FFF2-40B4-BE49-F238E27FC236}">
                  <a16:creationId xmlns:a16="http://schemas.microsoft.com/office/drawing/2014/main" id="{5805306E-A601-14BB-01F8-BAD5ECA1B80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7">
                      <a:extLst>
                        <a:ext uri="{FF2B5EF4-FFF2-40B4-BE49-F238E27FC236}">
                          <a16:creationId xmlns:a16="http://schemas.microsoft.com/office/drawing/2014/main" id="{5805306E-A601-14BB-01F8-BAD5ECA1B801}"/>
                        </a:ext>
                      </a:extLst>
                    </pic:cNvPr>
                    <pic:cNvPicPr>
                      <a:picLocks noGrp="1" noChangeAspect="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5486411" cy="3657607"/>
                    </a:xfrm>
                    <a:prstGeom prst="rect">
                      <a:avLst/>
                    </a:prstGeom>
                    <a:noFill/>
                    <a:ln>
                      <a:noFill/>
                    </a:ln>
                  </pic:spPr>
                </pic:pic>
              </a:graphicData>
            </a:graphic>
          </wp:inline>
        </w:drawing>
      </w:r>
    </w:p>
    <w:p w14:paraId="01A45B55" w14:textId="5D66A1D1" w:rsidR="009C7016" w:rsidRDefault="009C7016" w:rsidP="009C7016">
      <w:pPr>
        <w:pStyle w:val="Caption"/>
      </w:pPr>
      <w:bookmarkStart w:id="2" w:name="_Toc170382198"/>
      <w:r>
        <w:t xml:space="preserve">Figure </w:t>
      </w:r>
      <w:fldSimple w:instr=" SEQ Figure \* ARABIC ">
        <w:r w:rsidR="00FC3A8E">
          <w:rPr>
            <w:noProof/>
          </w:rPr>
          <w:t>1</w:t>
        </w:r>
      </w:fldSimple>
      <w:r>
        <w:t>: Conceptual diagram</w:t>
      </w:r>
      <w:r w:rsidR="00CC6E17">
        <w:t xml:space="preserve"> (not-to-scale)</w:t>
      </w:r>
      <w:r w:rsidR="00207456">
        <w:t>.</w:t>
      </w:r>
      <w:bookmarkEnd w:id="2"/>
    </w:p>
    <w:p w14:paraId="7B85845B" w14:textId="77777777" w:rsidR="00337393" w:rsidRDefault="00337393" w:rsidP="00337393"/>
    <w:p w14:paraId="6F283A93" w14:textId="77777777" w:rsidR="00337393" w:rsidRDefault="00337393" w:rsidP="00337393"/>
    <w:p w14:paraId="669A604C" w14:textId="77777777" w:rsidR="00337393" w:rsidRDefault="00337393" w:rsidP="00337393"/>
    <w:p w14:paraId="3574066A" w14:textId="77777777" w:rsidR="00337393" w:rsidRDefault="00337393" w:rsidP="00337393"/>
    <w:p w14:paraId="5A44A885" w14:textId="77777777" w:rsidR="00E14F79" w:rsidRDefault="00E14F79" w:rsidP="00E14F79"/>
    <w:p w14:paraId="51107FFD" w14:textId="77777777" w:rsidR="00337393" w:rsidRDefault="00337393" w:rsidP="00337393"/>
    <w:p w14:paraId="1BB314DF" w14:textId="77777777" w:rsidR="00337393" w:rsidRDefault="00337393" w:rsidP="00337393"/>
    <w:p w14:paraId="3611E2CF" w14:textId="77777777" w:rsidR="00337393" w:rsidRDefault="00337393" w:rsidP="00337393"/>
    <w:p w14:paraId="3EC11710" w14:textId="77777777" w:rsidR="00337393" w:rsidRDefault="00337393" w:rsidP="00337393"/>
    <w:p w14:paraId="2CABCC5B" w14:textId="77777777" w:rsidR="00337393" w:rsidRDefault="00337393" w:rsidP="00337393"/>
    <w:p w14:paraId="7A575388" w14:textId="77777777" w:rsidR="00337393" w:rsidRDefault="00337393" w:rsidP="00337393"/>
    <w:p w14:paraId="206530EA" w14:textId="77777777" w:rsidR="00760E08" w:rsidRDefault="00760E08" w:rsidP="00337393"/>
    <w:p w14:paraId="0A3FDF03" w14:textId="77777777" w:rsidR="00760E08" w:rsidRDefault="00760E08" w:rsidP="00337393"/>
    <w:p w14:paraId="5D370937" w14:textId="316061D1" w:rsidR="00337393" w:rsidRPr="00337393" w:rsidRDefault="00337393" w:rsidP="00207456">
      <w:pPr>
        <w:jc w:val="both"/>
      </w:pPr>
      <w:r>
        <w:lastRenderedPageBreak/>
        <w:t>Supplementary Figure</w:t>
      </w:r>
      <w:r w:rsidR="00265B1F">
        <w:t>s 2 and 3 report CO</w:t>
      </w:r>
      <w:r w:rsidR="00265B1F" w:rsidRPr="00207456">
        <w:rPr>
          <w:vertAlign w:val="subscript"/>
        </w:rPr>
        <w:t>2</w:t>
      </w:r>
      <w:r w:rsidR="00265B1F">
        <w:t xml:space="preserve"> emissions with and without land-use change emissions included</w:t>
      </w:r>
      <w:r w:rsidR="00760E08">
        <w:t xml:space="preserve"> for all scenarios in this study</w:t>
      </w:r>
      <w:r w:rsidR="00265B1F">
        <w:t xml:space="preserve">.  </w:t>
      </w:r>
    </w:p>
    <w:p w14:paraId="3B94E043" w14:textId="648BC3AE" w:rsidR="008B6078" w:rsidRDefault="004B2C7F" w:rsidP="008B6078">
      <w:pPr>
        <w:keepNext/>
      </w:pPr>
      <w:r>
        <w:rPr>
          <w:noProof/>
        </w:rPr>
        <w:drawing>
          <wp:inline distT="0" distB="0" distL="0" distR="0" wp14:anchorId="60DEDD39" wp14:editId="1828CCD5">
            <wp:extent cx="5943600" cy="5943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596C3172" w14:textId="54500FED" w:rsidR="008B6078" w:rsidRDefault="008B6078" w:rsidP="008B6078">
      <w:pPr>
        <w:pStyle w:val="Caption"/>
      </w:pPr>
      <w:bookmarkStart w:id="3" w:name="_Toc170382199"/>
      <w:r>
        <w:t xml:space="preserve">Figure </w:t>
      </w:r>
      <w:fldSimple w:instr=" SEQ Figure \* ARABIC ">
        <w:r w:rsidR="00FC3A8E">
          <w:rPr>
            <w:noProof/>
          </w:rPr>
          <w:t>2</w:t>
        </w:r>
      </w:fldSimple>
      <w:r>
        <w:t>: Fossil and Industrial CO</w:t>
      </w:r>
      <w:r w:rsidRPr="00207456">
        <w:rPr>
          <w:vertAlign w:val="subscript"/>
        </w:rPr>
        <w:t>2</w:t>
      </w:r>
      <w:r>
        <w:t xml:space="preserve"> emissions for all scenarios (excluding land-use change CO</w:t>
      </w:r>
      <w:r w:rsidRPr="00207456">
        <w:rPr>
          <w:vertAlign w:val="subscript"/>
        </w:rPr>
        <w:t>2</w:t>
      </w:r>
      <w:r>
        <w:t xml:space="preserve"> emissions). The 1.5 </w:t>
      </w:r>
      <w:r w:rsidR="00207456" w:rsidRPr="00A14399">
        <w:t>°</w:t>
      </w:r>
      <w:r>
        <w:t>C scenario with slow CCS growth was infeasible; all other blank subplots were not run as scenarios.</w:t>
      </w:r>
      <w:bookmarkEnd w:id="3"/>
      <w:r>
        <w:t xml:space="preserve">  </w:t>
      </w:r>
    </w:p>
    <w:p w14:paraId="26B1CAB7" w14:textId="7757023A" w:rsidR="008B6078" w:rsidRDefault="004B2C7F" w:rsidP="008B6078">
      <w:r>
        <w:rPr>
          <w:noProof/>
        </w:rPr>
        <w:lastRenderedPageBreak/>
        <w:drawing>
          <wp:inline distT="0" distB="0" distL="0" distR="0" wp14:anchorId="0501A4AD" wp14:editId="5FFD6C18">
            <wp:extent cx="5943600" cy="5943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0DBAA254" w14:textId="6261976D" w:rsidR="008B6078" w:rsidRDefault="008B6078" w:rsidP="008B6078">
      <w:pPr>
        <w:keepNext/>
      </w:pPr>
    </w:p>
    <w:p w14:paraId="4BF22DCE" w14:textId="71308354" w:rsidR="008B6078" w:rsidRDefault="008B6078" w:rsidP="008B6078">
      <w:pPr>
        <w:pStyle w:val="Caption"/>
      </w:pPr>
      <w:bookmarkStart w:id="4" w:name="_Toc170382200"/>
      <w:r>
        <w:t xml:space="preserve">Figure </w:t>
      </w:r>
      <w:fldSimple w:instr=" SEQ Figure \* ARABIC ">
        <w:r w:rsidR="00FC3A8E">
          <w:rPr>
            <w:noProof/>
          </w:rPr>
          <w:t>3</w:t>
        </w:r>
      </w:fldSimple>
      <w:r>
        <w:t>: CO</w:t>
      </w:r>
      <w:r w:rsidRPr="00207456">
        <w:rPr>
          <w:vertAlign w:val="subscript"/>
        </w:rPr>
        <w:t>2</w:t>
      </w:r>
      <w:r>
        <w:t xml:space="preserve"> emissions by sector including land-use change</w:t>
      </w:r>
      <w:r>
        <w:rPr>
          <w:noProof/>
        </w:rPr>
        <w:t xml:space="preserve"> for all scenarios. </w:t>
      </w:r>
      <w:r>
        <w:t xml:space="preserve">The 1.5 </w:t>
      </w:r>
      <w:r w:rsidR="00207456" w:rsidRPr="00A14399">
        <w:t>°</w:t>
      </w:r>
      <w:r>
        <w:t>C scenario with slow CCS growth was infeasible; all other blank subplots were not run as scenarios.</w:t>
      </w:r>
      <w:bookmarkEnd w:id="4"/>
      <w:r>
        <w:t xml:space="preserve">  </w:t>
      </w:r>
    </w:p>
    <w:p w14:paraId="3A3EA9E6" w14:textId="77777777" w:rsidR="000145BF" w:rsidRDefault="000145BF" w:rsidP="00956193">
      <w:pPr>
        <w:keepNext/>
      </w:pPr>
    </w:p>
    <w:p w14:paraId="2FF37118" w14:textId="77777777" w:rsidR="000145BF" w:rsidRDefault="000145BF" w:rsidP="00956193">
      <w:pPr>
        <w:keepNext/>
      </w:pPr>
    </w:p>
    <w:p w14:paraId="0BDB5933" w14:textId="77777777" w:rsidR="000145BF" w:rsidRDefault="000145BF" w:rsidP="00956193">
      <w:pPr>
        <w:keepNext/>
      </w:pPr>
    </w:p>
    <w:p w14:paraId="1F463BD4" w14:textId="77777777" w:rsidR="000145BF" w:rsidRDefault="000145BF" w:rsidP="00956193">
      <w:pPr>
        <w:keepNext/>
      </w:pPr>
    </w:p>
    <w:p w14:paraId="02F2859E" w14:textId="77777777" w:rsidR="000145BF" w:rsidRDefault="000145BF" w:rsidP="000145BF">
      <w:pPr>
        <w:pStyle w:val="NoSpacing"/>
      </w:pPr>
    </w:p>
    <w:p w14:paraId="26987323" w14:textId="77777777" w:rsidR="000145BF" w:rsidRDefault="000145BF" w:rsidP="000145BF">
      <w:pPr>
        <w:pStyle w:val="NoSpacing"/>
      </w:pPr>
    </w:p>
    <w:p w14:paraId="5554874F" w14:textId="142347B4" w:rsidR="00256B4B" w:rsidRDefault="00D34799" w:rsidP="00207456">
      <w:pPr>
        <w:keepNext/>
        <w:jc w:val="both"/>
      </w:pPr>
      <w:r>
        <w:t xml:space="preserve">Supplementary </w:t>
      </w:r>
      <w:r w:rsidR="000145BF">
        <w:t>Figure 4 reports CO</w:t>
      </w:r>
      <w:r w:rsidR="000145BF" w:rsidRPr="003B4222">
        <w:rPr>
          <w:vertAlign w:val="subscript"/>
        </w:rPr>
        <w:t>2</w:t>
      </w:r>
      <w:r w:rsidR="000145BF">
        <w:t xml:space="preserve"> price paths for </w:t>
      </w:r>
      <w:r w:rsidR="00814512">
        <w:t xml:space="preserve">each of the </w:t>
      </w:r>
      <w:r w:rsidR="000145BF">
        <w:t xml:space="preserve">below 1.5 and 2 </w:t>
      </w:r>
      <w:r w:rsidR="00207456">
        <w:rPr>
          <w:rStyle w:val="cf01"/>
          <w:rFonts w:cstheme="minorHAnsi"/>
        </w:rPr>
        <w:t>⁰</w:t>
      </w:r>
      <w:r w:rsidR="000145BF">
        <w:t>C scenarios</w:t>
      </w:r>
      <w:r w:rsidR="00814512">
        <w:t xml:space="preserve"> with feasible solutions</w:t>
      </w:r>
      <w:r w:rsidR="000145BF">
        <w:t xml:space="preserve">. </w:t>
      </w:r>
      <w:r w:rsidR="000145BF" w:rsidRPr="000145BF">
        <w:t xml:space="preserve">The </w:t>
      </w:r>
      <w:r w:rsidR="003B4222">
        <w:t xml:space="preserve">below 2 </w:t>
      </w:r>
      <w:r w:rsidR="00207456">
        <w:rPr>
          <w:rStyle w:val="cf01"/>
          <w:rFonts w:cstheme="minorHAnsi"/>
        </w:rPr>
        <w:t>⁰</w:t>
      </w:r>
      <w:r w:rsidR="003B4222">
        <w:t xml:space="preserve">C </w:t>
      </w:r>
      <w:r w:rsidR="000145BF" w:rsidRPr="000145BF">
        <w:t>CO</w:t>
      </w:r>
      <w:r w:rsidR="000145BF" w:rsidRPr="001563DD">
        <w:rPr>
          <w:vertAlign w:val="subscript"/>
        </w:rPr>
        <w:t>2</w:t>
      </w:r>
      <w:r w:rsidR="000145BF" w:rsidRPr="000145BF">
        <w:t xml:space="preserve"> price path </w:t>
      </w:r>
      <w:r w:rsidR="001563DD">
        <w:t>under</w:t>
      </w:r>
      <w:r w:rsidR="000145BF" w:rsidRPr="000145BF">
        <w:t xml:space="preserve"> </w:t>
      </w:r>
      <w:r w:rsidR="00207456">
        <w:t>the s</w:t>
      </w:r>
      <w:r w:rsidR="000145BF" w:rsidRPr="000145BF">
        <w:t>low CCS growth rate was also applied to a scenario which allowed more rapid CCS growth and thus additional mitigation (CCS Policy and Technology Success).  Conversely, the CO</w:t>
      </w:r>
      <w:r w:rsidR="000145BF" w:rsidRPr="003B4222">
        <w:rPr>
          <w:vertAlign w:val="subscript"/>
        </w:rPr>
        <w:t>2</w:t>
      </w:r>
      <w:r w:rsidR="000145BF" w:rsidRPr="000145BF">
        <w:t xml:space="preserve"> price path from the </w:t>
      </w:r>
      <w:r w:rsidR="000145BF">
        <w:t>u</w:t>
      </w:r>
      <w:r w:rsidR="000145BF" w:rsidRPr="000145BF">
        <w:t>nlimited CCS rate</w:t>
      </w:r>
      <w:r w:rsidR="000145BF">
        <w:t>s</w:t>
      </w:r>
      <w:r w:rsidR="000145BF" w:rsidRPr="000145BF">
        <w:t xml:space="preserve"> scenario was also applied to a scenario with a slow CCS growth constraint, which allowed for less mitigation.</w:t>
      </w:r>
      <w:r w:rsidR="00E36652">
        <w:t xml:space="preserve">  </w:t>
      </w:r>
    </w:p>
    <w:p w14:paraId="46ABF4FF" w14:textId="336DAC98" w:rsidR="000145BF" w:rsidRDefault="00E36652" w:rsidP="00207456">
      <w:pPr>
        <w:keepNext/>
        <w:jc w:val="both"/>
      </w:pPr>
      <w:r>
        <w:t>The relationship between CCS rate and growth constraints, CO</w:t>
      </w:r>
      <w:r w:rsidRPr="005E2A4C">
        <w:rPr>
          <w:vertAlign w:val="subscript"/>
        </w:rPr>
        <w:t>2</w:t>
      </w:r>
      <w:r>
        <w:t xml:space="preserve"> prices required to </w:t>
      </w:r>
      <w:r w:rsidR="005E2A4C">
        <w:t>meet a below 2</w:t>
      </w:r>
      <w:r w:rsidR="00207456">
        <w:t xml:space="preserve"> </w:t>
      </w:r>
      <w:r w:rsidR="00207456">
        <w:rPr>
          <w:rStyle w:val="cf01"/>
          <w:rFonts w:cstheme="minorHAnsi"/>
        </w:rPr>
        <w:t>⁰</w:t>
      </w:r>
      <w:r w:rsidR="005E2A4C">
        <w:t xml:space="preserve">C goal, and </w:t>
      </w:r>
      <w:r w:rsidR="00B82F12">
        <w:t xml:space="preserve">peak and long-term temperatures is shown in </w:t>
      </w:r>
      <w:r w:rsidR="00A961CC">
        <w:t>Supplementary Figure 5</w:t>
      </w:r>
      <w:r w:rsidR="00256B4B">
        <w:t xml:space="preserve">. </w:t>
      </w:r>
      <w:r w:rsidR="005644AF">
        <w:t>Scenarios with constraints on near-term CCS scale-up</w:t>
      </w:r>
      <w:r w:rsidR="009206B5">
        <w:t xml:space="preserve"> (even allowing for rapid growth)</w:t>
      </w:r>
      <w:r w:rsidR="005644AF">
        <w:t xml:space="preserve"> have higher peak temperatures. However, </w:t>
      </w:r>
      <w:r w:rsidR="00F24314">
        <w:t xml:space="preserve">more aggressive emissions policy consistent with the expectation of </w:t>
      </w:r>
      <w:r w:rsidR="006E0E68">
        <w:t>more limited CCS, results in lower peak temperatures</w:t>
      </w:r>
      <w:r w:rsidR="00027CB4">
        <w:t xml:space="preserve">. </w:t>
      </w:r>
      <w:r w:rsidR="0007670E">
        <w:t>For</w:t>
      </w:r>
      <w:r w:rsidR="00FA2E27">
        <w:t xml:space="preserve"> the same CO</w:t>
      </w:r>
      <w:r w:rsidR="00FA2E27" w:rsidRPr="0007670E">
        <w:rPr>
          <w:vertAlign w:val="subscript"/>
        </w:rPr>
        <w:t>2</w:t>
      </w:r>
      <w:r w:rsidR="00FA2E27">
        <w:t xml:space="preserve"> price path, </w:t>
      </w:r>
      <w:r w:rsidR="00264F49">
        <w:t xml:space="preserve">CCS scale-ups that differ from expectations when the policy is initiated </w:t>
      </w:r>
      <w:r w:rsidR="0007670E">
        <w:t xml:space="preserve">could </w:t>
      </w:r>
      <w:r w:rsidR="00507B66">
        <w:t xml:space="preserve">increase </w:t>
      </w:r>
      <w:r w:rsidR="003A0E3C">
        <w:t>global mean temperature</w:t>
      </w:r>
      <w:r w:rsidR="00507B66">
        <w:t xml:space="preserve"> </w:t>
      </w:r>
      <w:r w:rsidR="003A0E3C">
        <w:t xml:space="preserve">in 2100 </w:t>
      </w:r>
      <w:r w:rsidR="00507B66">
        <w:t>by up to 0.</w:t>
      </w:r>
      <w:r w:rsidR="00E86FDA">
        <w:t>15</w:t>
      </w:r>
      <w:r w:rsidR="00507B66">
        <w:t xml:space="preserve"> </w:t>
      </w:r>
      <w:r w:rsidR="00207456">
        <w:rPr>
          <w:rStyle w:val="cf01"/>
          <w:rFonts w:cstheme="minorHAnsi"/>
        </w:rPr>
        <w:t>⁰</w:t>
      </w:r>
      <w:r w:rsidR="00507B66">
        <w:t xml:space="preserve">C for </w:t>
      </w:r>
      <w:r w:rsidR="003A0E3C">
        <w:t>slower-than-expected scale-</w:t>
      </w:r>
      <w:proofErr w:type="gramStart"/>
      <w:r w:rsidR="003A0E3C">
        <w:t>ups, or</w:t>
      </w:r>
      <w:proofErr w:type="gramEnd"/>
      <w:r w:rsidR="003A0E3C">
        <w:t xml:space="preserve"> </w:t>
      </w:r>
      <w:r w:rsidR="00733E19">
        <w:t xml:space="preserve">reduce the 2100 temperature by 0.2 </w:t>
      </w:r>
      <w:r w:rsidR="00207456">
        <w:rPr>
          <w:rStyle w:val="cf01"/>
          <w:rFonts w:cstheme="minorHAnsi"/>
        </w:rPr>
        <w:t>⁰</w:t>
      </w:r>
      <w:r w:rsidR="00733E19">
        <w:t>C</w:t>
      </w:r>
      <w:r w:rsidR="00BF2D43">
        <w:t xml:space="preserve"> for more rapid than expected scale-up. </w:t>
      </w:r>
    </w:p>
    <w:p w14:paraId="0CA88434" w14:textId="77777777" w:rsidR="000145BF" w:rsidRDefault="000145BF" w:rsidP="00956193">
      <w:pPr>
        <w:keepNext/>
      </w:pPr>
    </w:p>
    <w:p w14:paraId="4775677F" w14:textId="32332C30" w:rsidR="00956193" w:rsidRDefault="004870BD" w:rsidP="00956193">
      <w:pPr>
        <w:keepNext/>
      </w:pPr>
      <w:r>
        <w:rPr>
          <w:noProof/>
        </w:rPr>
        <w:drawing>
          <wp:inline distT="0" distB="0" distL="0" distR="0" wp14:anchorId="3B9C5325" wp14:editId="7032F85D">
            <wp:extent cx="5943600" cy="4238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238625"/>
                    </a:xfrm>
                    <a:prstGeom prst="rect">
                      <a:avLst/>
                    </a:prstGeom>
                    <a:noFill/>
                    <a:ln>
                      <a:noFill/>
                    </a:ln>
                  </pic:spPr>
                </pic:pic>
              </a:graphicData>
            </a:graphic>
          </wp:inline>
        </w:drawing>
      </w:r>
    </w:p>
    <w:p w14:paraId="5A8BADBC" w14:textId="76613697" w:rsidR="008B6078" w:rsidRDefault="00956193" w:rsidP="00956193">
      <w:pPr>
        <w:pStyle w:val="Caption"/>
      </w:pPr>
      <w:bookmarkStart w:id="5" w:name="_Toc170382201"/>
      <w:r>
        <w:t xml:space="preserve">Figure </w:t>
      </w:r>
      <w:fldSimple w:instr=" SEQ Figure \* ARABIC ">
        <w:r w:rsidR="00FC3A8E">
          <w:rPr>
            <w:noProof/>
          </w:rPr>
          <w:t>4</w:t>
        </w:r>
      </w:fldSimple>
      <w:r w:rsidR="00BB1B9B">
        <w:t>: CO</w:t>
      </w:r>
      <w:r w:rsidR="00BB1B9B" w:rsidRPr="00826B01">
        <w:rPr>
          <w:vertAlign w:val="subscript"/>
        </w:rPr>
        <w:t>2</w:t>
      </w:r>
      <w:r w:rsidR="00BB1B9B">
        <w:t xml:space="preserve"> price paths to meet below 2 C and below 1.5 </w:t>
      </w:r>
      <w:r w:rsidR="00207456" w:rsidRPr="00A14399">
        <w:t>°</w:t>
      </w:r>
      <w:r w:rsidR="00BB1B9B">
        <w:t xml:space="preserve">C temperature goals </w:t>
      </w:r>
      <w:r w:rsidR="00E023DE">
        <w:t>under varying rate and growth limits on CCS.</w:t>
      </w:r>
      <w:bookmarkEnd w:id="5"/>
      <w:r w:rsidR="00E023DE">
        <w:t xml:space="preserve"> </w:t>
      </w:r>
    </w:p>
    <w:p w14:paraId="1F17C203" w14:textId="77777777" w:rsidR="00AA161E" w:rsidRDefault="00AA161E" w:rsidP="00AA161E"/>
    <w:p w14:paraId="1637B7CA" w14:textId="77777777" w:rsidR="00AA161E" w:rsidRPr="00AA161E" w:rsidRDefault="00AA161E" w:rsidP="00AA161E"/>
    <w:p w14:paraId="420A0286" w14:textId="204BC4AC" w:rsidR="009C7016" w:rsidRDefault="00BF2D43" w:rsidP="00826B01">
      <w:pPr>
        <w:keepNext/>
        <w:jc w:val="both"/>
      </w:pPr>
      <w:r>
        <w:lastRenderedPageBreak/>
        <w:t xml:space="preserve">Supplementary Figures </w:t>
      </w:r>
      <w:r w:rsidR="00BB70CE">
        <w:t>6 and 7 report CCS by region and scenario to illustrate the locational impacts</w:t>
      </w:r>
      <w:r w:rsidR="003F2C7B">
        <w:t xml:space="preserve"> of rate constraints</w:t>
      </w:r>
      <w:r w:rsidR="0003592E">
        <w:t xml:space="preserve">, which are particularly pronounced in China. </w:t>
      </w:r>
      <w:r w:rsidR="007445A1">
        <w:t xml:space="preserve">Figure 7 truncates presentation of the same results as in Figure 6 </w:t>
      </w:r>
      <w:r w:rsidR="00B52F6E">
        <w:t>to</w:t>
      </w:r>
      <w:r w:rsidR="007445A1">
        <w:t xml:space="preserve"> better highlight the mid-century differences between scenarios.</w:t>
      </w:r>
    </w:p>
    <w:p w14:paraId="7561E8D7" w14:textId="43D19A58" w:rsidR="00B52F6E" w:rsidRDefault="00B52F6E" w:rsidP="00826B01">
      <w:pPr>
        <w:keepNext/>
        <w:jc w:val="both"/>
      </w:pPr>
      <w:r>
        <w:t xml:space="preserve">Supplementary Figures </w:t>
      </w:r>
      <w:r w:rsidR="0017226C">
        <w:t>8 and 9 report global CCS by CO</w:t>
      </w:r>
      <w:r w:rsidR="0017226C" w:rsidRPr="00826B01">
        <w:rPr>
          <w:vertAlign w:val="subscript"/>
        </w:rPr>
        <w:t>2</w:t>
      </w:r>
      <w:r w:rsidR="0017226C">
        <w:t xml:space="preserve"> source and scenario</w:t>
      </w:r>
      <w:r w:rsidR="00275026">
        <w:t xml:space="preserve">.  As with the regional results, Figure 9 truncates presentation of results to better highlight the mid-century differences between scenarios.  </w:t>
      </w:r>
    </w:p>
    <w:p w14:paraId="1BCF8D18" w14:textId="626E583F" w:rsidR="00DD2485" w:rsidRDefault="002775F5" w:rsidP="00DD2485">
      <w:pPr>
        <w:keepNext/>
      </w:pPr>
      <w:r>
        <w:rPr>
          <w:noProof/>
        </w:rPr>
        <w:drawing>
          <wp:inline distT="0" distB="0" distL="0" distR="0" wp14:anchorId="7E81ABB8" wp14:editId="3E3C5F80">
            <wp:extent cx="5934075" cy="45815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4075" cy="4581525"/>
                    </a:xfrm>
                    <a:prstGeom prst="rect">
                      <a:avLst/>
                    </a:prstGeom>
                    <a:noFill/>
                    <a:ln>
                      <a:noFill/>
                    </a:ln>
                  </pic:spPr>
                </pic:pic>
              </a:graphicData>
            </a:graphic>
          </wp:inline>
        </w:drawing>
      </w:r>
    </w:p>
    <w:p w14:paraId="5C13FE9E" w14:textId="3C431972" w:rsidR="00CA5205" w:rsidRDefault="00DD2485" w:rsidP="00DD2485">
      <w:pPr>
        <w:pStyle w:val="Caption"/>
      </w:pPr>
      <w:bookmarkStart w:id="6" w:name="_Toc170382202"/>
      <w:r>
        <w:t xml:space="preserve">Figure </w:t>
      </w:r>
      <w:fldSimple w:instr=" SEQ Figure \* ARABIC ">
        <w:r w:rsidR="00FC3A8E">
          <w:rPr>
            <w:noProof/>
          </w:rPr>
          <w:t>5</w:t>
        </w:r>
      </w:fldSimple>
      <w:r>
        <w:t xml:space="preserve">: </w:t>
      </w:r>
      <w:r w:rsidR="00EB5D0D">
        <w:t>Geologic CO</w:t>
      </w:r>
      <w:r w:rsidR="00EB5D0D" w:rsidRPr="00826B01">
        <w:rPr>
          <w:vertAlign w:val="subscript"/>
        </w:rPr>
        <w:t>2</w:t>
      </w:r>
      <w:r w:rsidR="00EB5D0D">
        <w:t xml:space="preserve"> storage</w:t>
      </w:r>
      <w:r>
        <w:t xml:space="preserve"> by region</w:t>
      </w:r>
      <w:r w:rsidR="008B3AFC">
        <w:t xml:space="preserve"> and scenario</w:t>
      </w:r>
      <w:r w:rsidR="008740A2">
        <w:t xml:space="preserve"> through 2100.</w:t>
      </w:r>
      <w:bookmarkEnd w:id="6"/>
    </w:p>
    <w:p w14:paraId="23D53A7C" w14:textId="77777777" w:rsidR="00CB5089" w:rsidRDefault="00CB5089" w:rsidP="00CB5089"/>
    <w:p w14:paraId="6ED4F390" w14:textId="77777777" w:rsidR="00CB5089" w:rsidRDefault="00CB5089" w:rsidP="00CB5089"/>
    <w:p w14:paraId="225647DF" w14:textId="6126A66B" w:rsidR="00CB5089" w:rsidRPr="00CB5089" w:rsidRDefault="004143E2" w:rsidP="00CB5089">
      <w:r>
        <w:rPr>
          <w:noProof/>
        </w:rPr>
        <w:lastRenderedPageBreak/>
        <w:drawing>
          <wp:inline distT="0" distB="0" distL="0" distR="0" wp14:anchorId="765A100D" wp14:editId="22CB4BB9">
            <wp:extent cx="5934075" cy="45815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4075" cy="4581525"/>
                    </a:xfrm>
                    <a:prstGeom prst="rect">
                      <a:avLst/>
                    </a:prstGeom>
                    <a:noFill/>
                    <a:ln>
                      <a:noFill/>
                    </a:ln>
                  </pic:spPr>
                </pic:pic>
              </a:graphicData>
            </a:graphic>
          </wp:inline>
        </w:drawing>
      </w:r>
    </w:p>
    <w:p w14:paraId="7A58DE6F" w14:textId="38981ED8" w:rsidR="00CB5089" w:rsidRDefault="00CB5089" w:rsidP="00CB5089">
      <w:pPr>
        <w:pStyle w:val="Caption"/>
      </w:pPr>
      <w:bookmarkStart w:id="7" w:name="_Toc170382203"/>
      <w:r>
        <w:t xml:space="preserve">Figure </w:t>
      </w:r>
      <w:fldSimple w:instr=" SEQ Figure \* ARABIC ">
        <w:r w:rsidR="00FC3A8E">
          <w:rPr>
            <w:noProof/>
          </w:rPr>
          <w:t>6</w:t>
        </w:r>
      </w:fldSimple>
      <w:r>
        <w:t>: Geologic CO</w:t>
      </w:r>
      <w:r w:rsidRPr="00826B01">
        <w:rPr>
          <w:vertAlign w:val="subscript"/>
        </w:rPr>
        <w:t>2</w:t>
      </w:r>
      <w:r>
        <w:t xml:space="preserve"> storage by region and scenario. Results are truncated after 2050 to better highlight the mid-century differences between scenarios.</w:t>
      </w:r>
      <w:bookmarkEnd w:id="7"/>
      <w:r>
        <w:t xml:space="preserve"> </w:t>
      </w:r>
    </w:p>
    <w:p w14:paraId="2A08FBD9" w14:textId="77777777" w:rsidR="000F2E34" w:rsidRDefault="000F2E34" w:rsidP="000F2E34"/>
    <w:p w14:paraId="0B6F2798" w14:textId="7C97DD9B" w:rsidR="003C01E7" w:rsidRDefault="00336AA9" w:rsidP="003C01E7">
      <w:pPr>
        <w:pStyle w:val="Caption"/>
        <w:keepNext/>
      </w:pPr>
      <w:r>
        <w:rPr>
          <w:noProof/>
        </w:rPr>
        <w:lastRenderedPageBreak/>
        <w:drawing>
          <wp:inline distT="0" distB="0" distL="0" distR="0" wp14:anchorId="6A7964C7" wp14:editId="691D8947">
            <wp:extent cx="5947410" cy="594741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7410" cy="5947410"/>
                    </a:xfrm>
                    <a:prstGeom prst="rect">
                      <a:avLst/>
                    </a:prstGeom>
                    <a:noFill/>
                    <a:ln>
                      <a:noFill/>
                    </a:ln>
                  </pic:spPr>
                </pic:pic>
              </a:graphicData>
            </a:graphic>
          </wp:inline>
        </w:drawing>
      </w:r>
    </w:p>
    <w:p w14:paraId="1C2BA598" w14:textId="4C177943" w:rsidR="000F2E34" w:rsidRDefault="003C01E7" w:rsidP="003C01E7">
      <w:pPr>
        <w:pStyle w:val="Caption"/>
      </w:pPr>
      <w:bookmarkStart w:id="8" w:name="_Toc170382204"/>
      <w:r>
        <w:t xml:space="preserve">Figure </w:t>
      </w:r>
      <w:fldSimple w:instr=" SEQ Figure \* ARABIC ">
        <w:r w:rsidR="00FC3A8E">
          <w:rPr>
            <w:noProof/>
          </w:rPr>
          <w:t>7</w:t>
        </w:r>
      </w:fldSimple>
      <w:r>
        <w:t>:</w:t>
      </w:r>
      <w:r w:rsidRPr="003C01E7">
        <w:t xml:space="preserve"> </w:t>
      </w:r>
      <w:r>
        <w:t>Global geologic CO2 storage by CO</w:t>
      </w:r>
      <w:r w:rsidRPr="00826B01">
        <w:rPr>
          <w:vertAlign w:val="subscript"/>
        </w:rPr>
        <w:t>2</w:t>
      </w:r>
      <w:r>
        <w:t xml:space="preserve"> source and scenario through 2100. The 1.5 </w:t>
      </w:r>
      <w:r w:rsidR="00207456" w:rsidRPr="00A14399">
        <w:t>°</w:t>
      </w:r>
      <w:r>
        <w:t>C scenario with slow CCS growth was infeasible; all other blank subplots were not run as scenarios.</w:t>
      </w:r>
      <w:bookmarkEnd w:id="8"/>
      <w:r>
        <w:t xml:space="preserve">  </w:t>
      </w:r>
    </w:p>
    <w:p w14:paraId="71D032B0" w14:textId="2916F4F2" w:rsidR="00275026" w:rsidRDefault="00271A37" w:rsidP="00275026">
      <w:pPr>
        <w:keepNext/>
      </w:pPr>
      <w:r>
        <w:rPr>
          <w:noProof/>
        </w:rPr>
        <w:lastRenderedPageBreak/>
        <w:drawing>
          <wp:inline distT="0" distB="0" distL="0" distR="0" wp14:anchorId="28AAC60A" wp14:editId="70BFA979">
            <wp:extent cx="5947410" cy="59474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7410" cy="5947410"/>
                    </a:xfrm>
                    <a:prstGeom prst="rect">
                      <a:avLst/>
                    </a:prstGeom>
                    <a:noFill/>
                    <a:ln>
                      <a:noFill/>
                    </a:ln>
                  </pic:spPr>
                </pic:pic>
              </a:graphicData>
            </a:graphic>
          </wp:inline>
        </w:drawing>
      </w:r>
    </w:p>
    <w:p w14:paraId="5B3572D6" w14:textId="1570DFCE" w:rsidR="00275026" w:rsidRDefault="00275026" w:rsidP="00275026">
      <w:pPr>
        <w:pStyle w:val="Caption"/>
      </w:pPr>
      <w:bookmarkStart w:id="9" w:name="_Toc170382205"/>
      <w:r>
        <w:t xml:space="preserve">Figure </w:t>
      </w:r>
      <w:fldSimple w:instr=" SEQ Figure \* ARABIC ">
        <w:r w:rsidR="00FC3A8E">
          <w:rPr>
            <w:noProof/>
          </w:rPr>
          <w:t>8</w:t>
        </w:r>
      </w:fldSimple>
      <w:r>
        <w:t>: Global geologic CO</w:t>
      </w:r>
      <w:r w:rsidRPr="00826B01">
        <w:rPr>
          <w:vertAlign w:val="subscript"/>
        </w:rPr>
        <w:t>2</w:t>
      </w:r>
      <w:r>
        <w:t xml:space="preserve"> storage by CO</w:t>
      </w:r>
      <w:r w:rsidRPr="00826B01">
        <w:rPr>
          <w:vertAlign w:val="subscript"/>
        </w:rPr>
        <w:t>2</w:t>
      </w:r>
      <w:r>
        <w:t xml:space="preserve"> source and scenario. Results are truncated after 2050 to better highlight the mid-century differences between scenarios. The 1.5 </w:t>
      </w:r>
      <w:r w:rsidR="00207456" w:rsidRPr="00A14399">
        <w:t>°</w:t>
      </w:r>
      <w:r>
        <w:t>C scenario with slow CCS growth was infeasible; all other blank subplots were not run as scenarios.</w:t>
      </w:r>
      <w:bookmarkEnd w:id="9"/>
      <w:r>
        <w:t xml:space="preserve">  </w:t>
      </w:r>
    </w:p>
    <w:p w14:paraId="332A1E11" w14:textId="77777777" w:rsidR="00275026" w:rsidRPr="00275026" w:rsidRDefault="00275026" w:rsidP="00275026"/>
    <w:p w14:paraId="4C091232" w14:textId="77777777" w:rsidR="00C033DD" w:rsidRDefault="00C033DD" w:rsidP="00C033DD"/>
    <w:p w14:paraId="48814F23" w14:textId="77777777" w:rsidR="00101D11" w:rsidRDefault="00101D11" w:rsidP="00101D11"/>
    <w:p w14:paraId="3514F821" w14:textId="77777777" w:rsidR="004C11F0" w:rsidRDefault="004C11F0" w:rsidP="00101D11"/>
    <w:p w14:paraId="46931F55" w14:textId="77777777" w:rsidR="004C11F0" w:rsidRDefault="004C11F0" w:rsidP="00101D11"/>
    <w:p w14:paraId="687D20B6" w14:textId="77777777" w:rsidR="004C11F0" w:rsidRDefault="004C11F0" w:rsidP="00101D11"/>
    <w:p w14:paraId="3BA8FBB8" w14:textId="7F9E033F" w:rsidR="004C11F0" w:rsidRDefault="004C11F0" w:rsidP="00826B01">
      <w:pPr>
        <w:jc w:val="both"/>
      </w:pPr>
      <w:r>
        <w:lastRenderedPageBreak/>
        <w:t xml:space="preserve">Supplementary Figures 10 and 11 report </w:t>
      </w:r>
      <w:r w:rsidR="0025280A">
        <w:t xml:space="preserve">regional CCS deployment rates </w:t>
      </w:r>
      <w:r w:rsidR="00093B78">
        <w:t xml:space="preserve">in 2050 and 2100 </w:t>
      </w:r>
      <w:r w:rsidR="0025280A">
        <w:t xml:space="preserve">for all feasible below 2 </w:t>
      </w:r>
      <w:r w:rsidR="00207456">
        <w:rPr>
          <w:rStyle w:val="cf01"/>
          <w:rFonts w:cstheme="minorHAnsi"/>
        </w:rPr>
        <w:t>⁰</w:t>
      </w:r>
      <w:r w:rsidR="0025280A">
        <w:t xml:space="preserve">C (Figure 10) and below 1.5 </w:t>
      </w:r>
      <w:r w:rsidR="00207456">
        <w:rPr>
          <w:rStyle w:val="cf01"/>
          <w:rFonts w:cstheme="minorHAnsi"/>
        </w:rPr>
        <w:t>⁰</w:t>
      </w:r>
      <w:r w:rsidR="0025280A">
        <w:t>C scenarios (Figure 11)</w:t>
      </w:r>
      <w:r w:rsidR="00093B78">
        <w:t>.</w:t>
      </w:r>
    </w:p>
    <w:p w14:paraId="4F3A6281" w14:textId="7C175BA0" w:rsidR="004E2A23" w:rsidRDefault="00A2466B" w:rsidP="004E2A23">
      <w:pPr>
        <w:keepNext/>
      </w:pPr>
      <w:r>
        <w:rPr>
          <w:noProof/>
        </w:rPr>
        <w:drawing>
          <wp:inline distT="0" distB="0" distL="0" distR="0" wp14:anchorId="1C436520" wp14:editId="0CA6DCBB">
            <wp:extent cx="6235423" cy="1865409"/>
            <wp:effectExtent l="0" t="0" r="0"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62291" cy="1873447"/>
                    </a:xfrm>
                    <a:prstGeom prst="rect">
                      <a:avLst/>
                    </a:prstGeom>
                    <a:noFill/>
                  </pic:spPr>
                </pic:pic>
              </a:graphicData>
            </a:graphic>
          </wp:inline>
        </w:drawing>
      </w:r>
    </w:p>
    <w:p w14:paraId="772FEBF8" w14:textId="12D27DCC" w:rsidR="00101D11" w:rsidRPr="00101D11" w:rsidRDefault="004E2A23" w:rsidP="004E2A23">
      <w:pPr>
        <w:pStyle w:val="Caption"/>
      </w:pPr>
      <w:bookmarkStart w:id="10" w:name="_Toc170382206"/>
      <w:r>
        <w:t xml:space="preserve">Figure </w:t>
      </w:r>
      <w:fldSimple w:instr=" SEQ Figure \* ARABIC ">
        <w:r w:rsidR="00FC3A8E">
          <w:rPr>
            <w:noProof/>
          </w:rPr>
          <w:t>9</w:t>
        </w:r>
      </w:fldSimple>
      <w:r>
        <w:t>: Geologic CO</w:t>
      </w:r>
      <w:r w:rsidRPr="00826B01">
        <w:rPr>
          <w:vertAlign w:val="subscript"/>
        </w:rPr>
        <w:t>2</w:t>
      </w:r>
      <w:r>
        <w:t xml:space="preserve"> storage by region, scenario, and year for below 2 </w:t>
      </w:r>
      <w:r w:rsidR="00207456" w:rsidRPr="00A14399">
        <w:t>°</w:t>
      </w:r>
      <w:r>
        <w:t>C scenarios</w:t>
      </w:r>
      <w:r w:rsidR="00207456">
        <w:t>.</w:t>
      </w:r>
      <w:bookmarkEnd w:id="10"/>
    </w:p>
    <w:p w14:paraId="0DA5C934" w14:textId="3AF9C109" w:rsidR="0043624D" w:rsidRPr="0043624D" w:rsidRDefault="0043624D" w:rsidP="0043624D">
      <w:pPr>
        <w:pStyle w:val="Caption"/>
      </w:pPr>
    </w:p>
    <w:p w14:paraId="053D2C06" w14:textId="7FF2676F" w:rsidR="00023118" w:rsidRDefault="00085E6B" w:rsidP="00023118">
      <w:pPr>
        <w:keepNext/>
      </w:pPr>
      <w:r>
        <w:rPr>
          <w:noProof/>
        </w:rPr>
        <w:drawing>
          <wp:inline distT="0" distB="0" distL="0" distR="0" wp14:anchorId="247EEC30" wp14:editId="78C3B858">
            <wp:extent cx="5943600" cy="41529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30128"/>
                    <a:stretch/>
                  </pic:blipFill>
                  <pic:spPr bwMode="auto">
                    <a:xfrm>
                      <a:off x="0" y="0"/>
                      <a:ext cx="5943600" cy="4152900"/>
                    </a:xfrm>
                    <a:prstGeom prst="rect">
                      <a:avLst/>
                    </a:prstGeom>
                    <a:noFill/>
                    <a:ln>
                      <a:noFill/>
                    </a:ln>
                    <a:extLst>
                      <a:ext uri="{53640926-AAD7-44D8-BBD7-CCE9431645EC}">
                        <a14:shadowObscured xmlns:a14="http://schemas.microsoft.com/office/drawing/2010/main"/>
                      </a:ext>
                    </a:extLst>
                  </pic:spPr>
                </pic:pic>
              </a:graphicData>
            </a:graphic>
          </wp:inline>
        </w:drawing>
      </w:r>
    </w:p>
    <w:p w14:paraId="6DCD547E" w14:textId="1E825979" w:rsidR="00EF286F" w:rsidRDefault="00023118" w:rsidP="00023118">
      <w:pPr>
        <w:pStyle w:val="Caption"/>
      </w:pPr>
      <w:bookmarkStart w:id="11" w:name="_Toc170382207"/>
      <w:r>
        <w:t xml:space="preserve">Figure </w:t>
      </w:r>
      <w:fldSimple w:instr=" SEQ Figure \* ARABIC ">
        <w:r w:rsidR="00FC3A8E">
          <w:rPr>
            <w:noProof/>
          </w:rPr>
          <w:t>10</w:t>
        </w:r>
      </w:fldSimple>
      <w:r>
        <w:t>: Geologic CO</w:t>
      </w:r>
      <w:r w:rsidRPr="00826B01">
        <w:rPr>
          <w:vertAlign w:val="subscript"/>
        </w:rPr>
        <w:t>2</w:t>
      </w:r>
      <w:r>
        <w:t xml:space="preserve"> storage by region, scenario, and year for below 1.5 </w:t>
      </w:r>
      <w:r w:rsidR="00207456" w:rsidRPr="00A14399">
        <w:t>°</w:t>
      </w:r>
      <w:r>
        <w:t>C scenarios</w:t>
      </w:r>
      <w:r w:rsidR="00207456">
        <w:t>.</w:t>
      </w:r>
      <w:bookmarkEnd w:id="11"/>
    </w:p>
    <w:p w14:paraId="2B1D117F" w14:textId="77777777" w:rsidR="00EF286F" w:rsidRDefault="00EF286F" w:rsidP="00C033DD"/>
    <w:p w14:paraId="49361466" w14:textId="77777777" w:rsidR="00207632" w:rsidRDefault="00207632" w:rsidP="00C033DD"/>
    <w:p w14:paraId="7687BE09" w14:textId="27E72A6B" w:rsidR="00207632" w:rsidRDefault="00207632" w:rsidP="00826B01">
      <w:pPr>
        <w:jc w:val="both"/>
      </w:pPr>
      <w:r>
        <w:lastRenderedPageBreak/>
        <w:t>Supplementary Figures 12-14 report CCS by region and CO</w:t>
      </w:r>
      <w:r w:rsidRPr="00826B01">
        <w:rPr>
          <w:vertAlign w:val="subscript"/>
        </w:rPr>
        <w:t>2</w:t>
      </w:r>
      <w:r>
        <w:t xml:space="preserve"> source for below 2 </w:t>
      </w:r>
      <w:r w:rsidR="00207456">
        <w:rPr>
          <w:rStyle w:val="cf01"/>
          <w:rFonts w:cstheme="minorHAnsi"/>
        </w:rPr>
        <w:t>⁰</w:t>
      </w:r>
      <w:r>
        <w:t xml:space="preserve">C scenarios with unlimited (12), slow (13) and rapid (14) CCS rate and growth limits.    </w:t>
      </w:r>
    </w:p>
    <w:p w14:paraId="136D5F97" w14:textId="545538FA" w:rsidR="00093B78" w:rsidRDefault="00901510" w:rsidP="00093B78">
      <w:pPr>
        <w:keepNext/>
      </w:pPr>
      <w:r>
        <w:rPr>
          <w:noProof/>
        </w:rPr>
        <w:drawing>
          <wp:inline distT="0" distB="0" distL="0" distR="0" wp14:anchorId="3F70C3F3" wp14:editId="6477AC2E">
            <wp:extent cx="5935345" cy="5935345"/>
            <wp:effectExtent l="0" t="0" r="8255" b="825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35345" cy="5935345"/>
                    </a:xfrm>
                    <a:prstGeom prst="rect">
                      <a:avLst/>
                    </a:prstGeom>
                    <a:noFill/>
                    <a:ln>
                      <a:noFill/>
                    </a:ln>
                  </pic:spPr>
                </pic:pic>
              </a:graphicData>
            </a:graphic>
          </wp:inline>
        </w:drawing>
      </w:r>
    </w:p>
    <w:p w14:paraId="65F8EC29" w14:textId="55A07391" w:rsidR="00093B78" w:rsidRDefault="00093B78" w:rsidP="00093B78">
      <w:pPr>
        <w:pStyle w:val="Caption"/>
      </w:pPr>
      <w:bookmarkStart w:id="12" w:name="_Toc170382208"/>
      <w:r>
        <w:t xml:space="preserve">Figure </w:t>
      </w:r>
      <w:fldSimple w:instr=" SEQ Figure \* ARABIC ">
        <w:r w:rsidR="00FC3A8E">
          <w:rPr>
            <w:noProof/>
          </w:rPr>
          <w:t>11</w:t>
        </w:r>
      </w:fldSimple>
      <w:r>
        <w:t>: Geologic CO</w:t>
      </w:r>
      <w:r w:rsidRPr="00826B01">
        <w:rPr>
          <w:vertAlign w:val="subscript"/>
        </w:rPr>
        <w:t>2</w:t>
      </w:r>
      <w:r>
        <w:t xml:space="preserve"> storage by source and region under unrestricted CCS growth rates, 2 </w:t>
      </w:r>
      <w:r w:rsidR="00207456" w:rsidRPr="00A14399">
        <w:t>°</w:t>
      </w:r>
      <w:r>
        <w:t>C scenario</w:t>
      </w:r>
      <w:r w:rsidR="00207456">
        <w:t>.</w:t>
      </w:r>
      <w:bookmarkEnd w:id="12"/>
    </w:p>
    <w:p w14:paraId="1988C59A" w14:textId="7A81B5F7" w:rsidR="00093B78" w:rsidRDefault="00A95EFE" w:rsidP="00093B78">
      <w:pPr>
        <w:keepNext/>
      </w:pPr>
      <w:r>
        <w:rPr>
          <w:noProof/>
        </w:rPr>
        <w:lastRenderedPageBreak/>
        <w:drawing>
          <wp:inline distT="0" distB="0" distL="0" distR="0" wp14:anchorId="505377BD" wp14:editId="5D2EC9BA">
            <wp:extent cx="5932170" cy="593217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2170" cy="5932170"/>
                    </a:xfrm>
                    <a:prstGeom prst="rect">
                      <a:avLst/>
                    </a:prstGeom>
                    <a:noFill/>
                    <a:ln>
                      <a:noFill/>
                    </a:ln>
                  </pic:spPr>
                </pic:pic>
              </a:graphicData>
            </a:graphic>
          </wp:inline>
        </w:drawing>
      </w:r>
    </w:p>
    <w:p w14:paraId="2F115D38" w14:textId="0720D0E8" w:rsidR="00093B78" w:rsidRDefault="00093B78" w:rsidP="00093B78">
      <w:pPr>
        <w:pStyle w:val="Caption"/>
      </w:pPr>
      <w:bookmarkStart w:id="13" w:name="_Toc170382209"/>
      <w:r>
        <w:t xml:space="preserve">Figure </w:t>
      </w:r>
      <w:fldSimple w:instr=" SEQ Figure \* ARABIC ">
        <w:r w:rsidR="00FC3A8E">
          <w:rPr>
            <w:noProof/>
          </w:rPr>
          <w:t>12</w:t>
        </w:r>
      </w:fldSimple>
      <w:r>
        <w:t>: Geologic CO</w:t>
      </w:r>
      <w:r w:rsidRPr="00826B01">
        <w:rPr>
          <w:vertAlign w:val="subscript"/>
        </w:rPr>
        <w:t>2</w:t>
      </w:r>
      <w:r>
        <w:t xml:space="preserve"> storage by source and region under </w:t>
      </w:r>
      <w:r w:rsidR="0047367E">
        <w:t>slow CCS</w:t>
      </w:r>
      <w:r>
        <w:t xml:space="preserve"> growth rates 2 </w:t>
      </w:r>
      <w:r w:rsidR="00207456" w:rsidRPr="00A14399">
        <w:t>°</w:t>
      </w:r>
      <w:r>
        <w:t>C scenario</w:t>
      </w:r>
      <w:r w:rsidR="00207456">
        <w:t>.</w:t>
      </w:r>
      <w:bookmarkEnd w:id="13"/>
    </w:p>
    <w:p w14:paraId="4831F0A1" w14:textId="77777777" w:rsidR="00093B78" w:rsidRDefault="00093B78" w:rsidP="00093B78"/>
    <w:p w14:paraId="3EE92EAC" w14:textId="77777777" w:rsidR="00093B78" w:rsidRDefault="00093B78" w:rsidP="00093B78"/>
    <w:p w14:paraId="12B062B1" w14:textId="37EBE612" w:rsidR="00093B78" w:rsidRDefault="001D75CF" w:rsidP="00093B78">
      <w:pPr>
        <w:keepNext/>
      </w:pPr>
      <w:r>
        <w:rPr>
          <w:noProof/>
        </w:rPr>
        <w:lastRenderedPageBreak/>
        <w:drawing>
          <wp:inline distT="0" distB="0" distL="0" distR="0" wp14:anchorId="62867F93" wp14:editId="321C57BE">
            <wp:extent cx="5934075" cy="59340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4075" cy="5934075"/>
                    </a:xfrm>
                    <a:prstGeom prst="rect">
                      <a:avLst/>
                    </a:prstGeom>
                    <a:noFill/>
                    <a:ln>
                      <a:noFill/>
                    </a:ln>
                  </pic:spPr>
                </pic:pic>
              </a:graphicData>
            </a:graphic>
          </wp:inline>
        </w:drawing>
      </w:r>
    </w:p>
    <w:p w14:paraId="13C6CA7D" w14:textId="096BDEED" w:rsidR="00093B78" w:rsidRDefault="00093B78" w:rsidP="00093B78">
      <w:pPr>
        <w:pStyle w:val="Caption"/>
      </w:pPr>
      <w:bookmarkStart w:id="14" w:name="_Toc170382210"/>
      <w:r>
        <w:t xml:space="preserve">Figure </w:t>
      </w:r>
      <w:fldSimple w:instr=" SEQ Figure \* ARABIC ">
        <w:r w:rsidR="00FC3A8E">
          <w:rPr>
            <w:noProof/>
          </w:rPr>
          <w:t>13</w:t>
        </w:r>
      </w:fldSimple>
      <w:r>
        <w:t>: Geologic CO</w:t>
      </w:r>
      <w:r w:rsidRPr="00826B01">
        <w:rPr>
          <w:vertAlign w:val="subscript"/>
        </w:rPr>
        <w:t>2</w:t>
      </w:r>
      <w:r>
        <w:t xml:space="preserve"> storage by source and region under </w:t>
      </w:r>
      <w:r w:rsidR="001D75CF">
        <w:t>CCS breakthrough</w:t>
      </w:r>
      <w:r>
        <w:t xml:space="preserve">, 2 </w:t>
      </w:r>
      <w:r w:rsidR="00207456" w:rsidRPr="00A14399">
        <w:t>°</w:t>
      </w:r>
      <w:r>
        <w:t xml:space="preserve">C </w:t>
      </w:r>
      <w:r w:rsidR="0047367E">
        <w:t>scenario.</w:t>
      </w:r>
      <w:bookmarkEnd w:id="14"/>
    </w:p>
    <w:p w14:paraId="6BCD000E" w14:textId="77777777" w:rsidR="006127E9" w:rsidRDefault="006127E9" w:rsidP="006127E9"/>
    <w:p w14:paraId="38D1F22C" w14:textId="77777777" w:rsidR="00FC5E25" w:rsidRDefault="00FC5E25" w:rsidP="006127E9"/>
    <w:p w14:paraId="7B13E6E5" w14:textId="77777777" w:rsidR="00FC5E25" w:rsidRDefault="00FC5E25" w:rsidP="006127E9"/>
    <w:p w14:paraId="6DF100BF" w14:textId="77777777" w:rsidR="00FC5E25" w:rsidRDefault="00FC5E25" w:rsidP="006127E9"/>
    <w:p w14:paraId="65885C03" w14:textId="77777777" w:rsidR="00FC5E25" w:rsidRDefault="00FC5E25" w:rsidP="006127E9"/>
    <w:p w14:paraId="73D2CB64" w14:textId="77777777" w:rsidR="00FC5E25" w:rsidRDefault="00FC5E25" w:rsidP="006127E9"/>
    <w:p w14:paraId="414815AE" w14:textId="77777777" w:rsidR="006179CF" w:rsidRDefault="006179CF" w:rsidP="006127E9"/>
    <w:p w14:paraId="20A798D8" w14:textId="77777777" w:rsidR="006179CF" w:rsidRDefault="006179CF" w:rsidP="006127E9"/>
    <w:p w14:paraId="7BD724BD" w14:textId="7AA332C0" w:rsidR="00FC5E25" w:rsidRDefault="00FC5E25" w:rsidP="006127E9">
      <w:r>
        <w:t xml:space="preserve">Supplementary Figure </w:t>
      </w:r>
      <w:r w:rsidR="00296D35">
        <w:t>15 report</w:t>
      </w:r>
      <w:r w:rsidR="00FD32DF">
        <w:t>s</w:t>
      </w:r>
      <w:r w:rsidR="00296D35">
        <w:t xml:space="preserve"> primary energy demand (direct equivalent) for all feasible below 2 </w:t>
      </w:r>
      <w:r w:rsidR="00207456">
        <w:rPr>
          <w:rStyle w:val="cf01"/>
          <w:rFonts w:cstheme="minorHAnsi"/>
        </w:rPr>
        <w:t>⁰</w:t>
      </w:r>
      <w:r w:rsidR="00296D35">
        <w:t xml:space="preserve">C and below 1.5 </w:t>
      </w:r>
      <w:r w:rsidR="00207456">
        <w:rPr>
          <w:rStyle w:val="cf01"/>
          <w:rFonts w:cstheme="minorHAnsi"/>
        </w:rPr>
        <w:t>⁰</w:t>
      </w:r>
      <w:r w:rsidR="00296D35">
        <w:t xml:space="preserve">C scenarios.  </w:t>
      </w:r>
      <w:r w:rsidR="00FD2AAC">
        <w:t xml:space="preserve">Substantial fossil fuel use linked to CCS only occurs in those scenarios </w:t>
      </w:r>
      <w:r w:rsidR="00FD32DF">
        <w:t xml:space="preserve">that allow rapid CCS growth.  </w:t>
      </w:r>
    </w:p>
    <w:p w14:paraId="3239C250" w14:textId="29B2DFF3" w:rsidR="006127E9" w:rsidRDefault="0059027F" w:rsidP="006127E9">
      <w:pPr>
        <w:keepNext/>
      </w:pPr>
      <w:r>
        <w:rPr>
          <w:noProof/>
        </w:rPr>
        <w:drawing>
          <wp:inline distT="0" distB="0" distL="0" distR="0" wp14:anchorId="005148F3" wp14:editId="4E46277F">
            <wp:extent cx="5948680" cy="594868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8680" cy="5948680"/>
                    </a:xfrm>
                    <a:prstGeom prst="rect">
                      <a:avLst/>
                    </a:prstGeom>
                    <a:noFill/>
                    <a:ln>
                      <a:noFill/>
                    </a:ln>
                  </pic:spPr>
                </pic:pic>
              </a:graphicData>
            </a:graphic>
          </wp:inline>
        </w:drawing>
      </w:r>
    </w:p>
    <w:p w14:paraId="6CE03CD1" w14:textId="030BD5B5" w:rsidR="006127E9" w:rsidRDefault="006127E9" w:rsidP="006127E9">
      <w:pPr>
        <w:pStyle w:val="Caption"/>
      </w:pPr>
      <w:bookmarkStart w:id="15" w:name="_Toc170382211"/>
      <w:r>
        <w:t xml:space="preserve">Figure </w:t>
      </w:r>
      <w:fldSimple w:instr=" SEQ Figure \* ARABIC ">
        <w:r w:rsidR="00FC3A8E">
          <w:rPr>
            <w:noProof/>
          </w:rPr>
          <w:t>14</w:t>
        </w:r>
      </w:fldSimple>
      <w:r>
        <w:t xml:space="preserve">: Global </w:t>
      </w:r>
      <w:r w:rsidR="00207456">
        <w:t>p</w:t>
      </w:r>
      <w:r>
        <w:t xml:space="preserve">rimary </w:t>
      </w:r>
      <w:r w:rsidR="00207456">
        <w:t>e</w:t>
      </w:r>
      <w:r>
        <w:t xml:space="preserve">nergy with CCS (direct equivalent) for all scenarios. The 1.5 </w:t>
      </w:r>
      <w:r w:rsidR="00207456" w:rsidRPr="00A14399">
        <w:t>°</w:t>
      </w:r>
      <w:r>
        <w:t>C scenario with slow CCS growth was infeasible; all other blank subplots were not run as scenarios.</w:t>
      </w:r>
      <w:bookmarkEnd w:id="15"/>
      <w:r>
        <w:t xml:space="preserve">  </w:t>
      </w:r>
    </w:p>
    <w:p w14:paraId="7FBAB612" w14:textId="77777777" w:rsidR="00FD32DF" w:rsidRDefault="00FD32DF" w:rsidP="00FD32DF"/>
    <w:p w14:paraId="4D381140" w14:textId="77777777" w:rsidR="00FD32DF" w:rsidRDefault="00FD32DF" w:rsidP="00FD32DF"/>
    <w:p w14:paraId="28F74C60" w14:textId="77777777" w:rsidR="006127E9" w:rsidRPr="006127E9" w:rsidRDefault="006127E9" w:rsidP="006127E9"/>
    <w:p w14:paraId="05C4A3FE" w14:textId="77777777" w:rsidR="005A388D" w:rsidRDefault="005A388D" w:rsidP="005A388D"/>
    <w:p w14:paraId="2F75B7D8" w14:textId="77777777" w:rsidR="00890F9D" w:rsidRDefault="00890F9D" w:rsidP="002674AB"/>
    <w:p w14:paraId="65D669F0" w14:textId="77777777" w:rsidR="00890F9D" w:rsidRDefault="00890F9D" w:rsidP="002674AB"/>
    <w:p w14:paraId="556A9CA9" w14:textId="77777777" w:rsidR="00890F9D" w:rsidRDefault="00890F9D" w:rsidP="002674AB"/>
    <w:p w14:paraId="4B40B2F4" w14:textId="75FA5DAC" w:rsidR="00890F9D" w:rsidRDefault="00890F9D" w:rsidP="002674AB"/>
    <w:p w14:paraId="264441D7" w14:textId="77777777" w:rsidR="00841F16" w:rsidRDefault="00B41212" w:rsidP="00841F16">
      <w:pPr>
        <w:keepNext/>
      </w:pPr>
      <w:r>
        <w:rPr>
          <w:noProof/>
        </w:rPr>
        <w:drawing>
          <wp:inline distT="0" distB="0" distL="0" distR="0" wp14:anchorId="2CEC0786" wp14:editId="75E9588C">
            <wp:extent cx="5938520" cy="3061970"/>
            <wp:effectExtent l="0" t="0" r="508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38520" cy="3061970"/>
                    </a:xfrm>
                    <a:prstGeom prst="rect">
                      <a:avLst/>
                    </a:prstGeom>
                    <a:noFill/>
                    <a:ln>
                      <a:noFill/>
                    </a:ln>
                  </pic:spPr>
                </pic:pic>
              </a:graphicData>
            </a:graphic>
          </wp:inline>
        </w:drawing>
      </w:r>
      <w:r w:rsidR="00CD7D71">
        <w:rPr>
          <w:noProof/>
        </w:rPr>
        <w:drawing>
          <wp:inline distT="0" distB="0" distL="0" distR="0" wp14:anchorId="74E38550" wp14:editId="2134938E">
            <wp:extent cx="5938520" cy="3061970"/>
            <wp:effectExtent l="0" t="0" r="508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38520" cy="3061970"/>
                    </a:xfrm>
                    <a:prstGeom prst="rect">
                      <a:avLst/>
                    </a:prstGeom>
                    <a:noFill/>
                    <a:ln>
                      <a:noFill/>
                    </a:ln>
                  </pic:spPr>
                </pic:pic>
              </a:graphicData>
            </a:graphic>
          </wp:inline>
        </w:drawing>
      </w:r>
    </w:p>
    <w:p w14:paraId="239E9219" w14:textId="461D122D" w:rsidR="00841F16" w:rsidRDefault="00841F16" w:rsidP="00841F16">
      <w:pPr>
        <w:pStyle w:val="Caption"/>
      </w:pPr>
      <w:bookmarkStart w:id="16" w:name="_Toc170382212"/>
      <w:r>
        <w:t xml:space="preserve">Figure </w:t>
      </w:r>
      <w:fldSimple w:instr=" SEQ Figure \* ARABIC ">
        <w:r w:rsidR="00FC3A8E">
          <w:rPr>
            <w:noProof/>
          </w:rPr>
          <w:t>15</w:t>
        </w:r>
      </w:fldSimple>
      <w:r>
        <w:t>: Global undiscounted (top) and discounted (bottom) policy costs</w:t>
      </w:r>
      <w:r w:rsidR="00207456">
        <w:t>.</w:t>
      </w:r>
      <w:bookmarkEnd w:id="16"/>
    </w:p>
    <w:p w14:paraId="3CCD77AF" w14:textId="0F96C65B" w:rsidR="00C543F8" w:rsidRDefault="00EF6174" w:rsidP="002674AB">
      <w:r>
        <w:t xml:space="preserve"> </w:t>
      </w:r>
    </w:p>
    <w:p w14:paraId="54B88A96" w14:textId="793E5491" w:rsidR="00C556F8" w:rsidRDefault="0074767D" w:rsidP="00C556F8">
      <w:pPr>
        <w:pStyle w:val="Caption"/>
        <w:keepNext/>
      </w:pPr>
      <w:r>
        <w:rPr>
          <w:noProof/>
        </w:rPr>
        <w:lastRenderedPageBreak/>
        <w:drawing>
          <wp:inline distT="0" distB="0" distL="0" distR="0" wp14:anchorId="69427983" wp14:editId="673F2CBE">
            <wp:extent cx="5931535" cy="4587875"/>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31535" cy="4587875"/>
                    </a:xfrm>
                    <a:prstGeom prst="rect">
                      <a:avLst/>
                    </a:prstGeom>
                    <a:noFill/>
                    <a:ln>
                      <a:noFill/>
                    </a:ln>
                  </pic:spPr>
                </pic:pic>
              </a:graphicData>
            </a:graphic>
          </wp:inline>
        </w:drawing>
      </w:r>
    </w:p>
    <w:p w14:paraId="37DC03E8" w14:textId="7267557C" w:rsidR="00477003" w:rsidRDefault="00C556F8" w:rsidP="00C556F8">
      <w:pPr>
        <w:pStyle w:val="Caption"/>
      </w:pPr>
      <w:bookmarkStart w:id="17" w:name="_Toc170382213"/>
      <w:r>
        <w:t xml:space="preserve">Figure </w:t>
      </w:r>
      <w:fldSimple w:instr=" SEQ Figure \* ARABIC ">
        <w:r w:rsidR="00FC3A8E">
          <w:rPr>
            <w:noProof/>
          </w:rPr>
          <w:t>16</w:t>
        </w:r>
      </w:fldSimple>
      <w:r>
        <w:t xml:space="preserve">: Global </w:t>
      </w:r>
      <w:r w:rsidR="00207456">
        <w:t>p</w:t>
      </w:r>
      <w:r>
        <w:t xml:space="preserve">olicy </w:t>
      </w:r>
      <w:r w:rsidR="00207456">
        <w:t>c</w:t>
      </w:r>
      <w:r>
        <w:t>osts</w:t>
      </w:r>
      <w:r w:rsidR="00207456">
        <w:t>.</w:t>
      </w:r>
      <w:bookmarkEnd w:id="17"/>
    </w:p>
    <w:p w14:paraId="258151C8" w14:textId="77777777" w:rsidR="00872DFC" w:rsidRDefault="00872DFC" w:rsidP="00872DFC"/>
    <w:p w14:paraId="20A70666" w14:textId="77777777" w:rsidR="001D0123" w:rsidRDefault="00872DFC" w:rsidP="001D0123">
      <w:pPr>
        <w:keepNext/>
      </w:pPr>
      <w:r>
        <w:rPr>
          <w:noProof/>
        </w:rPr>
        <w:lastRenderedPageBreak/>
        <w:drawing>
          <wp:inline distT="0" distB="0" distL="0" distR="0" wp14:anchorId="33963D82" wp14:editId="547BB693">
            <wp:extent cx="6104493" cy="3712707"/>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13541" cy="3718210"/>
                    </a:xfrm>
                    <a:prstGeom prst="rect">
                      <a:avLst/>
                    </a:prstGeom>
                    <a:noFill/>
                  </pic:spPr>
                </pic:pic>
              </a:graphicData>
            </a:graphic>
          </wp:inline>
        </w:drawing>
      </w:r>
    </w:p>
    <w:p w14:paraId="2A1F5723" w14:textId="7CFFBC60" w:rsidR="00872DFC" w:rsidRDefault="001D0123" w:rsidP="001D0123">
      <w:pPr>
        <w:pStyle w:val="Caption"/>
      </w:pPr>
      <w:bookmarkStart w:id="18" w:name="_Toc170382214"/>
      <w:r>
        <w:t xml:space="preserve">Figure </w:t>
      </w:r>
      <w:fldSimple w:instr=" SEQ Figure \* ARABIC ">
        <w:r w:rsidR="00FC3A8E">
          <w:rPr>
            <w:noProof/>
          </w:rPr>
          <w:t>17</w:t>
        </w:r>
      </w:fldSimple>
      <w:r>
        <w:t xml:space="preserve">: Changes in </w:t>
      </w:r>
      <w:r w:rsidR="00207456">
        <w:t>r</w:t>
      </w:r>
      <w:r>
        <w:t xml:space="preserve">egional </w:t>
      </w:r>
      <w:r w:rsidR="00207456">
        <w:t>p</w:t>
      </w:r>
      <w:r>
        <w:t xml:space="preserve">olicy </w:t>
      </w:r>
      <w:r w:rsidR="00207456">
        <w:t>c</w:t>
      </w:r>
      <w:r>
        <w:t xml:space="preserve">ost vs. </w:t>
      </w:r>
      <w:r w:rsidR="00207456">
        <w:t>p</w:t>
      </w:r>
      <w:r>
        <w:t xml:space="preserve">roportion of </w:t>
      </w:r>
      <w:r w:rsidR="00257D53">
        <w:t>cumulative</w:t>
      </w:r>
      <w:r>
        <w:t xml:space="preserve"> CCS used for DACCS</w:t>
      </w:r>
      <w:r w:rsidR="00207456">
        <w:t>.</w:t>
      </w:r>
      <w:bookmarkEnd w:id="18"/>
    </w:p>
    <w:p w14:paraId="415E58D5" w14:textId="77777777" w:rsidR="0097050B" w:rsidRDefault="0097050B" w:rsidP="0097050B"/>
    <w:p w14:paraId="2D3FAF93" w14:textId="4D16A339" w:rsidR="00FC3A8E" w:rsidRDefault="00F83386" w:rsidP="00FC3A8E">
      <w:pPr>
        <w:keepNext/>
      </w:pPr>
      <w:r>
        <w:rPr>
          <w:noProof/>
        </w:rPr>
        <w:lastRenderedPageBreak/>
        <w:drawing>
          <wp:inline distT="0" distB="0" distL="0" distR="0" wp14:anchorId="7880A38F" wp14:editId="1C25B36F">
            <wp:extent cx="5943600" cy="29718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r w:rsidR="00FC3A8E">
        <w:rPr>
          <w:noProof/>
        </w:rPr>
        <w:drawing>
          <wp:inline distT="0" distB="0" distL="0" distR="0" wp14:anchorId="3A1716E9" wp14:editId="36AF64F5">
            <wp:extent cx="5943600" cy="2971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14:paraId="435F6AF8" w14:textId="1E00B4D3" w:rsidR="0097050B" w:rsidRPr="0097050B" w:rsidRDefault="00FC3A8E" w:rsidP="00FC3A8E">
      <w:pPr>
        <w:pStyle w:val="Caption"/>
      </w:pPr>
      <w:bookmarkStart w:id="19" w:name="_Toc170382215"/>
      <w:r>
        <w:t xml:space="preserve">Figure </w:t>
      </w:r>
      <w:fldSimple w:instr=" SEQ Figure \* ARABIC ">
        <w:r>
          <w:rPr>
            <w:noProof/>
          </w:rPr>
          <w:t>18</w:t>
        </w:r>
      </w:fldSimple>
      <w:r>
        <w:t>: Geologic CO</w:t>
      </w:r>
      <w:r w:rsidRPr="00FC3A8E">
        <w:rPr>
          <w:vertAlign w:val="subscript"/>
        </w:rPr>
        <w:t>2</w:t>
      </w:r>
      <w:r>
        <w:t xml:space="preserve"> storage by source for below 2</w:t>
      </w:r>
      <w:r>
        <w:rPr>
          <w:rFonts w:cstheme="minorHAnsi"/>
        </w:rPr>
        <w:t>⁰</w:t>
      </w:r>
      <w:r>
        <w:t xml:space="preserve"> C scenarios (SSP2)</w:t>
      </w:r>
      <w:r w:rsidR="00F83386">
        <w:t xml:space="preserve">.  The top figure reports results truncated </w:t>
      </w:r>
      <w:proofErr w:type="gramStart"/>
      <w:r w:rsidR="00F83386">
        <w:t>at</w:t>
      </w:r>
      <w:proofErr w:type="gramEnd"/>
      <w:r w:rsidR="00F83386">
        <w:t xml:space="preserve"> 2050, to better highlight near-term differences between scenarios.</w:t>
      </w:r>
      <w:bookmarkEnd w:id="19"/>
    </w:p>
    <w:sectPr w:rsidR="0097050B" w:rsidRPr="009705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320"/>
    <w:rsid w:val="000145BF"/>
    <w:rsid w:val="00017554"/>
    <w:rsid w:val="00023118"/>
    <w:rsid w:val="00027CB4"/>
    <w:rsid w:val="000316EF"/>
    <w:rsid w:val="00032075"/>
    <w:rsid w:val="0003592E"/>
    <w:rsid w:val="000440D4"/>
    <w:rsid w:val="00053E04"/>
    <w:rsid w:val="0007670E"/>
    <w:rsid w:val="00085E6B"/>
    <w:rsid w:val="000923F1"/>
    <w:rsid w:val="00093B78"/>
    <w:rsid w:val="000C6942"/>
    <w:rsid w:val="000E30F1"/>
    <w:rsid w:val="000F2E34"/>
    <w:rsid w:val="00101D11"/>
    <w:rsid w:val="00113D8C"/>
    <w:rsid w:val="00133BC6"/>
    <w:rsid w:val="00144BFC"/>
    <w:rsid w:val="00151DE1"/>
    <w:rsid w:val="001563DD"/>
    <w:rsid w:val="001645D2"/>
    <w:rsid w:val="00170BF1"/>
    <w:rsid w:val="0017226C"/>
    <w:rsid w:val="001804B3"/>
    <w:rsid w:val="001965F1"/>
    <w:rsid w:val="001B7320"/>
    <w:rsid w:val="001C0484"/>
    <w:rsid w:val="001D0123"/>
    <w:rsid w:val="001D75CF"/>
    <w:rsid w:val="001E7AA3"/>
    <w:rsid w:val="00207456"/>
    <w:rsid w:val="00207632"/>
    <w:rsid w:val="00210394"/>
    <w:rsid w:val="0025280A"/>
    <w:rsid w:val="00256B4B"/>
    <w:rsid w:val="00257D53"/>
    <w:rsid w:val="00262C35"/>
    <w:rsid w:val="002633DA"/>
    <w:rsid w:val="0026370F"/>
    <w:rsid w:val="00264F49"/>
    <w:rsid w:val="00265B1F"/>
    <w:rsid w:val="002674AB"/>
    <w:rsid w:val="00271A37"/>
    <w:rsid w:val="00273538"/>
    <w:rsid w:val="00275026"/>
    <w:rsid w:val="002775F5"/>
    <w:rsid w:val="0028693B"/>
    <w:rsid w:val="00296D35"/>
    <w:rsid w:val="00297BF6"/>
    <w:rsid w:val="002B2D5F"/>
    <w:rsid w:val="002E4271"/>
    <w:rsid w:val="002F5453"/>
    <w:rsid w:val="00320A96"/>
    <w:rsid w:val="0033016A"/>
    <w:rsid w:val="00336AA9"/>
    <w:rsid w:val="00337393"/>
    <w:rsid w:val="00350E55"/>
    <w:rsid w:val="0035391C"/>
    <w:rsid w:val="003936CF"/>
    <w:rsid w:val="003A0A8B"/>
    <w:rsid w:val="003A0E3C"/>
    <w:rsid w:val="003B4222"/>
    <w:rsid w:val="003C01E7"/>
    <w:rsid w:val="003E2861"/>
    <w:rsid w:val="003E4A70"/>
    <w:rsid w:val="003F2C7B"/>
    <w:rsid w:val="004143E2"/>
    <w:rsid w:val="0043624D"/>
    <w:rsid w:val="004468E0"/>
    <w:rsid w:val="00450F19"/>
    <w:rsid w:val="0047367E"/>
    <w:rsid w:val="00477003"/>
    <w:rsid w:val="00482DA1"/>
    <w:rsid w:val="004870BD"/>
    <w:rsid w:val="004903FF"/>
    <w:rsid w:val="004972B9"/>
    <w:rsid w:val="004B2C7F"/>
    <w:rsid w:val="004C11F0"/>
    <w:rsid w:val="004C7998"/>
    <w:rsid w:val="004C7E1B"/>
    <w:rsid w:val="004E2A23"/>
    <w:rsid w:val="00507B66"/>
    <w:rsid w:val="00526031"/>
    <w:rsid w:val="00535AA3"/>
    <w:rsid w:val="00540880"/>
    <w:rsid w:val="00554C22"/>
    <w:rsid w:val="005644AF"/>
    <w:rsid w:val="00567AFA"/>
    <w:rsid w:val="0059027F"/>
    <w:rsid w:val="005A388D"/>
    <w:rsid w:val="005A6EE2"/>
    <w:rsid w:val="005C2FF1"/>
    <w:rsid w:val="005D3DD7"/>
    <w:rsid w:val="005D4DC9"/>
    <w:rsid w:val="005E168C"/>
    <w:rsid w:val="005E2A4C"/>
    <w:rsid w:val="006127E9"/>
    <w:rsid w:val="006179CF"/>
    <w:rsid w:val="006322EB"/>
    <w:rsid w:val="00646633"/>
    <w:rsid w:val="006620C7"/>
    <w:rsid w:val="006921FD"/>
    <w:rsid w:val="006B4996"/>
    <w:rsid w:val="006C15FC"/>
    <w:rsid w:val="006E023C"/>
    <w:rsid w:val="006E0E68"/>
    <w:rsid w:val="0071672D"/>
    <w:rsid w:val="00733E19"/>
    <w:rsid w:val="007347B3"/>
    <w:rsid w:val="00742CF9"/>
    <w:rsid w:val="007445A1"/>
    <w:rsid w:val="0074767D"/>
    <w:rsid w:val="0075003C"/>
    <w:rsid w:val="00750567"/>
    <w:rsid w:val="00760E08"/>
    <w:rsid w:val="00765467"/>
    <w:rsid w:val="00773BF5"/>
    <w:rsid w:val="00795A6E"/>
    <w:rsid w:val="007F2DE2"/>
    <w:rsid w:val="008037C9"/>
    <w:rsid w:val="00814512"/>
    <w:rsid w:val="00823405"/>
    <w:rsid w:val="00826B01"/>
    <w:rsid w:val="00841F16"/>
    <w:rsid w:val="008430E5"/>
    <w:rsid w:val="00851181"/>
    <w:rsid w:val="0085383F"/>
    <w:rsid w:val="00856583"/>
    <w:rsid w:val="00864699"/>
    <w:rsid w:val="00872DFC"/>
    <w:rsid w:val="008740A2"/>
    <w:rsid w:val="00890F9D"/>
    <w:rsid w:val="008B3AFC"/>
    <w:rsid w:val="008B6078"/>
    <w:rsid w:val="008D2CFE"/>
    <w:rsid w:val="00901510"/>
    <w:rsid w:val="00905C52"/>
    <w:rsid w:val="009206B5"/>
    <w:rsid w:val="00934359"/>
    <w:rsid w:val="00944408"/>
    <w:rsid w:val="00954805"/>
    <w:rsid w:val="00956193"/>
    <w:rsid w:val="0097050B"/>
    <w:rsid w:val="00976843"/>
    <w:rsid w:val="00990544"/>
    <w:rsid w:val="009A5338"/>
    <w:rsid w:val="009A5DA2"/>
    <w:rsid w:val="009C7016"/>
    <w:rsid w:val="009E2DF3"/>
    <w:rsid w:val="00A01D89"/>
    <w:rsid w:val="00A03E66"/>
    <w:rsid w:val="00A1717E"/>
    <w:rsid w:val="00A2466B"/>
    <w:rsid w:val="00A24690"/>
    <w:rsid w:val="00A32EFC"/>
    <w:rsid w:val="00A36758"/>
    <w:rsid w:val="00A50D6D"/>
    <w:rsid w:val="00A51688"/>
    <w:rsid w:val="00A93A35"/>
    <w:rsid w:val="00A95EFE"/>
    <w:rsid w:val="00A961CC"/>
    <w:rsid w:val="00A96745"/>
    <w:rsid w:val="00AA161E"/>
    <w:rsid w:val="00AB1D28"/>
    <w:rsid w:val="00AB4569"/>
    <w:rsid w:val="00AC2351"/>
    <w:rsid w:val="00AC3250"/>
    <w:rsid w:val="00AE32D4"/>
    <w:rsid w:val="00B002E2"/>
    <w:rsid w:val="00B019FC"/>
    <w:rsid w:val="00B40AE8"/>
    <w:rsid w:val="00B41212"/>
    <w:rsid w:val="00B47774"/>
    <w:rsid w:val="00B52F6E"/>
    <w:rsid w:val="00B5709F"/>
    <w:rsid w:val="00B6401B"/>
    <w:rsid w:val="00B7438C"/>
    <w:rsid w:val="00B81914"/>
    <w:rsid w:val="00B82F12"/>
    <w:rsid w:val="00B971F8"/>
    <w:rsid w:val="00BA26F3"/>
    <w:rsid w:val="00BB1B9B"/>
    <w:rsid w:val="00BB70CE"/>
    <w:rsid w:val="00BC4711"/>
    <w:rsid w:val="00BC4FAC"/>
    <w:rsid w:val="00BD6BA6"/>
    <w:rsid w:val="00BF2D43"/>
    <w:rsid w:val="00C033DD"/>
    <w:rsid w:val="00C23DB1"/>
    <w:rsid w:val="00C25259"/>
    <w:rsid w:val="00C543F8"/>
    <w:rsid w:val="00C556F8"/>
    <w:rsid w:val="00C67870"/>
    <w:rsid w:val="00C7093A"/>
    <w:rsid w:val="00C81AF0"/>
    <w:rsid w:val="00CA5205"/>
    <w:rsid w:val="00CB5089"/>
    <w:rsid w:val="00CC6E17"/>
    <w:rsid w:val="00CD7D71"/>
    <w:rsid w:val="00CF1D26"/>
    <w:rsid w:val="00D34799"/>
    <w:rsid w:val="00D568BE"/>
    <w:rsid w:val="00D627CC"/>
    <w:rsid w:val="00D8086E"/>
    <w:rsid w:val="00D933D3"/>
    <w:rsid w:val="00DA1784"/>
    <w:rsid w:val="00DA1A88"/>
    <w:rsid w:val="00DD2485"/>
    <w:rsid w:val="00E023DE"/>
    <w:rsid w:val="00E13036"/>
    <w:rsid w:val="00E14F79"/>
    <w:rsid w:val="00E31347"/>
    <w:rsid w:val="00E36652"/>
    <w:rsid w:val="00E43FDC"/>
    <w:rsid w:val="00E45930"/>
    <w:rsid w:val="00E517F7"/>
    <w:rsid w:val="00E62095"/>
    <w:rsid w:val="00E66006"/>
    <w:rsid w:val="00E82EF3"/>
    <w:rsid w:val="00E847B3"/>
    <w:rsid w:val="00E86FDA"/>
    <w:rsid w:val="00E972BD"/>
    <w:rsid w:val="00EB5D0D"/>
    <w:rsid w:val="00EE462C"/>
    <w:rsid w:val="00EF286F"/>
    <w:rsid w:val="00EF6174"/>
    <w:rsid w:val="00F14064"/>
    <w:rsid w:val="00F24314"/>
    <w:rsid w:val="00F303E2"/>
    <w:rsid w:val="00F5135E"/>
    <w:rsid w:val="00F7044D"/>
    <w:rsid w:val="00F75AC4"/>
    <w:rsid w:val="00F83386"/>
    <w:rsid w:val="00FA03A2"/>
    <w:rsid w:val="00FA2E27"/>
    <w:rsid w:val="00FB1D0F"/>
    <w:rsid w:val="00FB1D15"/>
    <w:rsid w:val="00FB5BCF"/>
    <w:rsid w:val="00FC3A8E"/>
    <w:rsid w:val="00FC5E25"/>
    <w:rsid w:val="00FD2AAC"/>
    <w:rsid w:val="00FD32DF"/>
    <w:rsid w:val="00FF3A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BFB73"/>
  <w15:chartTrackingRefBased/>
  <w15:docId w15:val="{54A8817A-EFCD-40C9-B233-041A2F0C8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3E0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D2485"/>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E1303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036"/>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6620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6620C7"/>
    <w:rPr>
      <w:rFonts w:ascii="Segoe UI" w:hAnsi="Segoe UI" w:cs="Segoe UI" w:hint="default"/>
      <w:sz w:val="18"/>
      <w:szCs w:val="18"/>
    </w:rPr>
  </w:style>
  <w:style w:type="paragraph" w:customStyle="1" w:styleId="pf0">
    <w:name w:val="pf0"/>
    <w:basedOn w:val="Normal"/>
    <w:rsid w:val="006620C7"/>
    <w:pPr>
      <w:spacing w:before="100" w:beforeAutospacing="1" w:after="100" w:afterAutospacing="1" w:line="240" w:lineRule="auto"/>
    </w:pPr>
    <w:rPr>
      <w:rFonts w:ascii="Times New Roman" w:eastAsia="Times New Roman" w:hAnsi="Times New Roman" w:cs="Times New Roman"/>
      <w:sz w:val="24"/>
      <w:szCs w:val="24"/>
    </w:rPr>
  </w:style>
  <w:style w:type="paragraph" w:styleId="TableofFigures">
    <w:name w:val="table of figures"/>
    <w:basedOn w:val="Normal"/>
    <w:next w:val="Normal"/>
    <w:uiPriority w:val="99"/>
    <w:unhideWhenUsed/>
    <w:rsid w:val="006620C7"/>
    <w:pPr>
      <w:spacing w:after="0"/>
    </w:pPr>
  </w:style>
  <w:style w:type="character" w:styleId="Hyperlink">
    <w:name w:val="Hyperlink"/>
    <w:basedOn w:val="DefaultParagraphFont"/>
    <w:uiPriority w:val="99"/>
    <w:unhideWhenUsed/>
    <w:rsid w:val="006620C7"/>
    <w:rPr>
      <w:color w:val="0563C1" w:themeColor="hyperlink"/>
      <w:u w:val="single"/>
    </w:rPr>
  </w:style>
  <w:style w:type="character" w:customStyle="1" w:styleId="Heading1Char">
    <w:name w:val="Heading 1 Char"/>
    <w:basedOn w:val="DefaultParagraphFont"/>
    <w:link w:val="Heading1"/>
    <w:uiPriority w:val="9"/>
    <w:rsid w:val="00053E04"/>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0145BF"/>
    <w:pPr>
      <w:spacing w:after="0" w:line="240" w:lineRule="auto"/>
    </w:pPr>
  </w:style>
  <w:style w:type="character" w:styleId="CommentReference">
    <w:name w:val="annotation reference"/>
    <w:basedOn w:val="DefaultParagraphFont"/>
    <w:uiPriority w:val="99"/>
    <w:semiHidden/>
    <w:unhideWhenUsed/>
    <w:rsid w:val="00B40AE8"/>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Bibliography">
    <w:name w:val="Bibliography"/>
    <w:basedOn w:val="Normal"/>
    <w:next w:val="Normal"/>
    <w:uiPriority w:val="37"/>
    <w:semiHidden/>
    <w:unhideWhenUsed/>
    <w:rsid w:val="00E972BD"/>
  </w:style>
  <w:style w:type="paragraph" w:styleId="Revision">
    <w:name w:val="Revision"/>
    <w:hidden/>
    <w:uiPriority w:val="99"/>
    <w:semiHidden/>
    <w:rsid w:val="002074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446712">
      <w:bodyDiv w:val="1"/>
      <w:marLeft w:val="0"/>
      <w:marRight w:val="0"/>
      <w:marTop w:val="0"/>
      <w:marBottom w:val="0"/>
      <w:divBdr>
        <w:top w:val="none" w:sz="0" w:space="0" w:color="auto"/>
        <w:left w:val="none" w:sz="0" w:space="0" w:color="auto"/>
        <w:bottom w:val="none" w:sz="0" w:space="0" w:color="auto"/>
        <w:right w:val="none" w:sz="0" w:space="0" w:color="auto"/>
      </w:divBdr>
    </w:div>
    <w:div w:id="1864172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AAC61-8CD5-41B2-A159-38F45A3B5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20</Pages>
  <Words>5612</Words>
  <Characters>31995</Characters>
  <Application>Microsoft Office Word</Application>
  <DocSecurity>0</DocSecurity>
  <Lines>266</Lines>
  <Paragraphs>75</Paragraphs>
  <ScaleCrop>false</ScaleCrop>
  <Company/>
  <LinksUpToDate>false</LinksUpToDate>
  <CharactersWithSpaces>37532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Fuhrman, Jay G</dc:creator>
  <cp:keywords/>
  <dc:description/>
  <cp:lastModifiedBy>Fuhrman, Jay G</cp:lastModifiedBy>
  <cp:revision>8</cp:revision>
  <dcterms:created xsi:type="dcterms:W3CDTF">2024-06-19T18:08:00Z</dcterms:created>
  <dcterms:modified xsi:type="dcterms:W3CDTF">2024-06-27T21:50:00Z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id="gZLWMJnD"/&gt;&lt;style id="http://www.zotero.org/styles/nature" hasBibliography="1" bibliographyStyleHasBeenSet="1"/&gt;&lt;prefs&gt;&lt;pref name="fieldType" value="Field"/&gt;&lt;/prefs&gt;&lt;/data&gt;</vt:lpwstr>
  </property>
</Properties>
</file>