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17020" w14:textId="77777777" w:rsidR="001A7200" w:rsidRDefault="001A7200" w:rsidP="001A7200">
      <w:pPr>
        <w:pStyle w:val="Heading1"/>
      </w:pPr>
      <w:r>
        <w:t>Supplementary materials</w:t>
      </w:r>
    </w:p>
    <w:p w14:paraId="5D876F2A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C07B8B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A38587C" wp14:editId="3EA766BD">
            <wp:extent cx="5731200" cy="2768600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6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5062CF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 </w:t>
      </w:r>
      <w:r>
        <w:rPr>
          <w:rFonts w:ascii="Times New Roman" w:eastAsia="Times New Roman" w:hAnsi="Times New Roman" w:cs="Times New Roman"/>
        </w:rPr>
        <w:t>- Effects of varying the xylose and oxygen uptake rates on growth.</w:t>
      </w:r>
    </w:p>
    <w:p w14:paraId="54EB5479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6314856A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371D2FDC" wp14:editId="75C1E488">
            <wp:extent cx="5731200" cy="2794000"/>
            <wp:effectExtent l="0" t="0" r="0" b="0"/>
            <wp:docPr id="2" name="image8.png" descr="A colorful grid with black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 descr="A colorful grid with black lines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94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4F1D15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S2 </w:t>
      </w:r>
      <w:r>
        <w:rPr>
          <w:rFonts w:ascii="Times New Roman" w:eastAsia="Times New Roman" w:hAnsi="Times New Roman" w:cs="Times New Roman"/>
        </w:rPr>
        <w:t>- Effects of varying the xylose and oxygen uptake rates on TAG exchange.</w:t>
      </w:r>
    </w:p>
    <w:p w14:paraId="671B85D8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25EA99CB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2A693EE7" wp14:editId="229EE362">
            <wp:extent cx="5731200" cy="2768600"/>
            <wp:effectExtent l="0" t="0" r="0" b="0"/>
            <wp:docPr id="9" name="image4.png" descr="A blue and green striped pyrami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 descr="A blue and green striped pyramid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6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1AD0EC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S3 </w:t>
      </w:r>
      <w:proofErr w:type="gramStart"/>
      <w:r>
        <w:rPr>
          <w:rFonts w:ascii="Times New Roman" w:eastAsia="Times New Roman" w:hAnsi="Times New Roman" w:cs="Times New Roman"/>
          <w:b/>
        </w:rPr>
        <w:t>-</w:t>
      </w:r>
      <w:r>
        <w:rPr>
          <w:rFonts w:ascii="Times New Roman" w:eastAsia="Times New Roman" w:hAnsi="Times New Roman" w:cs="Times New Roman"/>
        </w:rPr>
        <w:t xml:space="preserve">  Effects</w:t>
      </w:r>
      <w:proofErr w:type="gramEnd"/>
      <w:r>
        <w:rPr>
          <w:rFonts w:ascii="Times New Roman" w:eastAsia="Times New Roman" w:hAnsi="Times New Roman" w:cs="Times New Roman"/>
        </w:rPr>
        <w:t xml:space="preserve"> of varying the glycerol and oxygen uptake rates on growth.</w:t>
      </w:r>
    </w:p>
    <w:p w14:paraId="03CDAEDA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4B98EC1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4485FAAC" wp14:editId="62EE6AAE">
            <wp:extent cx="5731200" cy="2781300"/>
            <wp:effectExtent l="0" t="0" r="0" b="0"/>
            <wp:docPr id="5" name="image6.png" descr="A colorful grid with black lin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 descr="A colorful grid with black lines&#10;&#10;Description automatically generated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781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A6465F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S4</w:t>
      </w:r>
      <w:r>
        <w:rPr>
          <w:rFonts w:ascii="Times New Roman" w:eastAsia="Times New Roman" w:hAnsi="Times New Roman" w:cs="Times New Roman"/>
        </w:rPr>
        <w:t xml:space="preserve"> - Effects of varying the glycerol and oxygen uptake rates on TAG exchange.</w:t>
      </w:r>
    </w:p>
    <w:p w14:paraId="4EE6968F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7F2AC2F0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26856CF9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67B242A1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CB300D7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A341697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7B537A90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4C91F31A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162811FA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6F7F7903" wp14:editId="08526633">
            <wp:extent cx="5663224" cy="5534025"/>
            <wp:effectExtent l="0" t="0" r="0" b="0"/>
            <wp:docPr id="6" name="image9.png" descr="A chart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9.png" descr="A chart of a graph&#10;&#10;Description automatically generated with medium confidence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3224" cy="5534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A465C05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S5 -</w:t>
      </w:r>
      <w:r>
        <w:rPr>
          <w:rFonts w:ascii="Times New Roman" w:eastAsia="Times New Roman" w:hAnsi="Times New Roman" w:cs="Times New Roman"/>
        </w:rPr>
        <w:t xml:space="preserve"> Effects of varying the nitrogen and oxygen uptake rates on (A) growth and (B) TAG exchange rates fixing glucose as the carbon source.</w:t>
      </w:r>
    </w:p>
    <w:p w14:paraId="1844E823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114300" distB="114300" distL="114300" distR="114300" wp14:anchorId="5C275A9D" wp14:editId="6CCC19B1">
            <wp:extent cx="5731200" cy="5562600"/>
            <wp:effectExtent l="0" t="0" r="0" b="0"/>
            <wp:docPr id="10" name="image10.png" descr="A chart of a graph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.png" descr="A chart of a graph&#10;&#10;Description automatically generated with medium confidence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5562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8A42A9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S6</w:t>
      </w:r>
      <w:r>
        <w:rPr>
          <w:rFonts w:ascii="Times New Roman" w:eastAsia="Times New Roman" w:hAnsi="Times New Roman" w:cs="Times New Roman"/>
        </w:rPr>
        <w:t xml:space="preserve"> - Effects of varying the nitrogen and oxygen uptake rates on (A) growth and (B) TAG exchange rates fixing xylose as the carbon </w:t>
      </w:r>
      <w:proofErr w:type="gramStart"/>
      <w:r>
        <w:rPr>
          <w:rFonts w:ascii="Times New Roman" w:eastAsia="Times New Roman" w:hAnsi="Times New Roman" w:cs="Times New Roman"/>
        </w:rPr>
        <w:t>source</w:t>
      </w:r>
      <w:proofErr w:type="gramEnd"/>
    </w:p>
    <w:p w14:paraId="212C0CDC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31F627FE" w14:textId="77777777" w:rsidR="001A7200" w:rsidRDefault="001A7200" w:rsidP="001A7200">
      <w:pPr>
        <w:spacing w:line="36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</w:rPr>
        <w:lastRenderedPageBreak/>
        <w:drawing>
          <wp:inline distT="114300" distB="114300" distL="114300" distR="114300" wp14:anchorId="6D028147" wp14:editId="142662E1">
            <wp:extent cx="4983222" cy="5670277"/>
            <wp:effectExtent l="0" t="0" r="0" b="0"/>
            <wp:docPr id="7" name="image2.png" descr="A screenshot of a graph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 descr="A screenshot of a graph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3222" cy="56702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690D78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Figure S7</w:t>
      </w:r>
      <w:r>
        <w:rPr>
          <w:rFonts w:ascii="Times New Roman" w:eastAsia="Times New Roman" w:hAnsi="Times New Roman" w:cs="Times New Roman"/>
        </w:rPr>
        <w:t xml:space="preserve"> - Effects of varying the nitrogen and oxygen uptake rates on (A) growth and (B) TAG exchange rates fixing glycerol as the carbon source.</w:t>
      </w:r>
    </w:p>
    <w:p w14:paraId="18369867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18158CD" w14:textId="77777777" w:rsidR="001A7200" w:rsidRDefault="001A7200" w:rsidP="001A7200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7CEE2B1" w14:textId="77777777" w:rsidR="0011573D" w:rsidRDefault="0011573D"/>
    <w:sectPr w:rsidR="0011573D">
      <w:headerReference w:type="default" r:id="rId11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BFC60" w14:textId="77777777" w:rsidR="00792CF1" w:rsidRDefault="00792C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A0MjYxBBIGBiaWlko6SsGpxcWZ+XkgBYa1AMEd93gsAAAA"/>
  </w:docVars>
  <w:rsids>
    <w:rsidRoot w:val="001A7200"/>
    <w:rsid w:val="0011573D"/>
    <w:rsid w:val="001A7200"/>
    <w:rsid w:val="001D74E6"/>
    <w:rsid w:val="0025594D"/>
    <w:rsid w:val="00792CF1"/>
    <w:rsid w:val="00E3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A20A8D2"/>
  <w15:chartTrackingRefBased/>
  <w15:docId w15:val="{8192A319-DC42-414F-B00F-833FCED07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200"/>
    <w:pPr>
      <w:spacing w:after="0" w:line="276" w:lineRule="auto"/>
    </w:pPr>
    <w:rPr>
      <w:rFonts w:ascii="Arial" w:eastAsia="Arial" w:hAnsi="Arial" w:cs="Arial"/>
      <w:kern w:val="0"/>
      <w:lang w:val="en" w:eastAsia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51B3"/>
    <w:pPr>
      <w:keepNext/>
      <w:keepLines/>
      <w:spacing w:before="240" w:line="360" w:lineRule="auto"/>
      <w:jc w:val="both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1B3"/>
    <w:rPr>
      <w:rFonts w:ascii="Times New Roman" w:eastAsiaTheme="majorEastAsia" w:hAnsi="Times New Roman" w:cstheme="majorBidi"/>
      <w:b/>
      <w:color w:val="000000" w:themeColor="text1"/>
      <w:kern w:val="0"/>
      <w:sz w:val="24"/>
      <w:szCs w:val="3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127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E.A.</dc:creator>
  <cp:keywords/>
  <dc:description/>
  <cp:lastModifiedBy>E.A.</cp:lastModifiedBy>
  <cp:revision>1</cp:revision>
  <dcterms:created xsi:type="dcterms:W3CDTF">2023-09-25T13:50:00Z</dcterms:created>
  <dcterms:modified xsi:type="dcterms:W3CDTF">2023-09-25T14:25:00Z</dcterms:modified>
</cp:coreProperties>
</file>