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813297" w14:textId="77777777" w:rsidR="00283008" w:rsidRDefault="00283008" w:rsidP="00B86D8C">
      <w:pPr>
        <w:spacing w:line="360" w:lineRule="auto"/>
        <w:rPr>
          <w:rStyle w:val="Strong"/>
          <w:rFonts w:ascii="Arial" w:eastAsiaTheme="majorEastAsia" w:hAnsi="Arial" w:cs="Arial"/>
          <w:color w:val="000000"/>
        </w:rPr>
      </w:pPr>
      <w:bookmarkStart w:id="0" w:name="_GoBack"/>
      <w:bookmarkEnd w:id="0"/>
    </w:p>
    <w:p w14:paraId="13AE6AC5" w14:textId="77777777" w:rsidR="0099400F" w:rsidRDefault="0099400F" w:rsidP="0099400F">
      <w:pPr>
        <w:spacing w:line="360" w:lineRule="auto"/>
        <w:rPr>
          <w:b/>
          <w:bCs/>
          <w:color w:val="000000" w:themeColor="text1"/>
          <w:sz w:val="28"/>
          <w:szCs w:val="28"/>
        </w:rPr>
      </w:pPr>
      <w:r w:rsidRPr="00570C90">
        <w:rPr>
          <w:b/>
          <w:bCs/>
          <w:color w:val="000000" w:themeColor="text1"/>
          <w:sz w:val="28"/>
          <w:szCs w:val="28"/>
        </w:rPr>
        <w:t>Computational Development of mushroom-6-Glucan/Paclitaxel as a Synergistic Complementary Medicine for Breast Cancer Therapy</w:t>
      </w:r>
    </w:p>
    <w:p w14:paraId="1413055B" w14:textId="77777777" w:rsidR="00633969" w:rsidRPr="00136E92" w:rsidRDefault="00633969" w:rsidP="00633969">
      <w:pPr>
        <w:spacing w:line="360" w:lineRule="auto"/>
        <w:rPr>
          <w:color w:val="000000" w:themeColor="text1"/>
        </w:rPr>
      </w:pPr>
    </w:p>
    <w:p w14:paraId="38C11D45" w14:textId="77777777" w:rsidR="00633969" w:rsidRPr="00136E92" w:rsidRDefault="00633969" w:rsidP="00633969">
      <w:r w:rsidRPr="00136E92">
        <w:rPr>
          <w:color w:val="000000" w:themeColor="text1"/>
          <w:shd w:val="clear" w:color="auto" w:fill="FFFFFF"/>
        </w:rPr>
        <w:t>Nehal M. EL-Deeb</w:t>
      </w:r>
      <w:r w:rsidRPr="00136E92">
        <w:rPr>
          <w:color w:val="000000" w:themeColor="text1"/>
          <w:shd w:val="clear" w:color="auto" w:fill="FFFFFF"/>
          <w:vertAlign w:val="superscript"/>
        </w:rPr>
        <w:t>1</w:t>
      </w:r>
      <w:r w:rsidRPr="00136E92">
        <w:rPr>
          <w:color w:val="000000" w:themeColor="text1"/>
          <w:sz w:val="22"/>
          <w:szCs w:val="22"/>
          <w:vertAlign w:val="superscript"/>
        </w:rPr>
        <w:t>#</w:t>
      </w:r>
      <w:r w:rsidRPr="00136E92">
        <w:rPr>
          <w:b/>
          <w:bCs/>
          <w:color w:val="000000" w:themeColor="text1"/>
          <w:vertAlign w:val="superscript"/>
        </w:rPr>
        <w:t>*</w:t>
      </w:r>
      <w:r w:rsidRPr="00136E92">
        <w:rPr>
          <w:color w:val="000000" w:themeColor="text1"/>
          <w:shd w:val="clear" w:color="auto" w:fill="FFFFFF"/>
        </w:rPr>
        <w:t>, Omar M. Ibrahim</w:t>
      </w:r>
      <w:r w:rsidRPr="00136E92">
        <w:rPr>
          <w:color w:val="000000" w:themeColor="text1"/>
          <w:sz w:val="22"/>
          <w:szCs w:val="22"/>
          <w:vertAlign w:val="superscript"/>
        </w:rPr>
        <w:t>2#**</w:t>
      </w:r>
      <w:r w:rsidRPr="00136E92">
        <w:rPr>
          <w:color w:val="000000" w:themeColor="text1"/>
          <w:shd w:val="clear" w:color="auto" w:fill="FFFFFF"/>
        </w:rPr>
        <w:t>, Ayman M. Kamel</w:t>
      </w:r>
      <w:r w:rsidRPr="00136E92">
        <w:rPr>
          <w:rStyle w:val="apple-converted-space"/>
          <w:rFonts w:eastAsiaTheme="majorEastAsia"/>
          <w:sz w:val="22"/>
          <w:szCs w:val="22"/>
        </w:rPr>
        <w:t> </w:t>
      </w:r>
      <w:r w:rsidRPr="00136E92">
        <w:rPr>
          <w:rStyle w:val="author-ref"/>
          <w:sz w:val="22"/>
          <w:szCs w:val="22"/>
          <w:vertAlign w:val="superscript"/>
        </w:rPr>
        <w:t>3,4</w:t>
      </w:r>
      <w:r w:rsidRPr="00136E92">
        <w:rPr>
          <w:sz w:val="22"/>
          <w:szCs w:val="22"/>
        </w:rPr>
        <w:t>,</w:t>
      </w:r>
      <w:r w:rsidRPr="00136E92">
        <w:rPr>
          <w:color w:val="000000" w:themeColor="text1"/>
          <w:shd w:val="clear" w:color="auto" w:fill="FFFFFF"/>
        </w:rPr>
        <w:t xml:space="preserve"> Ahmed I. Gomaa</w:t>
      </w:r>
      <w:r w:rsidRPr="00136E92">
        <w:rPr>
          <w:color w:val="000000" w:themeColor="text1"/>
          <w:shd w:val="clear" w:color="auto" w:fill="FFFFFF"/>
          <w:vertAlign w:val="superscript"/>
        </w:rPr>
        <w:t>5</w:t>
      </w:r>
      <w:r w:rsidRPr="00136E92">
        <w:rPr>
          <w:color w:val="000000"/>
          <w:sz w:val="22"/>
          <w:szCs w:val="22"/>
          <w:shd w:val="clear" w:color="auto" w:fill="FFFFFF"/>
        </w:rPr>
        <w:t xml:space="preserve">, </w:t>
      </w:r>
      <w:r w:rsidRPr="00136E92">
        <w:rPr>
          <w:color w:val="000000" w:themeColor="text1"/>
          <w:shd w:val="clear" w:color="auto" w:fill="FFFFFF"/>
        </w:rPr>
        <w:t>Ahmed M. Kenawy</w:t>
      </w:r>
      <w:r w:rsidRPr="00136E92">
        <w:rPr>
          <w:color w:val="000000" w:themeColor="text1"/>
          <w:shd w:val="clear" w:color="auto" w:fill="FFFFFF"/>
          <w:vertAlign w:val="superscript"/>
        </w:rPr>
        <w:t>6</w:t>
      </w:r>
    </w:p>
    <w:p w14:paraId="638CB628" w14:textId="77777777" w:rsidR="00633969" w:rsidRPr="00136E92" w:rsidRDefault="00633969" w:rsidP="00633969">
      <w:pPr>
        <w:spacing w:line="360" w:lineRule="auto"/>
        <w:rPr>
          <w:b/>
          <w:bCs/>
          <w:color w:val="000000" w:themeColor="text1"/>
        </w:rPr>
      </w:pPr>
    </w:p>
    <w:p w14:paraId="2835116C" w14:textId="77777777" w:rsidR="00633969" w:rsidRPr="00136E92" w:rsidRDefault="00633969" w:rsidP="00633969">
      <w:pPr>
        <w:spacing w:line="360" w:lineRule="auto"/>
        <w:rPr>
          <w:i/>
          <w:iCs/>
          <w:color w:val="000000" w:themeColor="text1"/>
          <w:sz w:val="22"/>
          <w:szCs w:val="22"/>
        </w:rPr>
      </w:pPr>
      <w:r w:rsidRPr="00136E92">
        <w:rPr>
          <w:i/>
          <w:iCs/>
          <w:color w:val="000000" w:themeColor="text1"/>
          <w:sz w:val="22"/>
          <w:szCs w:val="22"/>
          <w:vertAlign w:val="superscript"/>
        </w:rPr>
        <w:t>1</w:t>
      </w:r>
      <w:r w:rsidRPr="00136E92">
        <w:rPr>
          <w:i/>
          <w:iCs/>
          <w:color w:val="000000" w:themeColor="text1"/>
          <w:sz w:val="22"/>
          <w:szCs w:val="22"/>
        </w:rPr>
        <w:t>Pharmaceutical Bioproducts Research Department, Genetic Engineering and Biotechnology Research Institute (GEBRI), City of Scientific Research and Technological Applications (SRTA-City), New Borg El-Arab City, Alexandria, Egypt.</w:t>
      </w:r>
    </w:p>
    <w:p w14:paraId="16EA1D80" w14:textId="77777777" w:rsidR="00633969" w:rsidRPr="00136E92" w:rsidRDefault="00633969" w:rsidP="00633969">
      <w:pPr>
        <w:spacing w:line="360" w:lineRule="auto"/>
        <w:rPr>
          <w:i/>
          <w:iCs/>
          <w:color w:val="000000" w:themeColor="text1"/>
          <w:sz w:val="22"/>
          <w:szCs w:val="22"/>
        </w:rPr>
      </w:pPr>
      <w:r w:rsidRPr="00136E92">
        <w:rPr>
          <w:i/>
          <w:iCs/>
          <w:color w:val="000000" w:themeColor="text1"/>
          <w:sz w:val="22"/>
          <w:szCs w:val="22"/>
          <w:shd w:val="clear" w:color="auto" w:fill="FFFFFF"/>
          <w:vertAlign w:val="superscript"/>
        </w:rPr>
        <w:t>2</w:t>
      </w:r>
      <w:r w:rsidRPr="00136E92">
        <w:t xml:space="preserve"> </w:t>
      </w:r>
      <w:r w:rsidRPr="00136E92">
        <w:rPr>
          <w:i/>
          <w:iCs/>
          <w:color w:val="000000" w:themeColor="text1"/>
          <w:sz w:val="22"/>
          <w:szCs w:val="22"/>
        </w:rPr>
        <w:t>Department of Medicine, Washington University School of Medicine, St. Louis, Missouri 63110.</w:t>
      </w:r>
    </w:p>
    <w:p w14:paraId="2E7A72FF" w14:textId="77777777" w:rsidR="00633969" w:rsidRPr="00136E92" w:rsidRDefault="00633969" w:rsidP="00633969">
      <w:pPr>
        <w:spacing w:line="360" w:lineRule="auto"/>
        <w:rPr>
          <w:i/>
          <w:iCs/>
          <w:color w:val="000000" w:themeColor="text1"/>
          <w:sz w:val="22"/>
          <w:szCs w:val="22"/>
        </w:rPr>
      </w:pPr>
      <w:r w:rsidRPr="00136E92">
        <w:rPr>
          <w:i/>
          <w:iCs/>
          <w:sz w:val="22"/>
          <w:szCs w:val="22"/>
          <w:vertAlign w:val="superscript"/>
        </w:rPr>
        <w:t xml:space="preserve">3 </w:t>
      </w:r>
      <w:r w:rsidRPr="00136E92">
        <w:rPr>
          <w:i/>
          <w:iCs/>
          <w:sz w:val="22"/>
          <w:szCs w:val="22"/>
        </w:rPr>
        <w:t>Pharmaceutical Sciences Division, Medicinal and Aromatic Plants Dept., National Research Centre, Cairo, Egypt.</w:t>
      </w:r>
    </w:p>
    <w:p w14:paraId="2A9A5CA8" w14:textId="77777777" w:rsidR="00633969" w:rsidRPr="00136E92" w:rsidRDefault="00633969" w:rsidP="00633969">
      <w:pPr>
        <w:spacing w:line="360" w:lineRule="auto"/>
        <w:rPr>
          <w:i/>
          <w:iCs/>
          <w:color w:val="000000" w:themeColor="text1"/>
          <w:sz w:val="22"/>
          <w:szCs w:val="22"/>
          <w:shd w:val="clear" w:color="auto" w:fill="FFFFFF"/>
        </w:rPr>
      </w:pPr>
      <w:r w:rsidRPr="00136E92">
        <w:rPr>
          <w:i/>
          <w:iCs/>
          <w:sz w:val="22"/>
          <w:szCs w:val="22"/>
          <w:vertAlign w:val="superscript"/>
        </w:rPr>
        <w:t>4</w:t>
      </w:r>
      <w:r w:rsidRPr="00136E92">
        <w:rPr>
          <w:i/>
          <w:iCs/>
          <w:sz w:val="22"/>
          <w:szCs w:val="22"/>
        </w:rPr>
        <w:t xml:space="preserve"> School of Nutrition</w:t>
      </w:r>
      <w:r w:rsidRPr="00136E92">
        <w:rPr>
          <w:rStyle w:val="apple-converted-space"/>
          <w:rFonts w:eastAsiaTheme="majorEastAsia"/>
          <w:sz w:val="22"/>
          <w:szCs w:val="22"/>
        </w:rPr>
        <w:t> </w:t>
      </w:r>
      <w:r w:rsidRPr="00136E92">
        <w:rPr>
          <w:i/>
          <w:iCs/>
          <w:sz w:val="22"/>
          <w:szCs w:val="22"/>
        </w:rPr>
        <w:t xml:space="preserve">Sciences, Faculty of Health Sciences, University of Ottawa, </w:t>
      </w:r>
      <w:r w:rsidRPr="00136E92">
        <w:rPr>
          <w:i/>
          <w:iCs/>
          <w:color w:val="000000" w:themeColor="text1"/>
          <w:sz w:val="22"/>
          <w:szCs w:val="22"/>
        </w:rPr>
        <w:t>Ottawa, Ontario, Canada.</w:t>
      </w:r>
      <w:r w:rsidRPr="00136E92">
        <w:rPr>
          <w:i/>
          <w:iCs/>
          <w:color w:val="000000" w:themeColor="text1"/>
          <w:sz w:val="22"/>
          <w:szCs w:val="22"/>
        </w:rPr>
        <w:br/>
      </w:r>
      <w:r w:rsidRPr="00136E92">
        <w:rPr>
          <w:i/>
          <w:iCs/>
          <w:color w:val="000000" w:themeColor="text1"/>
          <w:sz w:val="22"/>
          <w:szCs w:val="22"/>
          <w:vertAlign w:val="superscript"/>
        </w:rPr>
        <w:t>5</w:t>
      </w:r>
      <w:r w:rsidRPr="00136E92">
        <w:rPr>
          <w:i/>
          <w:iCs/>
          <w:color w:val="2A2A2A"/>
          <w:sz w:val="21"/>
          <w:szCs w:val="21"/>
          <w:shd w:val="clear" w:color="auto" w:fill="FFFFFF"/>
        </w:rPr>
        <w:t xml:space="preserve"> </w:t>
      </w:r>
      <w:r w:rsidRPr="00136E92">
        <w:rPr>
          <w:i/>
          <w:iCs/>
          <w:color w:val="000000" w:themeColor="text1"/>
          <w:sz w:val="22"/>
          <w:szCs w:val="22"/>
          <w:shd w:val="clear" w:color="auto" w:fill="FFFFFF"/>
        </w:rPr>
        <w:t>National Research Center, Nutrition and Food Science Department, Doki, Giza, Egypt.</w:t>
      </w:r>
    </w:p>
    <w:p w14:paraId="7EE15F76" w14:textId="77777777" w:rsidR="00633969" w:rsidRPr="00136E92" w:rsidRDefault="00633969" w:rsidP="00633969">
      <w:pPr>
        <w:spacing w:line="360" w:lineRule="auto"/>
        <w:rPr>
          <w:i/>
          <w:iCs/>
          <w:color w:val="000000" w:themeColor="text1"/>
          <w:sz w:val="22"/>
          <w:szCs w:val="22"/>
        </w:rPr>
      </w:pPr>
      <w:r w:rsidRPr="00136E92">
        <w:rPr>
          <w:i/>
          <w:iCs/>
          <w:color w:val="000000" w:themeColor="text1"/>
          <w:sz w:val="22"/>
          <w:szCs w:val="22"/>
          <w:vertAlign w:val="superscript"/>
        </w:rPr>
        <w:t>6</w:t>
      </w:r>
      <w:r w:rsidRPr="00136E92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Nucleic Acids Research Department, Genetic Engineering and Biotechnology Research Institute, City of Scientific Research and Technological Applications (SRTA-City), </w:t>
      </w:r>
      <w:r w:rsidRPr="00136E92">
        <w:rPr>
          <w:i/>
          <w:iCs/>
          <w:color w:val="000000" w:themeColor="text1"/>
          <w:sz w:val="22"/>
          <w:szCs w:val="22"/>
        </w:rPr>
        <w:t xml:space="preserve">New Borg El-Arab City, </w:t>
      </w:r>
      <w:r w:rsidRPr="00136E92">
        <w:rPr>
          <w:i/>
          <w:iCs/>
          <w:color w:val="000000" w:themeColor="text1"/>
          <w:sz w:val="22"/>
          <w:szCs w:val="22"/>
          <w:shd w:val="clear" w:color="auto" w:fill="FFFFFF"/>
        </w:rPr>
        <w:t>Alexandria, Egypt.</w:t>
      </w:r>
    </w:p>
    <w:p w14:paraId="2718282E" w14:textId="77777777" w:rsidR="00633969" w:rsidRPr="00136E92" w:rsidRDefault="00633969" w:rsidP="00633969">
      <w:pPr>
        <w:spacing w:line="360" w:lineRule="auto"/>
        <w:rPr>
          <w:b/>
          <w:bCs/>
          <w:color w:val="000000" w:themeColor="text1"/>
        </w:rPr>
      </w:pPr>
    </w:p>
    <w:p w14:paraId="64CA3F5B" w14:textId="77777777" w:rsidR="00633969" w:rsidRPr="00136E92" w:rsidRDefault="00633969" w:rsidP="00633969">
      <w:pPr>
        <w:spacing w:line="360" w:lineRule="auto"/>
        <w:rPr>
          <w:rStyle w:val="Hyperlink"/>
          <w:rFonts w:eastAsiaTheme="majorEastAsia"/>
          <w:sz w:val="22"/>
          <w:szCs w:val="22"/>
        </w:rPr>
      </w:pPr>
      <w:r w:rsidRPr="00136E92">
        <w:rPr>
          <w:b/>
          <w:bCs/>
          <w:color w:val="000000" w:themeColor="text1"/>
          <w:sz w:val="22"/>
          <w:szCs w:val="22"/>
        </w:rPr>
        <w:t>Correspondence:</w:t>
      </w:r>
      <w:r w:rsidRPr="00136E92">
        <w:rPr>
          <w:b/>
          <w:bCs/>
          <w:color w:val="000000" w:themeColor="text1"/>
          <w:sz w:val="22"/>
          <w:szCs w:val="22"/>
          <w:vertAlign w:val="superscript"/>
        </w:rPr>
        <w:t xml:space="preserve"> </w:t>
      </w:r>
      <w:hyperlink r:id="rId4" w:history="1">
        <w:r w:rsidRPr="00136E92">
          <w:rPr>
            <w:rStyle w:val="Hyperlink"/>
            <w:rFonts w:eastAsiaTheme="majorEastAsia"/>
            <w:b/>
            <w:bCs/>
            <w:sz w:val="22"/>
            <w:szCs w:val="22"/>
            <w:vertAlign w:val="superscript"/>
          </w:rPr>
          <w:t>*</w:t>
        </w:r>
        <w:r w:rsidRPr="00136E92">
          <w:rPr>
            <w:rStyle w:val="Hyperlink"/>
            <w:rFonts w:eastAsiaTheme="majorEastAsia"/>
            <w:sz w:val="22"/>
            <w:szCs w:val="22"/>
          </w:rPr>
          <w:t>neldeeb@uottawa.ca</w:t>
        </w:r>
      </w:hyperlink>
      <w:r w:rsidRPr="00136E92">
        <w:rPr>
          <w:sz w:val="22"/>
          <w:szCs w:val="22"/>
        </w:rPr>
        <w:t xml:space="preserve"> </w:t>
      </w:r>
      <w:r w:rsidRPr="00136E92">
        <w:rPr>
          <w:b/>
          <w:bCs/>
          <w:sz w:val="22"/>
          <w:szCs w:val="22"/>
        </w:rPr>
        <w:t>,</w:t>
      </w:r>
      <w:hyperlink r:id="rId5" w:history="1">
        <w:r w:rsidRPr="00136E92">
          <w:rPr>
            <w:rStyle w:val="Hyperlink"/>
            <w:rFonts w:eastAsiaTheme="majorEastAsia"/>
            <w:sz w:val="22"/>
            <w:szCs w:val="22"/>
            <w:vertAlign w:val="superscript"/>
          </w:rPr>
          <w:t>**</w:t>
        </w:r>
        <w:r w:rsidRPr="00136E92">
          <w:rPr>
            <w:rStyle w:val="Hyperlink"/>
            <w:rFonts w:eastAsiaTheme="majorEastAsia"/>
            <w:sz w:val="22"/>
            <w:szCs w:val="22"/>
          </w:rPr>
          <w:t>oibrahim@buffalo.edu</w:t>
        </w:r>
      </w:hyperlink>
    </w:p>
    <w:p w14:paraId="3DED6D4F" w14:textId="77777777" w:rsidR="00633969" w:rsidRPr="00136E92" w:rsidRDefault="00633969" w:rsidP="00633969">
      <w:pPr>
        <w:spacing w:line="360" w:lineRule="auto"/>
        <w:rPr>
          <w:sz w:val="22"/>
          <w:szCs w:val="22"/>
        </w:rPr>
      </w:pPr>
      <w:r w:rsidRPr="00136E92">
        <w:rPr>
          <w:color w:val="000000" w:themeColor="text1"/>
          <w:sz w:val="22"/>
          <w:szCs w:val="22"/>
          <w:vertAlign w:val="superscript"/>
        </w:rPr>
        <w:t xml:space="preserve"># </w:t>
      </w:r>
      <w:r w:rsidRPr="00136E92">
        <w:rPr>
          <w:sz w:val="22"/>
          <w:szCs w:val="22"/>
        </w:rPr>
        <w:t>Equal</w:t>
      </w:r>
      <w:r w:rsidRPr="00136E92">
        <w:rPr>
          <w:color w:val="000000" w:themeColor="text1"/>
          <w:sz w:val="22"/>
          <w:szCs w:val="22"/>
          <w:vertAlign w:val="superscript"/>
        </w:rPr>
        <w:t xml:space="preserve"> </w:t>
      </w:r>
      <w:r w:rsidRPr="00136E92">
        <w:rPr>
          <w:sz w:val="22"/>
          <w:szCs w:val="22"/>
        </w:rPr>
        <w:t>contribution</w:t>
      </w:r>
    </w:p>
    <w:p w14:paraId="5E18A8E8" w14:textId="77777777" w:rsidR="00633969" w:rsidRDefault="00633969" w:rsidP="003F3B9D">
      <w:pPr>
        <w:spacing w:line="360" w:lineRule="auto"/>
        <w:jc w:val="both"/>
        <w:rPr>
          <w:color w:val="000000" w:themeColor="text1"/>
          <w:shd w:val="clear" w:color="auto" w:fill="FFFFFF"/>
        </w:rPr>
      </w:pPr>
    </w:p>
    <w:p w14:paraId="7F2F2BA4" w14:textId="77777777" w:rsidR="00633969" w:rsidRDefault="00633969" w:rsidP="003F3B9D">
      <w:pPr>
        <w:spacing w:line="360" w:lineRule="auto"/>
        <w:jc w:val="both"/>
        <w:rPr>
          <w:color w:val="000000" w:themeColor="text1"/>
          <w:shd w:val="clear" w:color="auto" w:fill="FFFFFF"/>
        </w:rPr>
      </w:pPr>
    </w:p>
    <w:p w14:paraId="4BFB5BFA" w14:textId="77777777" w:rsidR="00633969" w:rsidRDefault="00633969" w:rsidP="003F3B9D">
      <w:pPr>
        <w:spacing w:line="360" w:lineRule="auto"/>
        <w:jc w:val="both"/>
        <w:rPr>
          <w:color w:val="000000" w:themeColor="text1"/>
          <w:shd w:val="clear" w:color="auto" w:fill="FFFFFF"/>
        </w:rPr>
      </w:pPr>
    </w:p>
    <w:p w14:paraId="41887863" w14:textId="4FAA1BDA" w:rsidR="003F3B9D" w:rsidRPr="00136E92" w:rsidRDefault="003F3B9D" w:rsidP="003F3B9D">
      <w:pPr>
        <w:spacing w:line="360" w:lineRule="auto"/>
        <w:jc w:val="both"/>
        <w:rPr>
          <w:color w:val="000000" w:themeColor="text1"/>
          <w:shd w:val="clear" w:color="auto" w:fill="FFFFFF"/>
        </w:rPr>
      </w:pPr>
      <w:r w:rsidRPr="00136E92">
        <w:rPr>
          <w:noProof/>
          <w:color w:val="000000" w:themeColor="text1"/>
          <w:shd w:val="clear" w:color="auto" w:fill="FFFFFF"/>
        </w:rPr>
        <w:lastRenderedPageBreak/>
        <w:drawing>
          <wp:inline distT="0" distB="0" distL="0" distR="0" wp14:anchorId="4C1DC514" wp14:editId="2D1E67B5">
            <wp:extent cx="6286500" cy="2688590"/>
            <wp:effectExtent l="0" t="0" r="0" b="3810"/>
            <wp:docPr id="7" name="Picture 7" descr="Chart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waterfall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F4243" w14:textId="77777777" w:rsidR="003F3B9D" w:rsidRPr="00136E92" w:rsidRDefault="003F3B9D" w:rsidP="003F3B9D">
      <w:pPr>
        <w:jc w:val="both"/>
        <w:rPr>
          <w:color w:val="000000" w:themeColor="text1"/>
          <w:shd w:val="clear" w:color="auto" w:fill="FFFFFF"/>
        </w:rPr>
      </w:pPr>
      <w:r w:rsidRPr="00136E92">
        <w:rPr>
          <w:b/>
          <w:bCs/>
          <w:color w:val="000000" w:themeColor="text1"/>
          <w:shd w:val="clear" w:color="auto" w:fill="FFFFFF"/>
        </w:rPr>
        <w:t xml:space="preserve">Figure </w:t>
      </w:r>
      <w:r>
        <w:rPr>
          <w:b/>
          <w:bCs/>
          <w:color w:val="000000" w:themeColor="text1"/>
          <w:shd w:val="clear" w:color="auto" w:fill="FFFFFF"/>
        </w:rPr>
        <w:t>S</w:t>
      </w:r>
      <w:r w:rsidRPr="00136E92">
        <w:rPr>
          <w:rStyle w:val="apple-converted-space"/>
          <w:rFonts w:eastAsiaTheme="majorEastAsia"/>
          <w:b/>
          <w:bCs/>
          <w:color w:val="000000" w:themeColor="text1"/>
        </w:rPr>
        <w:t>1.</w:t>
      </w:r>
      <w:r w:rsidRPr="00136E92">
        <w:rPr>
          <w:rStyle w:val="apple-converted-space"/>
          <w:rFonts w:eastAsiaTheme="majorEastAsia"/>
          <w:color w:val="000000" w:themeColor="text1"/>
        </w:rPr>
        <w:t xml:space="preserve"> </w:t>
      </w:r>
      <w:r w:rsidRPr="00136E92">
        <w:rPr>
          <w:color w:val="000000" w:themeColor="text1"/>
          <w:shd w:val="clear" w:color="auto" w:fill="FFFFFF"/>
        </w:rPr>
        <w:t xml:space="preserve">Relative normalized gene expression levels of </w:t>
      </w:r>
      <w:r w:rsidRPr="00136E92">
        <w:rPr>
          <w:i/>
          <w:iCs/>
          <w:color w:val="000000" w:themeColor="text1"/>
          <w:shd w:val="clear" w:color="auto" w:fill="FFFFFF"/>
        </w:rPr>
        <w:t xml:space="preserve">BCL2, MMP7, </w:t>
      </w:r>
      <w:proofErr w:type="spellStart"/>
      <w:r w:rsidRPr="00136E92">
        <w:rPr>
          <w:i/>
          <w:iCs/>
          <w:color w:val="000000" w:themeColor="text1"/>
          <w:shd w:val="clear" w:color="auto" w:fill="FFFFFF"/>
        </w:rPr>
        <w:t>Survivin</w:t>
      </w:r>
      <w:proofErr w:type="spellEnd"/>
      <w:r w:rsidRPr="00136E92">
        <w:rPr>
          <w:color w:val="000000" w:themeColor="text1"/>
          <w:shd w:val="clear" w:color="auto" w:fill="FFFFFF"/>
        </w:rPr>
        <w:t xml:space="preserve">, and </w:t>
      </w:r>
      <w:r w:rsidRPr="00136E92">
        <w:rPr>
          <w:i/>
          <w:iCs/>
          <w:color w:val="000000" w:themeColor="text1"/>
          <w:shd w:val="clear" w:color="auto" w:fill="FFFFFF"/>
        </w:rPr>
        <w:t>TGF-β</w:t>
      </w:r>
      <w:r w:rsidRPr="00136E92">
        <w:rPr>
          <w:color w:val="000000" w:themeColor="text1"/>
          <w:shd w:val="clear" w:color="auto" w:fill="FFFFFF"/>
        </w:rPr>
        <w:t xml:space="preserve"> in PTX/6-glucan treated and untreated control cells. Data normalization was carried out using β-actin reference gene. Error bars are the STD calculated from three replicates. </w:t>
      </w:r>
    </w:p>
    <w:p w14:paraId="3957DA66" w14:textId="77777777" w:rsidR="00F12A75" w:rsidRDefault="00F12A75"/>
    <w:sectPr w:rsidR="00F12A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9D"/>
    <w:rsid w:val="00031769"/>
    <w:rsid w:val="00043A81"/>
    <w:rsid w:val="00046703"/>
    <w:rsid w:val="00067833"/>
    <w:rsid w:val="000A4451"/>
    <w:rsid w:val="00103390"/>
    <w:rsid w:val="00111FCD"/>
    <w:rsid w:val="00186A23"/>
    <w:rsid w:val="001F74D4"/>
    <w:rsid w:val="00214D03"/>
    <w:rsid w:val="00227C69"/>
    <w:rsid w:val="002503EB"/>
    <w:rsid w:val="00283008"/>
    <w:rsid w:val="00293126"/>
    <w:rsid w:val="002A00B5"/>
    <w:rsid w:val="002A2C54"/>
    <w:rsid w:val="002A2EFC"/>
    <w:rsid w:val="002C5100"/>
    <w:rsid w:val="002E74A8"/>
    <w:rsid w:val="002F1F65"/>
    <w:rsid w:val="00324414"/>
    <w:rsid w:val="00361CF7"/>
    <w:rsid w:val="00370068"/>
    <w:rsid w:val="00397DA1"/>
    <w:rsid w:val="003D3CC6"/>
    <w:rsid w:val="003F3B9D"/>
    <w:rsid w:val="004034B5"/>
    <w:rsid w:val="004258EE"/>
    <w:rsid w:val="00440BFC"/>
    <w:rsid w:val="004506EB"/>
    <w:rsid w:val="004764CD"/>
    <w:rsid w:val="004929FB"/>
    <w:rsid w:val="004D319D"/>
    <w:rsid w:val="004E3827"/>
    <w:rsid w:val="005037EC"/>
    <w:rsid w:val="0050572D"/>
    <w:rsid w:val="0057128B"/>
    <w:rsid w:val="00581DC7"/>
    <w:rsid w:val="00587F40"/>
    <w:rsid w:val="00590C88"/>
    <w:rsid w:val="00596050"/>
    <w:rsid w:val="005A6D54"/>
    <w:rsid w:val="005B7B10"/>
    <w:rsid w:val="005C3944"/>
    <w:rsid w:val="005E1936"/>
    <w:rsid w:val="005F205F"/>
    <w:rsid w:val="005F38B7"/>
    <w:rsid w:val="006001F0"/>
    <w:rsid w:val="006016BD"/>
    <w:rsid w:val="00615ACB"/>
    <w:rsid w:val="00623CE8"/>
    <w:rsid w:val="0062775E"/>
    <w:rsid w:val="00633969"/>
    <w:rsid w:val="0063748B"/>
    <w:rsid w:val="006542E4"/>
    <w:rsid w:val="0065624E"/>
    <w:rsid w:val="00693BFE"/>
    <w:rsid w:val="0069732C"/>
    <w:rsid w:val="0072286F"/>
    <w:rsid w:val="00724910"/>
    <w:rsid w:val="0073630D"/>
    <w:rsid w:val="00741B59"/>
    <w:rsid w:val="007500B1"/>
    <w:rsid w:val="007578BF"/>
    <w:rsid w:val="00771E98"/>
    <w:rsid w:val="00786688"/>
    <w:rsid w:val="00791A1B"/>
    <w:rsid w:val="00792788"/>
    <w:rsid w:val="007956C2"/>
    <w:rsid w:val="007D484E"/>
    <w:rsid w:val="007E02DF"/>
    <w:rsid w:val="007E375D"/>
    <w:rsid w:val="007F1840"/>
    <w:rsid w:val="00802EC8"/>
    <w:rsid w:val="0081091C"/>
    <w:rsid w:val="00861406"/>
    <w:rsid w:val="00870094"/>
    <w:rsid w:val="008739E5"/>
    <w:rsid w:val="008837D3"/>
    <w:rsid w:val="00893BCB"/>
    <w:rsid w:val="00894ED1"/>
    <w:rsid w:val="008956D3"/>
    <w:rsid w:val="008A1866"/>
    <w:rsid w:val="008B0740"/>
    <w:rsid w:val="008B3866"/>
    <w:rsid w:val="008B4CEA"/>
    <w:rsid w:val="008C13E5"/>
    <w:rsid w:val="008C3C4C"/>
    <w:rsid w:val="008D6D19"/>
    <w:rsid w:val="008F0B8C"/>
    <w:rsid w:val="008F6E20"/>
    <w:rsid w:val="009024F6"/>
    <w:rsid w:val="00906F41"/>
    <w:rsid w:val="009131B7"/>
    <w:rsid w:val="00917878"/>
    <w:rsid w:val="009351B2"/>
    <w:rsid w:val="0099400F"/>
    <w:rsid w:val="009B38F4"/>
    <w:rsid w:val="009B6C4A"/>
    <w:rsid w:val="009D0FFC"/>
    <w:rsid w:val="009D2CB4"/>
    <w:rsid w:val="00A00C99"/>
    <w:rsid w:val="00A216BC"/>
    <w:rsid w:val="00A351B2"/>
    <w:rsid w:val="00A46E9D"/>
    <w:rsid w:val="00A54306"/>
    <w:rsid w:val="00A5442A"/>
    <w:rsid w:val="00A616C3"/>
    <w:rsid w:val="00A83191"/>
    <w:rsid w:val="00A905FB"/>
    <w:rsid w:val="00A91A09"/>
    <w:rsid w:val="00AA687D"/>
    <w:rsid w:val="00AB0EC9"/>
    <w:rsid w:val="00AB5F90"/>
    <w:rsid w:val="00AC317A"/>
    <w:rsid w:val="00AC4FB4"/>
    <w:rsid w:val="00AD4B89"/>
    <w:rsid w:val="00AE571B"/>
    <w:rsid w:val="00AE6AD7"/>
    <w:rsid w:val="00AF7516"/>
    <w:rsid w:val="00B171EF"/>
    <w:rsid w:val="00B607F2"/>
    <w:rsid w:val="00B66413"/>
    <w:rsid w:val="00B86D8C"/>
    <w:rsid w:val="00BD2111"/>
    <w:rsid w:val="00BD6684"/>
    <w:rsid w:val="00BD78A2"/>
    <w:rsid w:val="00C05E40"/>
    <w:rsid w:val="00C2677E"/>
    <w:rsid w:val="00C3009E"/>
    <w:rsid w:val="00C65937"/>
    <w:rsid w:val="00C84B29"/>
    <w:rsid w:val="00C91FDA"/>
    <w:rsid w:val="00CB19A8"/>
    <w:rsid w:val="00CB667C"/>
    <w:rsid w:val="00CC1E68"/>
    <w:rsid w:val="00CC57A3"/>
    <w:rsid w:val="00CE6B55"/>
    <w:rsid w:val="00D044FD"/>
    <w:rsid w:val="00D0542A"/>
    <w:rsid w:val="00D1276B"/>
    <w:rsid w:val="00D17280"/>
    <w:rsid w:val="00D407EB"/>
    <w:rsid w:val="00D64AC1"/>
    <w:rsid w:val="00D917E5"/>
    <w:rsid w:val="00DB0C98"/>
    <w:rsid w:val="00DB2B21"/>
    <w:rsid w:val="00DD18A2"/>
    <w:rsid w:val="00DE04CA"/>
    <w:rsid w:val="00DE2FA0"/>
    <w:rsid w:val="00DF707E"/>
    <w:rsid w:val="00E50858"/>
    <w:rsid w:val="00E56BC7"/>
    <w:rsid w:val="00E70457"/>
    <w:rsid w:val="00E70D17"/>
    <w:rsid w:val="00E91831"/>
    <w:rsid w:val="00E91E9A"/>
    <w:rsid w:val="00E94C0C"/>
    <w:rsid w:val="00E97340"/>
    <w:rsid w:val="00F12A75"/>
    <w:rsid w:val="00F147FF"/>
    <w:rsid w:val="00F23E81"/>
    <w:rsid w:val="00F70330"/>
    <w:rsid w:val="00F940E0"/>
    <w:rsid w:val="00FC285E"/>
    <w:rsid w:val="00FD661E"/>
    <w:rsid w:val="00FE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F2FA15"/>
  <w15:chartTrackingRefBased/>
  <w15:docId w15:val="{E4E8FFD2-597D-1046-9F72-ED29EA294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B9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3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3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3B9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3B9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3B9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3B9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3B9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3B9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3B9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3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3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3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3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3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3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3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3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3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3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3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3B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3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3B9D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3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3B9D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3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3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3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3B9D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F3B9D"/>
  </w:style>
  <w:style w:type="character" w:styleId="Hyperlink">
    <w:name w:val="Hyperlink"/>
    <w:basedOn w:val="DefaultParagraphFont"/>
    <w:uiPriority w:val="99"/>
    <w:unhideWhenUsed/>
    <w:rsid w:val="00633969"/>
    <w:rPr>
      <w:color w:val="0000FF"/>
      <w:u w:val="single"/>
    </w:rPr>
  </w:style>
  <w:style w:type="character" w:customStyle="1" w:styleId="author-ref">
    <w:name w:val="author-ref"/>
    <w:basedOn w:val="DefaultParagraphFont"/>
    <w:rsid w:val="00633969"/>
  </w:style>
  <w:style w:type="character" w:styleId="Strong">
    <w:name w:val="Strong"/>
    <w:basedOn w:val="DefaultParagraphFont"/>
    <w:uiPriority w:val="22"/>
    <w:qFormat/>
    <w:rsid w:val="002830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**oibrahim@buffalo.edu" TargetMode="External"/><Relationship Id="rId4" Type="http://schemas.openxmlformats.org/officeDocument/2006/relationships/hyperlink" Target="mailto:*neldeeb@uottaw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Ibrahim, Omar</dc:creator>
  <cp:keywords/>
  <dc:description/>
  <cp:lastModifiedBy>Nehal Mohammed Elazab Eldeeb</cp:lastModifiedBy>
  <cp:revision>2</cp:revision>
  <dcterms:created xsi:type="dcterms:W3CDTF">2024-07-22T20:04:00Z</dcterms:created>
  <dcterms:modified xsi:type="dcterms:W3CDTF">2024-07-22T20:04:00Z</dcterms:modified>
</cp:coreProperties>
</file>