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BF56E" w14:textId="77777777" w:rsidR="00274A3B" w:rsidRPr="00274A3B" w:rsidRDefault="00274A3B" w:rsidP="00274A3B">
      <w:pPr>
        <w:rPr>
          <w:b/>
          <w:bCs/>
        </w:rPr>
      </w:pPr>
      <w:r w:rsidRPr="00274A3B">
        <w:rPr>
          <w:b/>
        </w:rPr>
        <w:t>LEGENDS FOR SUPPLEMENTARY FIGURES</w:t>
      </w:r>
    </w:p>
    <w:p w14:paraId="30B31F34" w14:textId="77777777" w:rsidR="00274A3B" w:rsidRPr="00274A3B" w:rsidRDefault="00274A3B" w:rsidP="00274A3B">
      <w:r w:rsidRPr="00274A3B">
        <w:rPr>
          <w:b/>
        </w:rPr>
        <w:t>Figure S1</w:t>
      </w:r>
      <w:r w:rsidRPr="00274A3B">
        <w:t>: Quantification of the two structural isomers of 25HC. Quantitation of 24-(S)-HC (A) and 27-HC (B) in PBS- and LPS-injected wildtype (</w:t>
      </w:r>
      <w:r w:rsidRPr="00274A3B">
        <w:rPr>
          <w:i/>
          <w:iCs/>
        </w:rPr>
        <w:t>WT</w:t>
      </w:r>
      <w:r w:rsidRPr="00274A3B">
        <w:t xml:space="preserve">) and </w:t>
      </w:r>
      <w:r w:rsidRPr="00274A3B">
        <w:rPr>
          <w:i/>
          <w:iCs/>
        </w:rPr>
        <w:t>Ch25h</w:t>
      </w:r>
      <w:r w:rsidRPr="00274A3B">
        <w:t>-deficient (</w:t>
      </w:r>
      <w:r w:rsidRPr="00274A3B">
        <w:rPr>
          <w:i/>
          <w:iCs/>
        </w:rPr>
        <w:t>CKO</w:t>
      </w:r>
      <w:r w:rsidRPr="00274A3B">
        <w:t>) mouse brains. Male mice are indicated in blue and female mice are in orange. Data are presented as mean values ± SD. Statistical significance was defined using a two-way ANOVA with Fisher’s LSD post-hoc test (**P &lt; 0.01 &amp; ***P &lt; 0.001).</w:t>
      </w:r>
    </w:p>
    <w:p w14:paraId="62C0E81A" w14:textId="77777777" w:rsidR="00274A3B" w:rsidRPr="00274A3B" w:rsidRDefault="00274A3B" w:rsidP="00274A3B">
      <w:bookmarkStart w:id="0" w:name="OLE_LINK6"/>
      <w:r w:rsidRPr="00274A3B">
        <w:rPr>
          <w:b/>
          <w:bCs/>
        </w:rPr>
        <w:t>Figure S2</w:t>
      </w:r>
      <w:r w:rsidRPr="00274A3B">
        <w:t xml:space="preserve">: </w:t>
      </w:r>
      <w:bookmarkEnd w:id="0"/>
      <w:r w:rsidRPr="00274A3B">
        <w:t xml:space="preserve">Expression of </w:t>
      </w:r>
      <w:r w:rsidRPr="00274A3B">
        <w:rPr>
          <w:i/>
          <w:iCs/>
        </w:rPr>
        <w:t>Cyp7b1</w:t>
      </w:r>
      <w:r w:rsidRPr="00274A3B">
        <w:t xml:space="preserve"> and </w:t>
      </w:r>
      <w:r w:rsidRPr="00274A3B">
        <w:rPr>
          <w:i/>
          <w:iCs/>
        </w:rPr>
        <w:t>Gpr183</w:t>
      </w:r>
      <w:r w:rsidRPr="00274A3B">
        <w:t xml:space="preserve">. (A) Schematic of 25HC pathway leading to chemoattraction of GPR183 expressing leukocytes. (B) Relative expression of </w:t>
      </w:r>
      <w:r w:rsidRPr="00274A3B">
        <w:rPr>
          <w:i/>
          <w:iCs/>
        </w:rPr>
        <w:t>Cyp7b1</w:t>
      </w:r>
      <w:r w:rsidRPr="00274A3B">
        <w:t xml:space="preserve"> mRNA measured by qPCR - pooled (left) and sex-segregated (right). (C) Relative expression of </w:t>
      </w:r>
      <w:r w:rsidRPr="00274A3B">
        <w:rPr>
          <w:i/>
          <w:iCs/>
        </w:rPr>
        <w:t>Gpr183</w:t>
      </w:r>
      <w:r w:rsidRPr="00274A3B">
        <w:t xml:space="preserve"> mRNA measured by qPCR - pooled (left) and sex-segregated (right). </w:t>
      </w:r>
      <w:bookmarkStart w:id="1" w:name="OLE_LINK7"/>
      <w:r w:rsidRPr="00274A3B">
        <w:t>Data are presented as mean values ± SD. Statistical significance was defined using a two-way ANOVA with Fisher’s LSD and Tukey’s post-hoc tests (*P &lt; 0.05, **P &lt; 0.01, &amp; ***P &lt; 0.001)</w:t>
      </w:r>
      <w:bookmarkEnd w:id="1"/>
      <w:r w:rsidRPr="00274A3B">
        <w:t>.</w:t>
      </w:r>
    </w:p>
    <w:p w14:paraId="1D9521F6" w14:textId="77777777" w:rsidR="00274A3B" w:rsidRPr="00274A3B" w:rsidRDefault="00274A3B" w:rsidP="00274A3B">
      <w:r w:rsidRPr="00274A3B">
        <w:rPr>
          <w:b/>
        </w:rPr>
        <w:t>Figure S3</w:t>
      </w:r>
      <w:r w:rsidRPr="00274A3B">
        <w:rPr>
          <w:bCs/>
        </w:rPr>
        <w:t>:</w:t>
      </w:r>
      <w:r w:rsidRPr="00274A3B">
        <w:t xml:space="preserve"> Transcriptomic data. (A) Principal component analysis (PCA) of RNA-seq measurements from 40 experimental mice, sorted by sex, treatment condition, and </w:t>
      </w:r>
      <w:r w:rsidRPr="00274A3B">
        <w:rPr>
          <w:i/>
          <w:iCs/>
        </w:rPr>
        <w:t>Ch25h</w:t>
      </w:r>
      <w:r w:rsidRPr="00274A3B">
        <w:t xml:space="preserve"> genotype. One sample was an outlier and was excluded from further analysis. (B-E) Volcano plots of differentially expressed genes (DEGs) in these animals. DEGs were defined as those with fold-change &gt;= 2 at adjusted p-value (q-value) &lt; 0.05.</w:t>
      </w:r>
    </w:p>
    <w:p w14:paraId="7D449F26" w14:textId="77777777" w:rsidR="00274A3B" w:rsidRPr="00274A3B" w:rsidRDefault="00274A3B" w:rsidP="00274A3B">
      <w:r w:rsidRPr="00274A3B">
        <w:rPr>
          <w:b/>
          <w:bCs/>
        </w:rPr>
        <w:t>Figure S4</w:t>
      </w:r>
      <w:r w:rsidRPr="00274A3B">
        <w:t>: Bar graph of enriched terms across input gene lists, colored by P-values. P-values are also shown on the X-axis.</w:t>
      </w:r>
    </w:p>
    <w:p w14:paraId="4C9A6B44" w14:textId="77777777" w:rsidR="00274A3B" w:rsidRPr="00274A3B" w:rsidRDefault="00274A3B" w:rsidP="00274A3B">
      <w:bookmarkStart w:id="2" w:name="OLE_LINK5"/>
      <w:r w:rsidRPr="00274A3B">
        <w:rPr>
          <w:b/>
          <w:bCs/>
        </w:rPr>
        <w:t>Figure S5</w:t>
      </w:r>
      <w:bookmarkEnd w:id="2"/>
      <w:r w:rsidRPr="00274A3B">
        <w:t>: Levels of 25HC correlate with cytokine production only upon LPS induction. Correlation plots of (A, B) IL-1</w:t>
      </w:r>
      <w:r w:rsidRPr="00274A3B">
        <w:rPr>
          <w:lang w:val="el-GR"/>
        </w:rPr>
        <w:t>β</w:t>
      </w:r>
      <w:r w:rsidRPr="00274A3B">
        <w:t xml:space="preserve">, (C, D) TNF, and (E, F) IL-6 among mice treated with PBS (A, C, E, G)) and LPS (B, C, F, H) with 25HC concentrations. Male mice are indicated in blue and female mice are in orange; PBS controls are inverted triangles and LPS-treated mice are circles – as shown at the top of the correlation plot. Data are presented as mean values ± SD. Significance and slope of the line were calculated with simple linear regression analysis and correlations were assessed by calculating the coefficient of determination </w:t>
      </w:r>
      <w:bookmarkStart w:id="3" w:name="OLE_LINK10"/>
      <w:r w:rsidRPr="00274A3B">
        <w:t>(R</w:t>
      </w:r>
      <w:r w:rsidRPr="00274A3B">
        <w:rPr>
          <w:vertAlign w:val="superscript"/>
        </w:rPr>
        <w:t>2</w:t>
      </w:r>
      <w:r w:rsidRPr="00274A3B">
        <w:t xml:space="preserve">). </w:t>
      </w:r>
      <w:bookmarkEnd w:id="3"/>
    </w:p>
    <w:p w14:paraId="5B11F049" w14:textId="77777777" w:rsidR="00274A3B" w:rsidRPr="00274A3B" w:rsidRDefault="00274A3B" w:rsidP="00274A3B">
      <w:bookmarkStart w:id="4" w:name="OLE_LINK8"/>
      <w:r w:rsidRPr="00274A3B">
        <w:rPr>
          <w:b/>
          <w:bCs/>
        </w:rPr>
        <w:t>Figure S6</w:t>
      </w:r>
      <w:bookmarkEnd w:id="4"/>
      <w:r w:rsidRPr="00274A3B">
        <w:t>:</w:t>
      </w:r>
      <w:r w:rsidRPr="00274A3B">
        <w:rPr>
          <w:b/>
          <w:bCs/>
        </w:rPr>
        <w:t xml:space="preserve"> </w:t>
      </w:r>
      <w:r w:rsidRPr="00274A3B">
        <w:t xml:space="preserve">Role of CH25H/25HC in neutrophil and T lymphocyte recruitment mediated by LPS. Infiltration of neutrophils into the brain of PBS- and LPS-injected </w:t>
      </w:r>
      <w:r w:rsidRPr="00274A3B">
        <w:rPr>
          <w:i/>
          <w:iCs/>
        </w:rPr>
        <w:t>WT</w:t>
      </w:r>
      <w:r w:rsidRPr="00274A3B">
        <w:t xml:space="preserve"> and </w:t>
      </w:r>
      <w:r w:rsidRPr="00274A3B">
        <w:rPr>
          <w:i/>
          <w:iCs/>
        </w:rPr>
        <w:t>CKO</w:t>
      </w:r>
      <w:r w:rsidRPr="00274A3B">
        <w:t xml:space="preserve"> mice were determined by analyzing the neutrophil-specific marker LY6G. (A) Relative expression of Ly6g mRNA measured by qPCR in the hippocampus and (B) the correlation between Ly6g relative expression and 25HC levels. 25HC concentrations are as shown in Figure 1C. (C) Representative immunofluorescence images of mouse hippocampal sections stained for LY6G (red); nuclei were stained with DAPI (blue). (D) Percentage of area covered by LY6G in the hippocampus. Infiltration of T lymphocytes were analyzed by immunofluorescence using an anti-CD3 antibody (representative images not shown). (E) Percentage of area covered by CD3 in the hippocampus is shown. Data are presented as mean values ± SD, n=5 mice per sex and treatment. Statistical significance was defined using a two-way ANOVA with Fisher’s LSD post-hoc test (**P &lt; 0.01, ***P &lt; 0.001, &amp; ****P &lt; 0.0001).</w:t>
      </w:r>
    </w:p>
    <w:p w14:paraId="5A3BFF87" w14:textId="77777777" w:rsidR="00274A3B" w:rsidRPr="00274A3B" w:rsidRDefault="00274A3B" w:rsidP="00274A3B">
      <w:pPr>
        <w:rPr>
          <w:b/>
          <w:bCs/>
        </w:rPr>
      </w:pPr>
    </w:p>
    <w:p w14:paraId="4AC6C42B" w14:textId="77777777" w:rsidR="00274A3B" w:rsidRPr="00274A3B" w:rsidRDefault="00274A3B" w:rsidP="00274A3B">
      <w:r w:rsidRPr="00274A3B">
        <w:rPr>
          <w:b/>
        </w:rPr>
        <w:t>SUPPLEMENTARY TABLES</w:t>
      </w:r>
    </w:p>
    <w:p w14:paraId="46609590" w14:textId="77777777" w:rsidR="00274A3B" w:rsidRPr="00274A3B" w:rsidRDefault="00274A3B" w:rsidP="00274A3B">
      <w:r w:rsidRPr="00274A3B">
        <w:rPr>
          <w:b/>
        </w:rPr>
        <w:lastRenderedPageBreak/>
        <w:t>Supplementary Table I</w:t>
      </w:r>
      <w:r w:rsidRPr="00274A3B">
        <w:t>: Size of gene-lists influenced by gender and genotype</w:t>
      </w:r>
    </w:p>
    <w:p w14:paraId="02569D64" w14:textId="77777777" w:rsidR="00274A3B" w:rsidRPr="00274A3B" w:rsidRDefault="00274A3B" w:rsidP="00274A3B">
      <w:pPr>
        <w:rPr>
          <w:b/>
          <w:bCs/>
        </w:rPr>
      </w:pPr>
      <w:r w:rsidRPr="00274A3B">
        <w:rPr>
          <w:b/>
        </w:rPr>
        <w:t>Supplementary Table II</w:t>
      </w:r>
      <w:r w:rsidRPr="00274A3B">
        <w:t>: Differential gene expression between females and males</w:t>
      </w:r>
    </w:p>
    <w:p w14:paraId="4FE0C444" w14:textId="77777777" w:rsidR="00274A3B" w:rsidRPr="00274A3B" w:rsidRDefault="00274A3B" w:rsidP="00274A3B">
      <w:r w:rsidRPr="00274A3B">
        <w:rPr>
          <w:b/>
        </w:rPr>
        <w:t>Supplementary Table III</w:t>
      </w:r>
      <w:r w:rsidRPr="00274A3B">
        <w:t>: Gene ontology analysis of differentially expressed genes</w:t>
      </w:r>
    </w:p>
    <w:p w14:paraId="7CD654B8" w14:textId="77777777" w:rsidR="00274A3B" w:rsidRPr="00274A3B" w:rsidRDefault="00274A3B" w:rsidP="00274A3B">
      <w:r w:rsidRPr="00274A3B">
        <w:rPr>
          <w:b/>
        </w:rPr>
        <w:t>Supplementary Table IV</w:t>
      </w:r>
      <w:r w:rsidRPr="00274A3B">
        <w:t xml:space="preserve">: </w:t>
      </w:r>
      <w:r w:rsidRPr="00274A3B">
        <w:rPr>
          <w:lang w:val="en"/>
        </w:rPr>
        <w:t>Comparisons of the downregulated genes and pathways in response to LPS treatment</w:t>
      </w:r>
    </w:p>
    <w:p w14:paraId="457D1CE4" w14:textId="77777777" w:rsidR="00274A3B" w:rsidRPr="00274A3B" w:rsidRDefault="00274A3B" w:rsidP="00274A3B">
      <w:r w:rsidRPr="00274A3B">
        <w:rPr>
          <w:b/>
        </w:rPr>
        <w:t>Supplementary Table V</w:t>
      </w:r>
      <w:r w:rsidRPr="00274A3B">
        <w:t>: Sequences of primers used for qPCR analysis.</w:t>
      </w:r>
    </w:p>
    <w:p w14:paraId="3B29BCEA" w14:textId="77777777" w:rsidR="00222F56" w:rsidRDefault="00222F56"/>
    <w:sectPr w:rsidR="00222F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A3B"/>
    <w:rsid w:val="00222F56"/>
    <w:rsid w:val="00274A3B"/>
    <w:rsid w:val="00B56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541F1"/>
  <w15:chartTrackingRefBased/>
  <w15:docId w15:val="{0EB4CF86-79B6-48A3-9D78-A648B38B9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4A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4A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4A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4A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4A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4A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4A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4A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4A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A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4A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4A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4A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4A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4A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A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A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A3B"/>
    <w:rPr>
      <w:rFonts w:eastAsiaTheme="majorEastAsia" w:cstheme="majorBidi"/>
      <w:color w:val="272727" w:themeColor="text1" w:themeTint="D8"/>
    </w:rPr>
  </w:style>
  <w:style w:type="paragraph" w:styleId="Title">
    <w:name w:val="Title"/>
    <w:basedOn w:val="Normal"/>
    <w:next w:val="Normal"/>
    <w:link w:val="TitleChar"/>
    <w:uiPriority w:val="10"/>
    <w:qFormat/>
    <w:rsid w:val="00274A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A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A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A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A3B"/>
    <w:pPr>
      <w:spacing w:before="160"/>
      <w:jc w:val="center"/>
    </w:pPr>
    <w:rPr>
      <w:i/>
      <w:iCs/>
      <w:color w:val="404040" w:themeColor="text1" w:themeTint="BF"/>
    </w:rPr>
  </w:style>
  <w:style w:type="character" w:customStyle="1" w:styleId="QuoteChar">
    <w:name w:val="Quote Char"/>
    <w:basedOn w:val="DefaultParagraphFont"/>
    <w:link w:val="Quote"/>
    <w:uiPriority w:val="29"/>
    <w:rsid w:val="00274A3B"/>
    <w:rPr>
      <w:i/>
      <w:iCs/>
      <w:color w:val="404040" w:themeColor="text1" w:themeTint="BF"/>
    </w:rPr>
  </w:style>
  <w:style w:type="paragraph" w:styleId="ListParagraph">
    <w:name w:val="List Paragraph"/>
    <w:basedOn w:val="Normal"/>
    <w:uiPriority w:val="34"/>
    <w:qFormat/>
    <w:rsid w:val="00274A3B"/>
    <w:pPr>
      <w:ind w:left="720"/>
      <w:contextualSpacing/>
    </w:pPr>
  </w:style>
  <w:style w:type="character" w:styleId="IntenseEmphasis">
    <w:name w:val="Intense Emphasis"/>
    <w:basedOn w:val="DefaultParagraphFont"/>
    <w:uiPriority w:val="21"/>
    <w:qFormat/>
    <w:rsid w:val="00274A3B"/>
    <w:rPr>
      <w:i/>
      <w:iCs/>
      <w:color w:val="0F4761" w:themeColor="accent1" w:themeShade="BF"/>
    </w:rPr>
  </w:style>
  <w:style w:type="paragraph" w:styleId="IntenseQuote">
    <w:name w:val="Intense Quote"/>
    <w:basedOn w:val="Normal"/>
    <w:next w:val="Normal"/>
    <w:link w:val="IntenseQuoteChar"/>
    <w:uiPriority w:val="30"/>
    <w:qFormat/>
    <w:rsid w:val="00274A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A3B"/>
    <w:rPr>
      <w:i/>
      <w:iCs/>
      <w:color w:val="0F4761" w:themeColor="accent1" w:themeShade="BF"/>
    </w:rPr>
  </w:style>
  <w:style w:type="character" w:styleId="IntenseReference">
    <w:name w:val="Intense Reference"/>
    <w:basedOn w:val="DefaultParagraphFont"/>
    <w:uiPriority w:val="32"/>
    <w:qFormat/>
    <w:rsid w:val="00274A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162806">
      <w:bodyDiv w:val="1"/>
      <w:marLeft w:val="0"/>
      <w:marRight w:val="0"/>
      <w:marTop w:val="0"/>
      <w:marBottom w:val="0"/>
      <w:divBdr>
        <w:top w:val="none" w:sz="0" w:space="0" w:color="auto"/>
        <w:left w:val="none" w:sz="0" w:space="0" w:color="auto"/>
        <w:bottom w:val="none" w:sz="0" w:space="0" w:color="auto"/>
        <w:right w:val="none" w:sz="0" w:space="0" w:color="auto"/>
      </w:divBdr>
    </w:div>
    <w:div w:id="47588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3061</Characters>
  <Application>Microsoft Office Word</Application>
  <DocSecurity>0</DocSecurity>
  <Lines>25</Lines>
  <Paragraphs>7</Paragraphs>
  <ScaleCrop>false</ScaleCrop>
  <Company>Springer Nature</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Bevins</dc:creator>
  <cp:keywords/>
  <dc:description/>
  <cp:lastModifiedBy>Karina Bevins</cp:lastModifiedBy>
  <cp:revision>1</cp:revision>
  <dcterms:created xsi:type="dcterms:W3CDTF">2024-08-19T20:32:00Z</dcterms:created>
  <dcterms:modified xsi:type="dcterms:W3CDTF">2024-08-19T20:32:00Z</dcterms:modified>
</cp:coreProperties>
</file>