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89377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hint="eastAsia" w:ascii="Times New Roman" w:hAnsi="Times New Roman" w:cs="Times New Roman"/>
          <w:sz w:val="28"/>
          <w:szCs w:val="32"/>
        </w:rPr>
        <w:t>Supplementary Materials for</w:t>
      </w:r>
    </w:p>
    <w:p w14:paraId="2BFE01FE">
      <w:pPr>
        <w:pStyle w:val="6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Improve the projection of </w:t>
      </w:r>
      <w:bookmarkStart w:id="0" w:name="OLE_LINK149"/>
      <w:bookmarkStart w:id="1" w:name="OLE_LINK4"/>
      <w:r>
        <w:rPr>
          <w:rFonts w:ascii="Times New Roman" w:hAnsi="Times New Roman" w:cs="Times New Roman"/>
          <w:b/>
          <w:bCs/>
          <w:sz w:val="30"/>
          <w:szCs w:val="30"/>
        </w:rPr>
        <w:t>East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bCs/>
          <w:sz w:val="30"/>
          <w:szCs w:val="30"/>
        </w:rPr>
        <w:t>China</w:t>
      </w:r>
      <w:bookmarkEnd w:id="0"/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bookmarkStart w:id="2" w:name="OLE_LINK152"/>
      <w:r>
        <w:rPr>
          <w:rFonts w:ascii="Times New Roman" w:hAnsi="Times New Roman" w:cs="Times New Roman"/>
          <w:b/>
          <w:bCs/>
          <w:sz w:val="30"/>
          <w:szCs w:val="30"/>
        </w:rPr>
        <w:t>summer precipitation</w:t>
      </w:r>
      <w:bookmarkEnd w:id="1"/>
      <w:bookmarkEnd w:id="2"/>
      <w:r>
        <w:rPr>
          <w:rFonts w:ascii="Times New Roman" w:hAnsi="Times New Roman" w:cs="Times New Roman"/>
          <w:b/>
          <w:bCs/>
          <w:sz w:val="30"/>
          <w:szCs w:val="30"/>
        </w:rPr>
        <w:t xml:space="preserve"> with emergent constraints</w:t>
      </w:r>
    </w:p>
    <w:p w14:paraId="4A0A510C">
      <w:pPr>
        <w:widowControl w:val="0"/>
        <w:spacing w:before="78" w:beforeLines="25" w:after="78" w:afterLines="25" w:line="360" w:lineRule="auto"/>
        <w:jc w:val="center"/>
        <w:rPr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 w:eastAsia="Times New Roman" w:cs="Times New Roman"/>
          <w:b/>
          <w:kern w:val="2"/>
          <w:sz w:val="24"/>
          <w:szCs w:val="24"/>
          <w:lang w:val="en-US" w:eastAsia="zh-CN" w:bidi="ar-SA"/>
        </w:rPr>
        <w:t>Huanhuan Z</w:t>
      </w:r>
      <w:r>
        <w:rPr>
          <w:rFonts w:hint="eastAsia" w:ascii="Times New Roman" w:hAnsi="Times New Roman" w:eastAsia="Times New Roman" w:cs="Times New Roman"/>
          <w:b/>
          <w:kern w:val="2"/>
          <w:sz w:val="24"/>
          <w:szCs w:val="24"/>
          <w:lang w:val="en-US" w:eastAsia="zh-CN" w:bidi="ar-SA"/>
        </w:rPr>
        <w:t>hu</w:t>
      </w:r>
      <w:r>
        <w:rPr>
          <w:rFonts w:ascii="Times New Roman" w:hAnsi="Times New Roman" w:eastAsia="Times New Roman" w:cs="Times New Roman"/>
          <w:b/>
          <w:kern w:val="2"/>
          <w:sz w:val="24"/>
          <w:szCs w:val="24"/>
          <w:vertAlign w:val="superscript"/>
          <w:lang w:val="en-US" w:eastAsia="zh-CN" w:bidi="ar-SA"/>
        </w:rPr>
        <w:t>1</w:t>
      </w:r>
      <w:r>
        <w:rPr>
          <w:rFonts w:ascii="Times New Roman" w:hAnsi="Times New Roman" w:eastAsia="Times New Roman" w:cs="Times New Roman"/>
          <w:b/>
          <w:kern w:val="2"/>
          <w:sz w:val="24"/>
          <w:szCs w:val="24"/>
          <w:lang w:val="en-US" w:eastAsia="zh-CN" w:bidi="ar-SA"/>
        </w:rPr>
        <w:t>, Zhihong J</w:t>
      </w:r>
      <w:r>
        <w:rPr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iang</w:t>
      </w:r>
      <w:r>
        <w:rPr>
          <w:rFonts w:hint="eastAsia" w:ascii="Times New Roman" w:hAnsi="Times New Roman" w:eastAsia="宋体" w:cs="Times New Roman"/>
          <w:b/>
          <w:kern w:val="2"/>
          <w:sz w:val="24"/>
          <w:szCs w:val="24"/>
          <w:vertAlign w:val="superscript"/>
          <w:lang w:val="en-US" w:eastAsia="zh-CN" w:bidi="ar-SA"/>
        </w:rPr>
        <w:t>2</w:t>
      </w:r>
      <w:r>
        <w:rPr>
          <w:rFonts w:hint="default" w:ascii="Times New Roman" w:hAnsi="Times New Roman" w:eastAsia="等线 Light" w:cs="Times New Roman"/>
          <w:b/>
          <w:kern w:val="2"/>
          <w:sz w:val="24"/>
          <w:szCs w:val="24"/>
          <w:vertAlign w:val="superscript"/>
          <w:lang w:val="en-US" w:eastAsia="zh-CN" w:bidi="ar-SA"/>
        </w:rPr>
        <w:t>*</w:t>
      </w:r>
      <w:r>
        <w:rPr>
          <w:rFonts w:ascii="Times New Roman" w:hAnsi="Times New Roman" w:eastAsia="Times New Roman" w:cs="Times New Roman"/>
          <w:b/>
          <w:kern w:val="2"/>
          <w:sz w:val="24"/>
          <w:szCs w:val="24"/>
          <w:lang w:val="en-US" w:eastAsia="zh-CN" w:bidi="ar-SA"/>
        </w:rPr>
        <w:t xml:space="preserve">, </w:t>
      </w:r>
      <w:bookmarkStart w:id="3" w:name="OLE_LINK24"/>
      <w:r>
        <w:rPr>
          <w:rFonts w:ascii="Times New Roman" w:hAnsi="Times New Roman" w:eastAsia="Times New Roman" w:cs="Times New Roman"/>
          <w:b/>
          <w:kern w:val="2"/>
          <w:sz w:val="24"/>
          <w:szCs w:val="24"/>
          <w:lang w:val="en-US" w:eastAsia="zh-CN" w:bidi="ar-SA"/>
        </w:rPr>
        <w:t>Laurent L</w:t>
      </w:r>
      <w:bookmarkEnd w:id="3"/>
      <w:r>
        <w:rPr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i</w:t>
      </w:r>
      <w:r>
        <w:rPr>
          <w:rFonts w:hint="eastAsia" w:ascii="Times New Roman" w:hAnsi="Times New Roman" w:eastAsia="宋体" w:cs="Times New Roman"/>
          <w:b/>
          <w:kern w:val="2"/>
          <w:sz w:val="24"/>
          <w:szCs w:val="24"/>
          <w:vertAlign w:val="superscript"/>
          <w:lang w:val="en-US" w:eastAsia="zh-CN" w:bidi="ar-SA"/>
        </w:rPr>
        <w:t>3</w:t>
      </w:r>
      <w:r>
        <w:rPr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, Wei Li</w:t>
      </w:r>
      <w:r>
        <w:rPr>
          <w:rFonts w:hint="eastAsia" w:ascii="Times New Roman" w:hAnsi="Times New Roman" w:eastAsia="宋体" w:cs="Times New Roman"/>
          <w:b/>
          <w:kern w:val="2"/>
          <w:sz w:val="24"/>
          <w:szCs w:val="24"/>
          <w:vertAlign w:val="superscript"/>
          <w:lang w:val="en-US" w:eastAsia="zh-CN" w:bidi="ar-SA"/>
        </w:rPr>
        <w:t>2</w:t>
      </w:r>
      <w:r>
        <w:rPr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, Sheng Jiang</w:t>
      </w:r>
      <w:bookmarkStart w:id="23" w:name="_GoBack"/>
      <w:bookmarkEnd w:id="23"/>
      <w:r>
        <w:rPr>
          <w:rFonts w:hint="eastAsia" w:ascii="Times New Roman" w:hAnsi="Times New Roman" w:eastAsia="宋体" w:cs="Times New Roman"/>
          <w:b/>
          <w:kern w:val="2"/>
          <w:sz w:val="24"/>
          <w:szCs w:val="24"/>
          <w:vertAlign w:val="superscript"/>
          <w:lang w:val="en-US" w:eastAsia="zh-CN" w:bidi="ar-SA"/>
        </w:rPr>
        <w:t xml:space="preserve"> 2</w:t>
      </w:r>
      <w:r>
        <w:rPr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 xml:space="preserve">  </w:t>
      </w:r>
    </w:p>
    <w:p w14:paraId="4A10EB39">
      <w:pPr>
        <w:widowControl w:val="0"/>
        <w:spacing w:before="0" w:after="40" w:line="360" w:lineRule="auto"/>
        <w:jc w:val="both"/>
        <w:rPr>
          <w:rFonts w:hint="eastAsia" w:ascii="Times New Roman" w:hAnsi="Times New Roman" w:eastAsia="Times New Roman" w:cs="Times New Roman"/>
          <w:i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 w:eastAsia="Times New Roman" w:cs="Times New Roman"/>
          <w:iCs/>
          <w:kern w:val="2"/>
          <w:sz w:val="24"/>
          <w:szCs w:val="24"/>
          <w:vertAlign w:val="superscript"/>
          <w:lang w:val="en-US" w:eastAsia="zh-CN" w:bidi="ar-SA"/>
        </w:rPr>
        <w:t xml:space="preserve">1 </w:t>
      </w:r>
      <w:r>
        <w:rPr>
          <w:rFonts w:hint="eastAsia" w:ascii="Times New Roman" w:hAnsi="Times New Roman" w:eastAsia="Times New Roman" w:cs="Times New Roman"/>
          <w:i/>
          <w:kern w:val="2"/>
          <w:sz w:val="24"/>
          <w:szCs w:val="24"/>
          <w:lang w:val="en-US" w:eastAsia="zh-CN" w:bidi="ar-SA"/>
        </w:rPr>
        <w:t>School of Atmospheric Science and Remote Sensing, Wuxi University, Wuxi 214105, China</w:t>
      </w:r>
    </w:p>
    <w:p w14:paraId="2A76EF92">
      <w:pPr>
        <w:widowControl w:val="0"/>
        <w:spacing w:before="0" w:after="40" w:line="360" w:lineRule="auto"/>
        <w:jc w:val="both"/>
        <w:rPr>
          <w:rFonts w:ascii="Times New Roman" w:hAnsi="Times New Roman" w:eastAsia="Times New Roman" w:cs="Times New Roman"/>
          <w:iCs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Times New Roman" w:cs="Times New Roman"/>
          <w:i w:val="0"/>
          <w:iCs/>
          <w:kern w:val="2"/>
          <w:sz w:val="24"/>
          <w:szCs w:val="24"/>
          <w:vertAlign w:val="superscript"/>
          <w:lang w:val="en-US" w:eastAsia="zh-CN" w:bidi="ar-SA"/>
        </w:rPr>
        <w:t>2</w:t>
      </w:r>
      <w:r>
        <w:rPr>
          <w:rFonts w:hint="eastAsia" w:ascii="Times New Roman" w:hAnsi="Times New Roman" w:eastAsia="Times New Roman" w:cs="Times New Roman"/>
          <w:i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Times New Roman" w:cs="Times New Roman"/>
          <w:i/>
          <w:kern w:val="2"/>
          <w:sz w:val="24"/>
          <w:szCs w:val="24"/>
          <w:lang w:val="en-US" w:eastAsia="zh-CN" w:bidi="ar-SA"/>
        </w:rPr>
        <w:t>Key Laboratory of Meteorological Disaster of Ministry of Education,</w:t>
      </w:r>
      <w:r>
        <w:rPr>
          <w:rFonts w:hint="eastAsia" w:ascii="Times New Roman" w:hAnsi="Times New Roman" w:eastAsia="宋体" w:cs="Times New Roman"/>
          <w:i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Times New Roman" w:cs="Times New Roman"/>
          <w:i/>
          <w:kern w:val="2"/>
          <w:sz w:val="24"/>
          <w:szCs w:val="24"/>
          <w:lang w:val="en-US" w:eastAsia="zh-CN" w:bidi="ar-SA"/>
        </w:rPr>
        <w:t>Collaborative Innovation Center on Forecast and Evaluation of Meteorological Disaster, Nanjing University of Information Science and Technology, Nanjing</w:t>
      </w:r>
      <w:r>
        <w:rPr>
          <w:rFonts w:hint="eastAsia" w:ascii="Times New Roman" w:hAnsi="Times New Roman" w:eastAsia="宋体" w:cs="Times New Roman"/>
          <w:i/>
          <w:kern w:val="2"/>
          <w:sz w:val="24"/>
          <w:szCs w:val="24"/>
          <w:lang w:val="en-US" w:eastAsia="zh-CN" w:bidi="ar-SA"/>
        </w:rPr>
        <w:t xml:space="preserve"> 210044</w:t>
      </w:r>
      <w:r>
        <w:rPr>
          <w:rFonts w:ascii="Times New Roman" w:hAnsi="Times New Roman" w:eastAsia="Times New Roman" w:cs="Times New Roman"/>
          <w:i/>
          <w:kern w:val="2"/>
          <w:sz w:val="24"/>
          <w:szCs w:val="24"/>
          <w:lang w:val="en-US" w:eastAsia="zh-CN" w:bidi="ar-SA"/>
        </w:rPr>
        <w:t>, China.</w:t>
      </w:r>
    </w:p>
    <w:p w14:paraId="08606839">
      <w:pPr>
        <w:widowControl w:val="0"/>
        <w:spacing w:before="0" w:after="40" w:line="360" w:lineRule="auto"/>
        <w:jc w:val="both"/>
        <w:rPr>
          <w:rFonts w:ascii="Times New Roman" w:hAnsi="Times New Roman" w:eastAsia="宋体" w:cs="Times New Roman"/>
          <w:iCs/>
          <w:kern w:val="2"/>
          <w:sz w:val="24"/>
          <w:szCs w:val="24"/>
          <w:lang w:val="fr-FR" w:eastAsia="zh-CN" w:bidi="ar-SA"/>
        </w:rPr>
      </w:pPr>
      <w:r>
        <w:rPr>
          <w:rFonts w:hint="eastAsia" w:ascii="Times New Roman" w:hAnsi="Times New Roman" w:eastAsia="宋体" w:cs="Times New Roman"/>
          <w:iCs/>
          <w:kern w:val="2"/>
          <w:sz w:val="24"/>
          <w:szCs w:val="24"/>
          <w:vertAlign w:val="superscript"/>
          <w:lang w:val="en-US" w:eastAsia="zh-CN" w:bidi="ar-SA"/>
        </w:rPr>
        <w:t>3</w:t>
      </w:r>
      <w:r>
        <w:rPr>
          <w:rFonts w:hint="eastAsia" w:ascii="Times New Roman" w:hAnsi="Times New Roman" w:eastAsia="宋体" w:cs="Times New Roman"/>
          <w:iCs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Times New Roman" w:cs="Times New Roman"/>
          <w:i/>
          <w:kern w:val="2"/>
          <w:sz w:val="24"/>
          <w:szCs w:val="24"/>
          <w:lang w:val="fr-FR" w:eastAsia="zh-CN" w:bidi="ar-SA"/>
        </w:rPr>
        <w:t xml:space="preserve">Laboratoire de Météorologie Dynamique, CNRS, Sorbonne Université, Ecole Normale Supérieure, Ecole Polytechnique, </w:t>
      </w:r>
      <w:bookmarkStart w:id="4" w:name="OLE_LINK19"/>
      <w:r>
        <w:rPr>
          <w:rFonts w:ascii="Times New Roman" w:hAnsi="Times New Roman" w:eastAsia="Times New Roman" w:cs="Times New Roman"/>
          <w:i/>
          <w:kern w:val="2"/>
          <w:sz w:val="24"/>
          <w:szCs w:val="24"/>
          <w:lang w:val="fr-FR" w:eastAsia="zh-CN" w:bidi="ar-SA"/>
        </w:rPr>
        <w:t>Paris</w:t>
      </w:r>
      <w:r>
        <w:rPr>
          <w:rFonts w:hint="eastAsia" w:ascii="Times New Roman" w:hAnsi="Times New Roman" w:eastAsia="宋体" w:cs="Times New Roman"/>
          <w:i/>
          <w:kern w:val="2"/>
          <w:sz w:val="24"/>
          <w:szCs w:val="24"/>
          <w:lang w:val="fr-FR" w:eastAsia="zh-CN" w:bidi="ar-SA"/>
        </w:rPr>
        <w:t xml:space="preserve"> </w:t>
      </w:r>
      <w:bookmarkEnd w:id="4"/>
      <w:r>
        <w:rPr>
          <w:rFonts w:hint="eastAsia" w:ascii="Times New Roman" w:hAnsi="Times New Roman" w:eastAsia="宋体" w:cs="Times New Roman"/>
          <w:i/>
          <w:kern w:val="2"/>
          <w:sz w:val="24"/>
          <w:szCs w:val="24"/>
          <w:lang w:val="fr-FR" w:eastAsia="zh-CN" w:bidi="ar-SA"/>
        </w:rPr>
        <w:t>75005</w:t>
      </w:r>
      <w:r>
        <w:rPr>
          <w:rFonts w:ascii="Times New Roman" w:hAnsi="Times New Roman" w:eastAsia="Times New Roman" w:cs="Times New Roman"/>
          <w:i/>
          <w:kern w:val="2"/>
          <w:sz w:val="24"/>
          <w:szCs w:val="24"/>
          <w:lang w:val="fr-FR" w:eastAsia="zh-CN" w:bidi="ar-SA"/>
        </w:rPr>
        <w:t>, France.</w:t>
      </w:r>
      <w:r>
        <w:rPr>
          <w:rFonts w:hint="eastAsia" w:ascii="Times New Roman" w:hAnsi="Times New Roman" w:eastAsia="宋体" w:cs="Times New Roman"/>
          <w:i/>
          <w:kern w:val="2"/>
          <w:sz w:val="24"/>
          <w:szCs w:val="24"/>
          <w:lang w:val="fr-FR" w:eastAsia="zh-CN" w:bidi="ar-SA"/>
        </w:rPr>
        <w:t xml:space="preserve"> </w:t>
      </w:r>
    </w:p>
    <w:p w14:paraId="6B46C673">
      <w:pPr>
        <w:rPr>
          <w:rFonts w:ascii="Times New Roman" w:hAnsi="Times New Roman" w:cs="Times New Roman"/>
          <w:b/>
          <w:bCs/>
          <w:sz w:val="30"/>
          <w:szCs w:val="30"/>
        </w:rPr>
      </w:pPr>
    </w:p>
    <w:p w14:paraId="3942E095">
      <w:pPr>
        <w:widowControl w:val="0"/>
        <w:spacing w:before="0" w:after="0" w:line="260" w:lineRule="auto"/>
        <w:jc w:val="both"/>
        <w:rPr>
          <w:rFonts w:ascii="Times New Roman" w:hAnsi="Times New Roman" w:eastAsia="Times New Roman" w:cs="Times New Roman"/>
          <w:b/>
          <w:bCs/>
          <w:kern w:val="2"/>
          <w:sz w:val="24"/>
          <w:szCs w:val="28"/>
          <w:lang w:val="en-US" w:eastAsia="zh-CN" w:bidi="ar-SA"/>
        </w:rPr>
      </w:pPr>
      <w:r>
        <w:rPr>
          <w:rFonts w:ascii="Times New Roman" w:hAnsi="Times New Roman" w:eastAsia="Times New Roman" w:cs="Times New Roman"/>
          <w:b/>
          <w:kern w:val="2"/>
          <w:sz w:val="24"/>
          <w:szCs w:val="24"/>
          <w:lang w:val="en-US" w:eastAsia="zh-CN" w:bidi="ar-SA"/>
        </w:rPr>
        <w:t>*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en-US" w:eastAsia="zh-CN" w:bidi="ar-SA"/>
        </w:rPr>
        <w:t xml:space="preserve">Corresponding author. E-mail: </w:t>
      </w:r>
      <w:r>
        <w:rPr>
          <w:rFonts w:ascii="Calibri" w:hAnsi="Calibri" w:eastAsia="Times New Roman" w:cs="Times New Roman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ascii="Calibri" w:hAnsi="Calibri" w:eastAsia="Times New Roman" w:cs="Times New Roman"/>
          <w:kern w:val="2"/>
          <w:sz w:val="24"/>
          <w:szCs w:val="24"/>
          <w:lang w:val="en-US" w:eastAsia="zh-CN" w:bidi="ar-SA"/>
        </w:rPr>
        <w:instrText xml:space="preserve"> HYPERLINK "mailto:zhjiang@nuist.edu.cn)" </w:instrText>
      </w:r>
      <w:r>
        <w:rPr>
          <w:rFonts w:ascii="Calibri" w:hAnsi="Calibri" w:eastAsia="Times New Roman" w:cs="Times New Roman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color w:val="0000FF"/>
          <w:kern w:val="2"/>
          <w:sz w:val="24"/>
          <w:szCs w:val="24"/>
          <w:u w:val="single"/>
          <w:lang w:val="en-US" w:eastAsia="zh-CN" w:bidi="ar-SA"/>
        </w:rPr>
        <w:t>zhjiang@nuist.edu.cn</w:t>
      </w:r>
      <w:r>
        <w:rPr>
          <w:rFonts w:ascii="Times New Roman" w:hAnsi="Times New Roman" w:eastAsia="宋体" w:cs="Times New Roman"/>
          <w:color w:val="0000FF"/>
          <w:kern w:val="2"/>
          <w:sz w:val="24"/>
          <w:szCs w:val="24"/>
          <w:u w:val="single"/>
          <w:lang w:val="en-US" w:eastAsia="zh-CN" w:bidi="ar-SA"/>
        </w:rPr>
        <w:fldChar w:fldCharType="end"/>
      </w:r>
      <w:r>
        <w:rPr>
          <w:rFonts w:ascii="Times New Roman" w:hAnsi="Times New Roman" w:eastAsia="宋体" w:cs="Times New Roman"/>
          <w:color w:val="0000FF"/>
          <w:kern w:val="2"/>
          <w:sz w:val="24"/>
          <w:szCs w:val="24"/>
          <w:u w:val="single"/>
          <w:lang w:val="en-US" w:eastAsia="zh-CN" w:bidi="ar-SA"/>
        </w:rPr>
        <w:t xml:space="preserve"> </w:t>
      </w:r>
    </w:p>
    <w:p w14:paraId="16C97FF8">
      <w:pPr>
        <w:rPr>
          <w:rFonts w:ascii="Times New Roman" w:hAnsi="Times New Roman" w:cs="Times New Roman"/>
          <w:b/>
          <w:bCs/>
          <w:sz w:val="30"/>
          <w:szCs w:val="30"/>
        </w:rPr>
      </w:pPr>
    </w:p>
    <w:p w14:paraId="5656504F">
      <w:pPr>
        <w:spacing w:after="156" w:afterLines="50" w:line="360" w:lineRule="auto"/>
        <w:rPr>
          <w:rFonts w:ascii="Times New Roman" w:hAnsi="Times New Roman" w:eastAsia="宋体" w:cs="Times New Roman"/>
          <w:sz w:val="24"/>
          <w:szCs w:val="20"/>
        </w:rPr>
      </w:pPr>
      <w:r>
        <w:rPr>
          <w:rFonts w:hint="eastAsia" w:ascii="Times New Roman" w:hAnsi="Times New Roman" w:eastAsia="宋体" w:cs="Times New Roman"/>
          <w:sz w:val="24"/>
          <w:szCs w:val="20"/>
        </w:rPr>
        <w:t xml:space="preserve">Table S1. </w:t>
      </w:r>
      <w:bookmarkStart w:id="5" w:name="OLE_LINK11"/>
      <w:r>
        <w:rPr>
          <w:rFonts w:hint="eastAsia" w:ascii="Times New Roman" w:hAnsi="Times New Roman" w:eastAsia="宋体" w:cs="Times New Roman"/>
          <w:sz w:val="24"/>
          <w:szCs w:val="20"/>
        </w:rPr>
        <w:t>Model numbers, model name</w:t>
      </w:r>
      <w:bookmarkEnd w:id="5"/>
      <w:r>
        <w:rPr>
          <w:rFonts w:hint="eastAsia" w:ascii="Times New Roman" w:hAnsi="Times New Roman" w:eastAsia="宋体" w:cs="Times New Roman"/>
          <w:sz w:val="24"/>
          <w:szCs w:val="20"/>
        </w:rPr>
        <w:t xml:space="preserve">s, </w:t>
      </w:r>
      <w:bookmarkStart w:id="6" w:name="OLE_LINK12"/>
      <w:r>
        <w:rPr>
          <w:rFonts w:hint="eastAsia" w:ascii="Times New Roman" w:hAnsi="Times New Roman" w:eastAsia="宋体" w:cs="Times New Roman"/>
          <w:sz w:val="24"/>
          <w:szCs w:val="20"/>
        </w:rPr>
        <w:t>modeling centers and countries</w:t>
      </w:r>
      <w:bookmarkEnd w:id="6"/>
      <w:r>
        <w:rPr>
          <w:rFonts w:hint="eastAsia" w:ascii="Times New Roman" w:hAnsi="Times New Roman" w:eastAsia="宋体" w:cs="Times New Roman"/>
          <w:sz w:val="24"/>
          <w:szCs w:val="20"/>
        </w:rPr>
        <w:t>, as well as the atmospheric resolutions, of 34 CMIP6 global climate models.</w:t>
      </w:r>
    </w:p>
    <w:tbl>
      <w:tblPr>
        <w:tblStyle w:val="7"/>
        <w:tblW w:w="4995" w:type="pct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2"/>
        <w:gridCol w:w="1920"/>
        <w:gridCol w:w="3952"/>
        <w:gridCol w:w="1674"/>
      </w:tblGrid>
      <w:tr w14:paraId="6CBC25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469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 w14:paraId="4853C39C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7" w:name="OLE_LINK13"/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Model</w:t>
            </w:r>
          </w:p>
          <w:p w14:paraId="50841A80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number</w:t>
            </w:r>
            <w:bookmarkEnd w:id="7"/>
          </w:p>
        </w:tc>
        <w:tc>
          <w:tcPr>
            <w:tcW w:w="1152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 w14:paraId="76F990BD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Model name </w:t>
            </w:r>
          </w:p>
        </w:tc>
        <w:tc>
          <w:tcPr>
            <w:tcW w:w="2372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 w14:paraId="5F32A69B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M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en-US"/>
              </w:rPr>
              <w:t>odeling centers and countries</w:t>
            </w:r>
          </w:p>
        </w:tc>
        <w:tc>
          <w:tcPr>
            <w:tcW w:w="1005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 w14:paraId="352E8391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Atmospheric resolution</w:t>
            </w:r>
          </w:p>
          <w:p w14:paraId="547A23CC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(lat×lon)</w:t>
            </w:r>
          </w:p>
        </w:tc>
      </w:tr>
      <w:tr w14:paraId="66050F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469" w:type="pct"/>
            <w:tcBorders>
              <w:top w:val="single" w:color="000000" w:sz="12" w:space="0"/>
              <w:left w:val="nil"/>
              <w:bottom w:val="nil"/>
              <w:right w:val="nil"/>
            </w:tcBorders>
            <w:vAlign w:val="center"/>
          </w:tcPr>
          <w:p w14:paraId="090890C8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</w:p>
          <w:p w14:paraId="28A6F072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</w:t>
            </w:r>
          </w:p>
        </w:tc>
        <w:tc>
          <w:tcPr>
            <w:tcW w:w="1152" w:type="pct"/>
            <w:tcBorders>
              <w:top w:val="single" w:color="000000" w:sz="12" w:space="0"/>
              <w:left w:val="nil"/>
              <w:bottom w:val="nil"/>
              <w:right w:val="nil"/>
            </w:tcBorders>
            <w:vAlign w:val="center"/>
          </w:tcPr>
          <w:p w14:paraId="27630A33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ACCESS-CM2</w:t>
            </w:r>
          </w:p>
          <w:p w14:paraId="1D8B16A1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ACCESS-ESM1-5</w:t>
            </w:r>
          </w:p>
        </w:tc>
        <w:tc>
          <w:tcPr>
            <w:tcW w:w="2372" w:type="pct"/>
            <w:tcBorders>
              <w:top w:val="single" w:color="000000" w:sz="12" w:space="0"/>
              <w:left w:val="nil"/>
              <w:bottom w:val="nil"/>
              <w:right w:val="nil"/>
            </w:tcBorders>
            <w:vAlign w:val="center"/>
          </w:tcPr>
          <w:p w14:paraId="7BEFD8A1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Commonwealth Scientific and Industrial Research Organization and Bureau of Meteorology (Australia)</w:t>
            </w:r>
          </w:p>
        </w:tc>
        <w:tc>
          <w:tcPr>
            <w:tcW w:w="1005" w:type="pct"/>
            <w:tcBorders>
              <w:top w:val="single" w:color="000000" w:sz="12" w:space="0"/>
              <w:left w:val="nil"/>
              <w:bottom w:val="nil"/>
              <w:right w:val="nil"/>
            </w:tcBorders>
            <w:vAlign w:val="center"/>
          </w:tcPr>
          <w:p w14:paraId="3B5696E5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1.2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°×1.875°</w:t>
            </w:r>
          </w:p>
          <w:p w14:paraId="03E79328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1.25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°×1.875°</w:t>
            </w:r>
          </w:p>
        </w:tc>
      </w:tr>
      <w:tr w14:paraId="1445DC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A6414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3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E4D8C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BCC-CSM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2-MR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1DE7B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Beijing Climate Center, China Meteorological Administration (China)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100BA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1.125°×1.125°</w:t>
            </w:r>
          </w:p>
        </w:tc>
      </w:tr>
      <w:tr w14:paraId="186870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94597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4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F955C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Ca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nESM5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1CCA6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Canadian Centre for Climate Modelling and Analysis (Canada)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50187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2.8°×2.8°</w:t>
            </w:r>
          </w:p>
        </w:tc>
      </w:tr>
      <w:tr w14:paraId="39948A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C3F5B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8" w:name="OLE_LINK234" w:colFirst="1" w:colLast="1"/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5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78B81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CESM2-WACCM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FC109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National Center for Atmospheric Research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(USA)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D42B2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0.9375°×1.25°</w:t>
            </w:r>
          </w:p>
        </w:tc>
      </w:tr>
      <w:tr w14:paraId="48DC0F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51482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6</w:t>
            </w:r>
          </w:p>
          <w:p w14:paraId="621077B9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7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DCC66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CMCC-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M2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-SR5</w:t>
            </w:r>
          </w:p>
          <w:p w14:paraId="6E2736E0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CMCC-ESM2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116B3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 xml:space="preserve">Fondazione Centro Euro-Mediterraneo sui Cambiamenti Climatici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Italy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0BD74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0.9375°×1.25°</w:t>
            </w:r>
          </w:p>
          <w:p w14:paraId="57F0B852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0.9375°×1.25°</w:t>
            </w:r>
          </w:p>
        </w:tc>
      </w:tr>
      <w:bookmarkEnd w:id="8"/>
      <w:tr w14:paraId="0F4A89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C1E1D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9" w:name="OLE_LINK235" w:colFirst="1" w:colLast="1"/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8</w:t>
            </w:r>
          </w:p>
          <w:p w14:paraId="11FC13A8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9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D4B3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CNRM-CM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6-1</w:t>
            </w:r>
          </w:p>
          <w:p w14:paraId="7F0E8122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CNRM-ESM2-1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CF8B3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val="fr-FR"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val="fr-FR" w:eastAsia="en-US"/>
              </w:rPr>
              <w:t>Centre National de Recherches Météorologiques–Centre Européen de Recherche et de Formation Avancée en Calcul Scientifique (France)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DD4E6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1.4°×1.4°</w:t>
            </w:r>
          </w:p>
          <w:p w14:paraId="45BD6EA5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1.4°×1.4°</w:t>
            </w:r>
          </w:p>
        </w:tc>
      </w:tr>
      <w:tr w14:paraId="7AA21C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5" w:hRule="atLeast"/>
          <w:jc w:val="center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48F54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10</w:t>
            </w:r>
          </w:p>
          <w:p w14:paraId="134B62E8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11</w:t>
            </w:r>
          </w:p>
          <w:p w14:paraId="4E1E2C81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12</w:t>
            </w:r>
          </w:p>
          <w:p w14:paraId="769E42FA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13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C632A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EC-Earth3</w:t>
            </w:r>
          </w:p>
          <w:p w14:paraId="2EF4FCEE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EC-Earth3-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CC</w:t>
            </w:r>
          </w:p>
          <w:p w14:paraId="0797F28F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EC-Earth3-Veg</w:t>
            </w:r>
          </w:p>
          <w:p w14:paraId="6B40FEFC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EC-Earth3-Veg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-LR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2FBBD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EC-EARTH consortium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0549B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0.7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°×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0.7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</w:t>
            </w:r>
          </w:p>
          <w:p w14:paraId="22BA9B12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0.7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°×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0.7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</w:t>
            </w:r>
          </w:p>
          <w:p w14:paraId="6BDBD66E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0.7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°×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0.7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</w:t>
            </w:r>
          </w:p>
          <w:p w14:paraId="6BBE3271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1.125°×1.125°</w:t>
            </w:r>
          </w:p>
        </w:tc>
      </w:tr>
      <w:tr w14:paraId="750EAE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29F30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14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1C97C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FGOALS-g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B53BE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LASG, Institute of Atmospheric Physics, Chinese Academy of Sciences and Center for Earth System Science, Tsinghua University (China)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8749E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2.25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°×2°</w:t>
            </w:r>
          </w:p>
        </w:tc>
      </w:tr>
      <w:tr w14:paraId="65B893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6700C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15</w:t>
            </w:r>
          </w:p>
          <w:p w14:paraId="767556CB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16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FB32B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GFDL-CM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</w:t>
            </w:r>
          </w:p>
          <w:p w14:paraId="39D93131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GFDL-ESM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103F5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NOAA Geophysical Fluid Dynamics Laboratory (USA)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1C211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°×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25°</w:t>
            </w:r>
          </w:p>
          <w:p w14:paraId="06BEEDE1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°×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25°</w:t>
            </w:r>
          </w:p>
        </w:tc>
      </w:tr>
      <w:tr w14:paraId="07BD1D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3E9C9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17</w:t>
            </w:r>
          </w:p>
          <w:p w14:paraId="4C5CB131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18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6714E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HadGEM3-GC31-LL</w:t>
            </w:r>
          </w:p>
          <w:p w14:paraId="61358245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10" w:name="OLE_LINK236"/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HadGEM3-GC31-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MM</w:t>
            </w:r>
            <w:bookmarkEnd w:id="10"/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36F1A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 xml:space="preserve">Met Office Hadley Centre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UK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A10B6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1.25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°×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1.875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</w:t>
            </w:r>
          </w:p>
          <w:p w14:paraId="383FEEE8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56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°×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</w:t>
            </w:r>
          </w:p>
        </w:tc>
      </w:tr>
      <w:bookmarkEnd w:id="9"/>
      <w:tr w14:paraId="24BEB8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10AC4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11" w:name="OLE_LINK237" w:colFirst="1" w:colLast="1"/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19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6F08B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IITM-ESM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701B3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 xml:space="preserve">Centre for Climate Change Research, Indian Institute of Tropical Meteorology Pune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India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91DF3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12" w:name="OLE_LINK140"/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1.9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°×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1.875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</w:t>
            </w:r>
            <w:bookmarkEnd w:id="12"/>
          </w:p>
        </w:tc>
      </w:tr>
      <w:tr w14:paraId="7D7805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F0CE0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20</w:t>
            </w:r>
          </w:p>
          <w:p w14:paraId="135DD348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21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F25D6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I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NM-CM4-8</w:t>
            </w:r>
          </w:p>
          <w:p w14:paraId="55DB2A74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I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NM-CM5-0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88852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 xml:space="preserve">Institute for Numerical Mathematics, Russian Academy of Science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Russia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28603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°×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</w:t>
            </w:r>
          </w:p>
          <w:p w14:paraId="102BDADD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°×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</w:t>
            </w:r>
          </w:p>
        </w:tc>
      </w:tr>
      <w:tr w14:paraId="7B12EE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74A0B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22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037B9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IPSL-CM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A-LR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6A919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val="fr-FR" w:eastAsia="en-US"/>
              </w:rPr>
              <w:t>L’Institut Pierre-Simon Laplace (France)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1F0E1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°×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5°</w:t>
            </w:r>
          </w:p>
        </w:tc>
      </w:tr>
      <w:tr w14:paraId="577249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42E33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23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D0E01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KACE-1-0-G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F0E09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val="en-GB" w:eastAsia="en-US"/>
              </w:rPr>
              <w:t xml:space="preserve">National Institute of Meteorological Sciences/Korea Meteorological Administration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val="en-GB" w:eastAsia="en-US"/>
              </w:rPr>
              <w:t>Korea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A48A9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1.25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°×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1.875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</w:t>
            </w:r>
          </w:p>
        </w:tc>
      </w:tr>
      <w:tr w14:paraId="1DAA6B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F2483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24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8A7EE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KIOST-ESM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F3657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val="en-GB" w:eastAsia="en-US"/>
              </w:rPr>
              <w:t xml:space="preserve">Korea Institute of Ocean Science &amp; Technology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val="en-GB" w:eastAsia="en-US"/>
              </w:rPr>
              <w:t>Korea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4A27C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1.875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°×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1.875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</w:t>
            </w:r>
          </w:p>
        </w:tc>
      </w:tr>
      <w:tr w14:paraId="7F1257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9C32A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25</w:t>
            </w:r>
          </w:p>
          <w:p w14:paraId="1620FC40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26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9DC80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MIROC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</w:t>
            </w:r>
          </w:p>
          <w:p w14:paraId="000CC54A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bookmarkStart w:id="13" w:name="OLE_LINK157"/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MIROC-ES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2L</w:t>
            </w:r>
            <w:bookmarkEnd w:id="13"/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9507F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National Institute for Environmental Studies,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The University of Tokyo (Japan)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1DCD8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1.4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°×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1.4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</w:t>
            </w:r>
          </w:p>
          <w:p w14:paraId="55D2479E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2.8°×2.8°</w:t>
            </w:r>
          </w:p>
        </w:tc>
      </w:tr>
      <w:tr w14:paraId="39F60D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2F6C7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27</w:t>
            </w:r>
          </w:p>
          <w:p w14:paraId="55B21C1D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28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D6D10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MPI-ESM-1-2-HR</w:t>
            </w:r>
          </w:p>
          <w:p w14:paraId="2B7DC133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MPI-ESM-1-2-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R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998D2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Max Planck Institute for Meteorology (Germany)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87B37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0.9375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°×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0.9375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</w:t>
            </w:r>
          </w:p>
          <w:p w14:paraId="5E3BDF65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1.875°×1.875°</w:t>
            </w:r>
          </w:p>
        </w:tc>
      </w:tr>
      <w:tr w14:paraId="0F4A88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53DC4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29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F5A1A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MRI-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ES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M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2-0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05F61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Meteorological Research Institute (Japan)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7CE1A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1.125°×1.125°</w:t>
            </w:r>
          </w:p>
        </w:tc>
      </w:tr>
      <w:tr w14:paraId="5E8C8E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" w:hRule="atLeast"/>
          <w:jc w:val="center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C9991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30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C191B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NESM3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BFAF3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 xml:space="preserve">Nanjing University of Information Science and Technology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China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70376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1.875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°×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1.875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</w:t>
            </w:r>
          </w:p>
        </w:tc>
      </w:tr>
      <w:tr w14:paraId="7A260E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2" w:hRule="atLeast"/>
          <w:jc w:val="center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E11A7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14" w:name="OLE_LINK158"/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31</w:t>
            </w:r>
          </w:p>
          <w:p w14:paraId="3B0817B3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32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1F44F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NorESM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M</w:t>
            </w:r>
          </w:p>
          <w:bookmarkEnd w:id="14"/>
          <w:p w14:paraId="54866313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NorESM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MM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3AAB7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Norwegian Climate Centre (Norway)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90E04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1.875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°×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2.5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</w:t>
            </w:r>
          </w:p>
          <w:p w14:paraId="146B79A3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0.94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°×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25°</w:t>
            </w:r>
          </w:p>
        </w:tc>
      </w:tr>
      <w:tr w14:paraId="25E680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5" w:hRule="atLeast"/>
          <w:jc w:val="center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8449D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33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D07B0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TaiESM1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CBDCE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 xml:space="preserve">Research Center for Environmental Changes, Academia Sinica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Taiwan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A83FD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0.9375°×1.25°</w:t>
            </w:r>
          </w:p>
        </w:tc>
      </w:tr>
      <w:tr w14:paraId="0BEB03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9" w:hRule="atLeast"/>
          <w:jc w:val="center"/>
        </w:trPr>
        <w:tc>
          <w:tcPr>
            <w:tcW w:w="469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16D74894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34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5C08129B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UKESM1-0-LL</w:t>
            </w:r>
          </w:p>
        </w:tc>
        <w:tc>
          <w:tcPr>
            <w:tcW w:w="2372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3CBEB108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 xml:space="preserve">Met Office Hadley Centre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UK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)</w:t>
            </w:r>
          </w:p>
        </w:tc>
        <w:tc>
          <w:tcPr>
            <w:tcW w:w="1005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7A9A48E2">
            <w:pPr>
              <w:widowControl/>
              <w:spacing w:after="0" w:afterLines="0" w:line="240" w:lineRule="auto"/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1.25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°×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1.875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eastAsia="en-US"/>
              </w:rPr>
              <w:t>°</w:t>
            </w:r>
          </w:p>
        </w:tc>
      </w:tr>
      <w:bookmarkEnd w:id="11"/>
    </w:tbl>
    <w:p w14:paraId="1866D116">
      <w:pPr>
        <w:rPr>
          <w:rFonts w:ascii="Times New Roman" w:hAnsi="Times New Roman" w:cs="Times New Roman"/>
          <w:b/>
          <w:bCs/>
          <w:sz w:val="30"/>
          <w:szCs w:val="30"/>
        </w:rPr>
      </w:pPr>
      <w:r>
        <w:drawing>
          <wp:inline distT="0" distB="0" distL="114300" distR="114300">
            <wp:extent cx="5268595" cy="5032375"/>
            <wp:effectExtent l="0" t="0" r="444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03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FF0AA">
      <w:pPr>
        <w:rPr>
          <w:rFonts w:ascii="Times New Roman" w:hAnsi="Times New Roman" w:eastAsia="宋体" w:cs="Times New Roman"/>
          <w:sz w:val="24"/>
          <w:szCs w:val="24"/>
        </w:rPr>
      </w:pPr>
      <w:bookmarkStart w:id="15" w:name="OLE_LINK3"/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 xml:space="preserve">Fig. S1. </w:t>
      </w:r>
      <w:bookmarkStart w:id="16" w:name="OLE_LINK112"/>
      <w:r>
        <w:rPr>
          <w:rFonts w:hint="eastAsia" w:ascii="Times New Roman" w:hAnsi="Times New Roman" w:eastAsia="宋体" w:cs="Times New Roman"/>
          <w:sz w:val="24"/>
          <w:szCs w:val="24"/>
        </w:rPr>
        <w:t>Spatial distributions of projected changes for East China summer precipitation during 2070-2099 relative to 1985-2014 (unit: %).</w:t>
      </w:r>
      <w:bookmarkEnd w:id="16"/>
    </w:p>
    <w:bookmarkEnd w:id="15"/>
    <w:p w14:paraId="50708206">
      <w:pPr>
        <w:rPr>
          <w:rFonts w:ascii="Times New Roman" w:hAnsi="Times New Roman" w:eastAsia="宋体" w:cs="Times New Roman"/>
          <w:sz w:val="24"/>
          <w:szCs w:val="24"/>
        </w:rPr>
      </w:pPr>
    </w:p>
    <w:p w14:paraId="0738F8F9">
      <w:pPr>
        <w:rPr>
          <w:rFonts w:ascii="Times New Roman" w:hAnsi="Times New Roman" w:eastAsia="宋体" w:cs="Times New Roman"/>
          <w:sz w:val="24"/>
          <w:szCs w:val="24"/>
        </w:rPr>
      </w:pPr>
    </w:p>
    <w:p w14:paraId="2FB4254D">
      <w:r>
        <w:drawing>
          <wp:inline distT="0" distB="0" distL="114300" distR="114300">
            <wp:extent cx="4500245" cy="3892550"/>
            <wp:effectExtent l="0" t="0" r="1079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00245" cy="389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7C155">
      <w:pPr>
        <w:rPr>
          <w:rFonts w:ascii="Times New Roman" w:hAnsi="Times New Roman" w:eastAsia="宋体" w:cs="Times New Roman"/>
          <w:sz w:val="24"/>
          <w:szCs w:val="24"/>
        </w:rPr>
      </w:pPr>
      <w:bookmarkStart w:id="17" w:name="OLE_LINK2"/>
      <w:bookmarkStart w:id="18" w:name="OLE_LINK1"/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 xml:space="preserve">Fig. S2. 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As in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>Fig. 2.</w:t>
      </w:r>
      <w:r>
        <w:rPr>
          <w:rFonts w:hint="eastAsia" w:ascii="Times New Roman" w:hAnsi="Times New Roman" w:eastAsia="宋体" w:cs="Times New Roman"/>
          <w:sz w:val="24"/>
          <w:szCs w:val="24"/>
        </w:rPr>
        <w:t>, but for vertical velocity at 500 hPa.</w:t>
      </w:r>
      <w:bookmarkEnd w:id="17"/>
    </w:p>
    <w:bookmarkEnd w:id="18"/>
    <w:p w14:paraId="1D90A2DD">
      <w:pPr>
        <w:jc w:val="center"/>
        <w:rPr>
          <w:rFonts w:ascii="Times New Roman" w:hAnsi="Times New Roman" w:eastAsia="宋体" w:cs="Times New Roman"/>
          <w:sz w:val="24"/>
          <w:szCs w:val="24"/>
        </w:rPr>
      </w:pPr>
    </w:p>
    <w:p w14:paraId="50C4A89D">
      <w:r>
        <w:drawing>
          <wp:inline distT="0" distB="0" distL="114300" distR="114300">
            <wp:extent cx="4500245" cy="3840480"/>
            <wp:effectExtent l="0" t="0" r="1079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00245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56EF2">
      <w:pPr>
        <w:rPr>
          <w:rFonts w:ascii="Times New Roman" w:hAnsi="Times New Roman" w:eastAsia="宋体" w:cs="Times New Roman"/>
          <w:sz w:val="24"/>
          <w:szCs w:val="24"/>
        </w:rPr>
      </w:pPr>
      <w:bookmarkStart w:id="19" w:name="OLE_LINK8"/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 xml:space="preserve">Fig. S3. 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As in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>Fig. 2.</w:t>
      </w:r>
      <w:r>
        <w:rPr>
          <w:rFonts w:hint="eastAsia" w:ascii="Times New Roman" w:hAnsi="Times New Roman" w:eastAsia="宋体" w:cs="Times New Roman"/>
          <w:sz w:val="24"/>
          <w:szCs w:val="24"/>
        </w:rPr>
        <w:t>, but for zonal wind at 850 hPa.</w:t>
      </w:r>
    </w:p>
    <w:bookmarkEnd w:id="19"/>
    <w:p w14:paraId="50FE0092">
      <w:pPr>
        <w:rPr>
          <w:rFonts w:ascii="Times New Roman" w:hAnsi="Times New Roman" w:eastAsia="宋体" w:cs="Times New Roman"/>
          <w:sz w:val="24"/>
          <w:szCs w:val="24"/>
        </w:rPr>
      </w:pPr>
    </w:p>
    <w:p w14:paraId="3B68C5E5">
      <w:pPr>
        <w:rPr>
          <w:rFonts w:ascii="Times New Roman" w:hAnsi="Times New Roman" w:eastAsia="宋体" w:cs="Times New Roman"/>
          <w:sz w:val="24"/>
          <w:szCs w:val="24"/>
        </w:rPr>
      </w:pPr>
    </w:p>
    <w:p w14:paraId="3D7CA866">
      <w:pPr>
        <w:spacing w:after="156" w:afterLines="50" w:line="360" w:lineRule="auto"/>
        <w:rPr>
          <w:rFonts w:ascii="Times New Roman" w:hAnsi="Times New Roman" w:eastAsia="宋体" w:cs="Times New Roman"/>
          <w:sz w:val="24"/>
          <w:szCs w:val="20"/>
        </w:rPr>
      </w:pPr>
      <w:r>
        <w:rPr>
          <w:rFonts w:ascii="Times New Roman" w:hAnsi="Times New Roman" w:eastAsia="宋体" w:cs="Times New Roman"/>
          <w:sz w:val="24"/>
          <w:szCs w:val="20"/>
        </w:rPr>
        <w:drawing>
          <wp:inline distT="0" distB="0" distL="114300" distR="114300">
            <wp:extent cx="3780155" cy="2750820"/>
            <wp:effectExtent l="0" t="0" r="14605" b="7620"/>
            <wp:docPr id="4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80155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53275">
      <w:pPr>
        <w:spacing w:after="156" w:afterLines="50" w:line="240" w:lineRule="auto"/>
        <w:rPr>
          <w:rFonts w:ascii="Times New Roman" w:hAnsi="Times New Roman" w:eastAsia="宋体" w:cs="Times New Roman"/>
          <w:sz w:val="24"/>
          <w:szCs w:val="20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0"/>
        </w:rPr>
        <w:t>Fig. S4</w:t>
      </w:r>
      <w:r>
        <w:rPr>
          <w:rFonts w:hint="eastAsia" w:ascii="Times New Roman" w:hAnsi="Times New Roman" w:eastAsia="宋体" w:cs="Times New Roman"/>
          <w:sz w:val="24"/>
          <w:szCs w:val="20"/>
        </w:rPr>
        <w:t xml:space="preserve"> Constrained leading modes of the inter-model spread. Panels a and b are the two constrained leading EOF modes of the inter-model ECSP changes, based on the optimal first and second Principal Components (PC1 and PC2).</w:t>
      </w:r>
    </w:p>
    <w:p w14:paraId="497DB7CD">
      <w:pPr>
        <w:pStyle w:val="2"/>
        <w:widowControl/>
        <w:spacing w:beforeAutospacing="1"/>
      </w:pPr>
      <w:r>
        <w:drawing>
          <wp:inline distT="0" distB="0" distL="114300" distR="114300">
            <wp:extent cx="5038725" cy="2200275"/>
            <wp:effectExtent l="0" t="0" r="5715" b="9525"/>
            <wp:docPr id="7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70112B4">
      <w:pPr>
        <w:pStyle w:val="2"/>
        <w:widowControl/>
        <w:spacing w:beforeAutospacing="1" w:line="240" w:lineRule="auto"/>
      </w:pPr>
      <w:bookmarkStart w:id="20" w:name="OLE_LINK5"/>
      <w:r>
        <w:rPr>
          <w:b/>
          <w:bCs/>
        </w:rPr>
        <w:t>Fig.</w:t>
      </w:r>
      <w:r>
        <w:rPr>
          <w:rFonts w:hint="eastAsia"/>
          <w:b/>
          <w:bCs/>
        </w:rPr>
        <w:t xml:space="preserve"> S5</w:t>
      </w:r>
      <w:r>
        <w:rPr>
          <w:rFonts w:hint="eastAsia"/>
        </w:rPr>
        <w:t xml:space="preserve"> </w:t>
      </w:r>
      <w:r>
        <w:t>Inter-model regressions of</w:t>
      </w:r>
      <w:r>
        <w:rPr>
          <w:rFonts w:hint="eastAsia"/>
        </w:rPr>
        <w:t xml:space="preserve"> </w:t>
      </w:r>
      <w:r>
        <w:t>future changes onto the first principal component (</w:t>
      </w:r>
      <w:r>
        <w:rPr>
          <w:i/>
          <w:iCs/>
        </w:rPr>
        <w:t>PC1</w:t>
      </w:r>
      <w:r>
        <w:t>). Changes in summer-mean (a) surface temperature, (b) precipitation (shadings) and 850 hPa winds (vectors). Dotted shadings are statistically significant at the 5% level under Student t-test.</w:t>
      </w:r>
    </w:p>
    <w:bookmarkEnd w:id="20"/>
    <w:p w14:paraId="7F377E6B"/>
    <w:p w14:paraId="0EF9D8F8">
      <w:pPr>
        <w:pStyle w:val="2"/>
        <w:rPr>
          <w:sz w:val="21"/>
          <w:szCs w:val="21"/>
        </w:rPr>
      </w:pPr>
      <w:r>
        <w:drawing>
          <wp:inline distT="0" distB="0" distL="114300" distR="114300">
            <wp:extent cx="5400040" cy="2580005"/>
            <wp:effectExtent l="0" t="0" r="10160" b="10795"/>
            <wp:docPr id="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8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54C95">
      <w:pPr>
        <w:pStyle w:val="2"/>
        <w:spacing w:line="240" w:lineRule="auto"/>
      </w:pPr>
      <w:bookmarkStart w:id="21" w:name="OLE_LINK6"/>
      <w:r>
        <w:rPr>
          <w:rFonts w:hint="eastAsia"/>
          <w:b/>
          <w:bCs/>
        </w:rPr>
        <w:t>Fig. S6</w:t>
      </w:r>
      <w:r>
        <w:rPr>
          <w:rFonts w:hint="eastAsia"/>
        </w:rPr>
        <w:t xml:space="preserve"> Inter-model regressions of (a) SW-SST feedback in the historical experiment and future changes in summer-mean (b) sea surface temperature, (c) precipitation (shadings) and 850 hPa winds (vectors), (d) 500hPa vertical velocity (shadings) and geopotential height (contours) onto the second principal component (</w:t>
      </w:r>
      <w:r>
        <w:rPr>
          <w:rFonts w:hint="eastAsia"/>
          <w:i/>
          <w:iCs/>
        </w:rPr>
        <w:t>PC2</w:t>
      </w:r>
      <w:r>
        <w:rPr>
          <w:rFonts w:hint="eastAsia"/>
        </w:rPr>
        <w:t>). Dotted shadings are statistically significant at the 10% level under Student t-test.</w:t>
      </w:r>
    </w:p>
    <w:bookmarkEnd w:id="21"/>
    <w:p w14:paraId="4057A33B">
      <w:pPr>
        <w:pStyle w:val="5"/>
        <w:widowControl/>
        <w:spacing w:beforeAutospacing="1" w:after="156" w:afterLines="50" w:line="360" w:lineRule="auto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  <w:lang w:bidi="ar"/>
        </w:rPr>
        <w:drawing>
          <wp:inline distT="0" distB="0" distL="114300" distR="114300">
            <wp:extent cx="3962400" cy="3714750"/>
            <wp:effectExtent l="0" t="0" r="0" b="3810"/>
            <wp:docPr id="8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D1DE3A0">
      <w:pPr>
        <w:spacing w:after="156" w:afterLines="50" w:line="240" w:lineRule="auto"/>
        <w:rPr>
          <w:rFonts w:ascii="Times New Roman" w:hAnsi="Times New Roman" w:eastAsia="宋体" w:cs="Times New Roman"/>
          <w:sz w:val="24"/>
          <w:szCs w:val="20"/>
        </w:rPr>
      </w:pPr>
      <w:bookmarkStart w:id="22" w:name="OLE_LINK7"/>
      <w:r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t>Fig.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bidi="ar"/>
        </w:rPr>
        <w:t xml:space="preserve"> S7</w:t>
      </w:r>
      <w:r>
        <w:rPr>
          <w:rFonts w:hint="eastAsia" w:ascii="Times New Roman" w:hAnsi="Times New Roman" w:eastAsia="宋体" w:cs="Times New Roman"/>
          <w:sz w:val="24"/>
          <w:szCs w:val="24"/>
          <w:lang w:bidi="ar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lang w:bidi="ar"/>
        </w:rPr>
        <w:t>A flowchart of the emergent constraint procedure.</w:t>
      </w:r>
      <w:bookmarkEnd w:id="22"/>
    </w:p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024D2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A52ACB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rPr>
                              <w:color w:val="auto"/>
                            </w:rPr>
                            <w:t>1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A52ACB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rPr>
                        <w:color w:val="auto"/>
                      </w:rPr>
                      <w:t>1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trackRevisions w:val="1"/>
  <w:documentProtection w:enforcement="0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yNGMwMjUyM2ZhMzg2ZjhkZjM2MDM2YjQ5NTczZWYifQ=="/>
  </w:docVars>
  <w:rsids>
    <w:rsidRoot w:val="00172A27"/>
    <w:rsid w:val="00015958"/>
    <w:rsid w:val="00172A27"/>
    <w:rsid w:val="002358F6"/>
    <w:rsid w:val="00A4569D"/>
    <w:rsid w:val="00BE017F"/>
    <w:rsid w:val="00FF3D75"/>
    <w:rsid w:val="01EE2F64"/>
    <w:rsid w:val="03A5079A"/>
    <w:rsid w:val="084C5688"/>
    <w:rsid w:val="0A0501E5"/>
    <w:rsid w:val="0EA93835"/>
    <w:rsid w:val="11500DD5"/>
    <w:rsid w:val="147A532B"/>
    <w:rsid w:val="14A81E98"/>
    <w:rsid w:val="15CE3B81"/>
    <w:rsid w:val="18717FA7"/>
    <w:rsid w:val="1D13456F"/>
    <w:rsid w:val="26386210"/>
    <w:rsid w:val="329B2BE5"/>
    <w:rsid w:val="335A65FC"/>
    <w:rsid w:val="3D9E036F"/>
    <w:rsid w:val="47503B46"/>
    <w:rsid w:val="495F4514"/>
    <w:rsid w:val="4B3B38AB"/>
    <w:rsid w:val="4E1458CD"/>
    <w:rsid w:val="57D75702"/>
    <w:rsid w:val="59AC10B0"/>
    <w:rsid w:val="5C642116"/>
    <w:rsid w:val="64245204"/>
    <w:rsid w:val="67130B29"/>
    <w:rsid w:val="67252CD4"/>
    <w:rsid w:val="6D934609"/>
    <w:rsid w:val="7295497F"/>
    <w:rsid w:val="78EA354B"/>
    <w:rsid w:val="7DB8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0"/>
    <w:pPr>
      <w:spacing w:after="156" w:afterLines="50" w:line="360" w:lineRule="auto"/>
    </w:pPr>
    <w:rPr>
      <w:rFonts w:ascii="Times New Roman" w:hAnsi="Times New Roman" w:eastAsia="宋体" w:cs="Times New Roman"/>
      <w:sz w:val="24"/>
      <w:szCs w:val="24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rPr>
      <w:sz w:val="24"/>
    </w:rPr>
  </w:style>
  <w:style w:type="paragraph" w:styleId="6">
    <w:name w:val="Title"/>
    <w:basedOn w:val="1"/>
    <w:next w:val="1"/>
    <w:autoRedefine/>
    <w:qFormat/>
    <w:uiPriority w:val="0"/>
    <w:pPr>
      <w:contextualSpacing/>
    </w:pPr>
    <w:rPr>
      <w:rFonts w:asciiTheme="majorHAnsi" w:hAnsiTheme="majorHAnsi" w:eastAsiaTheme="majorEastAsia" w:cstheme="majorBidi"/>
      <w:spacing w:val="-10"/>
      <w:kern w:val="28"/>
    </w:rPr>
  </w:style>
  <w:style w:type="paragraph" w:customStyle="1" w:styleId="9">
    <w:name w:val="公式居中"/>
    <w:basedOn w:val="1"/>
    <w:autoRedefine/>
    <w:qFormat/>
    <w:uiPriority w:val="0"/>
    <w:pPr>
      <w:tabs>
        <w:tab w:val="center" w:pos="4200"/>
        <w:tab w:val="right" w:pos="8295"/>
      </w:tabs>
      <w:spacing w:line="360" w:lineRule="auto"/>
      <w:jc w:val="center"/>
    </w:pPr>
    <w:rPr>
      <w:rFonts w:ascii="Times New Roman" w:hAnsi="Times New Roman" w:eastAsia="宋体" w:cs="Times New Roman"/>
      <w:bCs/>
      <w:sz w:val="24"/>
    </w:rPr>
  </w:style>
  <w:style w:type="paragraph" w:customStyle="1" w:styleId="1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584</Words>
  <Characters>3881</Characters>
  <Lines>27</Lines>
  <Paragraphs>7</Paragraphs>
  <TotalTime>5</TotalTime>
  <ScaleCrop>false</ScaleCrop>
  <LinksUpToDate>false</LinksUpToDate>
  <CharactersWithSpaces>4323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2024-05-11T01:53:00Z</dcterms:created>
  <dc:creator>hh</dc:creator>
  <cp:lastModifiedBy>hh</cp:lastModifiedBy>
  <dcterms:modified xsi:type="dcterms:W3CDTF">2024-07-16T00:50:57Z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E0F73ABD7FAD46CAA8B03585599AE1BE_13</vt:lpwstr>
  </property>
</Properties>
</file>