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366AAF" w14:textId="77777777" w:rsidR="000F0F6A" w:rsidRPr="000F2FA2" w:rsidRDefault="000F0F6A" w:rsidP="000F0F6A">
      <w:pPr>
        <w:adjustRightInd w:val="0"/>
        <w:snapToGrid w:val="0"/>
        <w:spacing w:before="120" w:after="120" w:line="312" w:lineRule="auto"/>
        <w:jc w:val="both"/>
        <w:rPr>
          <w:rFonts w:ascii="Times New Roman" w:hAnsi="Times New Roman" w:cs="Times New Roman"/>
        </w:rPr>
      </w:pPr>
      <w:r>
        <w:rPr>
          <w:rFonts w:ascii="Times New Roman" w:hAnsi="Times New Roman" w:cs="Times New Roman"/>
          <w:noProof/>
        </w:rPr>
        <w:drawing>
          <wp:inline distT="0" distB="0" distL="0" distR="0" wp14:anchorId="63C2A3BD" wp14:editId="04A37F22">
            <wp:extent cx="5731510" cy="5053330"/>
            <wp:effectExtent l="0" t="0" r="0" b="1270"/>
            <wp:docPr id="1838532952" name="Picture 1"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532952" name="Picture 1" descr="A graph of different colored lines&#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5053330"/>
                    </a:xfrm>
                    <a:prstGeom prst="rect">
                      <a:avLst/>
                    </a:prstGeom>
                  </pic:spPr>
                </pic:pic>
              </a:graphicData>
            </a:graphic>
          </wp:inline>
        </w:drawing>
      </w:r>
    </w:p>
    <w:p w14:paraId="32A78BF9" w14:textId="77777777" w:rsidR="000F0F6A" w:rsidRPr="000F2FA2" w:rsidRDefault="000F0F6A" w:rsidP="000F0F6A">
      <w:pPr>
        <w:adjustRightInd w:val="0"/>
        <w:snapToGrid w:val="0"/>
        <w:spacing w:before="120" w:after="120" w:line="312" w:lineRule="auto"/>
        <w:jc w:val="both"/>
        <w:rPr>
          <w:rFonts w:ascii="Times New Roman" w:hAnsi="Times New Roman" w:cs="Times New Roman"/>
        </w:rPr>
      </w:pPr>
      <w:r w:rsidRPr="000F2FA2">
        <w:rPr>
          <w:rFonts w:ascii="Times New Roman" w:hAnsi="Times New Roman" w:cs="Times New Roman"/>
          <w:b/>
          <w:bCs/>
        </w:rPr>
        <w:t xml:space="preserve">Figure S1: Alpha and beta diversity analyses of the BXD gut microbiome. </w:t>
      </w:r>
      <w:r w:rsidRPr="000F2FA2">
        <w:rPr>
          <w:rFonts w:ascii="Times New Roman" w:hAnsi="Times New Roman" w:cs="Times New Roman"/>
        </w:rPr>
        <w:t>(</w:t>
      </w:r>
      <w:r w:rsidRPr="000F2FA2">
        <w:rPr>
          <w:rFonts w:ascii="Times New Roman" w:hAnsi="Times New Roman" w:cs="Times New Roman"/>
          <w:b/>
          <w:bCs/>
        </w:rPr>
        <w:t>A</w:t>
      </w:r>
      <w:r w:rsidRPr="000F2FA2">
        <w:rPr>
          <w:rFonts w:ascii="Times New Roman" w:hAnsi="Times New Roman" w:cs="Times New Roman"/>
        </w:rPr>
        <w:t xml:space="preserve">) Cecal bacterial community diversity in terms of </w:t>
      </w:r>
      <w:bookmarkStart w:id="0" w:name="OLE_LINK9"/>
      <w:bookmarkStart w:id="1" w:name="OLE_LINK10"/>
      <w:r w:rsidRPr="000F2FA2">
        <w:rPr>
          <w:rFonts w:ascii="Times New Roman" w:hAnsi="Times New Roman" w:cs="Times New Roman"/>
        </w:rPr>
        <w:t>Shannon index</w:t>
      </w:r>
      <w:bookmarkEnd w:id="0"/>
      <w:bookmarkEnd w:id="1"/>
      <w:r w:rsidRPr="000F2FA2">
        <w:rPr>
          <w:rFonts w:ascii="Times New Roman" w:hAnsi="Times New Roman" w:cs="Times New Roman"/>
        </w:rPr>
        <w:t xml:space="preserve"> in each BXD strain under CD (colored in blue) and HFD (</w:t>
      </w:r>
      <w:r w:rsidRPr="000F2FA2">
        <w:rPr>
          <w:rFonts w:ascii="Times New Roman" w:hAnsi="Times New Roman" w:cs="Times New Roman"/>
          <w:kern w:val="0"/>
          <w14:ligatures w14:val="none"/>
        </w:rPr>
        <w:t>colored in red</w:t>
      </w:r>
      <w:r w:rsidRPr="000F2FA2">
        <w:rPr>
          <w:rFonts w:ascii="Times New Roman" w:hAnsi="Times New Roman" w:cs="Times New Roman"/>
        </w:rPr>
        <w:t xml:space="preserve">). Most BXD strains (23/32) showed significantly decreased SI upon HFD. </w:t>
      </w:r>
      <w:r>
        <w:rPr>
          <w:rFonts w:ascii="Times New Roman" w:hAnsi="Times New Roman" w:cs="Times New Roman" w:hint="eastAsia"/>
        </w:rPr>
        <w:t>P v</w:t>
      </w:r>
      <w:r w:rsidRPr="00AC66F7">
        <w:rPr>
          <w:rFonts w:ascii="Times New Roman" w:hAnsi="Times New Roman" w:cs="Times New Roman"/>
        </w:rPr>
        <w:t>alues were calculated by two-tailed Student’s t-test and indicated as follows: *</w:t>
      </w:r>
      <w:r>
        <w:rPr>
          <w:rFonts w:ascii="Times New Roman" w:hAnsi="Times New Roman" w:cs="Times New Roman" w:hint="eastAsia"/>
        </w:rPr>
        <w:t xml:space="preserve">P value </w:t>
      </w:r>
      <w:r w:rsidRPr="00AC66F7">
        <w:rPr>
          <w:rFonts w:ascii="Times New Roman" w:hAnsi="Times New Roman" w:cs="Times New Roman"/>
        </w:rPr>
        <w:t>&lt;0.05; **</w:t>
      </w:r>
      <w:r>
        <w:rPr>
          <w:rFonts w:ascii="Times New Roman" w:hAnsi="Times New Roman" w:cs="Times New Roman" w:hint="eastAsia"/>
        </w:rPr>
        <w:t xml:space="preserve">P value </w:t>
      </w:r>
      <w:r w:rsidRPr="00AC66F7">
        <w:rPr>
          <w:rFonts w:ascii="Times New Roman" w:hAnsi="Times New Roman" w:cs="Times New Roman"/>
        </w:rPr>
        <w:t>&lt;</w:t>
      </w:r>
      <w:r>
        <w:rPr>
          <w:rFonts w:ascii="Times New Roman" w:hAnsi="Times New Roman" w:cs="Times New Roman" w:hint="eastAsia"/>
        </w:rPr>
        <w:t xml:space="preserve"> </w:t>
      </w:r>
      <w:r w:rsidRPr="00AC66F7">
        <w:rPr>
          <w:rFonts w:ascii="Times New Roman" w:hAnsi="Times New Roman" w:cs="Times New Roman"/>
        </w:rPr>
        <w:t>0.01; ***</w:t>
      </w:r>
      <w:r>
        <w:rPr>
          <w:rFonts w:ascii="Times New Roman" w:hAnsi="Times New Roman" w:cs="Times New Roman" w:hint="eastAsia"/>
        </w:rPr>
        <w:t xml:space="preserve">P value </w:t>
      </w:r>
      <w:r w:rsidRPr="00AC66F7">
        <w:rPr>
          <w:rFonts w:ascii="Times New Roman" w:hAnsi="Times New Roman" w:cs="Times New Roman"/>
        </w:rPr>
        <w:t>&lt;</w:t>
      </w:r>
      <w:r>
        <w:rPr>
          <w:rFonts w:ascii="Times New Roman" w:hAnsi="Times New Roman" w:cs="Times New Roman" w:hint="eastAsia"/>
        </w:rPr>
        <w:t xml:space="preserve"> </w:t>
      </w:r>
      <w:r w:rsidRPr="00AC66F7">
        <w:rPr>
          <w:rFonts w:ascii="Times New Roman" w:hAnsi="Times New Roman" w:cs="Times New Roman"/>
        </w:rPr>
        <w:t>0.001; ****</w:t>
      </w:r>
      <w:r>
        <w:rPr>
          <w:rFonts w:ascii="Times New Roman" w:hAnsi="Times New Roman" w:cs="Times New Roman" w:hint="eastAsia"/>
        </w:rPr>
        <w:t xml:space="preserve">P value </w:t>
      </w:r>
      <w:r w:rsidRPr="00AC66F7">
        <w:rPr>
          <w:rFonts w:ascii="Times New Roman" w:hAnsi="Times New Roman" w:cs="Times New Roman"/>
        </w:rPr>
        <w:t>&lt;</w:t>
      </w:r>
      <w:r>
        <w:rPr>
          <w:rFonts w:ascii="Times New Roman" w:hAnsi="Times New Roman" w:cs="Times New Roman" w:hint="eastAsia"/>
        </w:rPr>
        <w:t xml:space="preserve"> </w:t>
      </w:r>
      <w:r w:rsidRPr="00AC66F7">
        <w:rPr>
          <w:rFonts w:ascii="Times New Roman" w:hAnsi="Times New Roman" w:cs="Times New Roman"/>
        </w:rPr>
        <w:t xml:space="preserve">0.0001 </w:t>
      </w:r>
      <w:r w:rsidRPr="000F2FA2">
        <w:rPr>
          <w:rFonts w:ascii="Times New Roman" w:hAnsi="Times New Roman" w:cs="Times New Roman"/>
        </w:rPr>
        <w:t>(</w:t>
      </w:r>
      <w:r w:rsidRPr="000F2FA2">
        <w:rPr>
          <w:rFonts w:ascii="Times New Roman" w:hAnsi="Times New Roman" w:cs="Times New Roman"/>
          <w:b/>
          <w:bCs/>
        </w:rPr>
        <w:t>B</w:t>
      </w:r>
      <w:r w:rsidRPr="000F2FA2">
        <w:rPr>
          <w:rFonts w:ascii="Times New Roman" w:hAnsi="Times New Roman" w:cs="Times New Roman"/>
        </w:rPr>
        <w:t>) Box plots showing Bray–Curtis distances of cecal microbial communities within each BXD strain (individual differences) and between strains (genetic differences) under CD (colored in blue) and HFD (</w:t>
      </w:r>
      <w:bookmarkStart w:id="2" w:name="OLE_LINK7"/>
      <w:bookmarkStart w:id="3" w:name="OLE_LINK8"/>
      <w:r w:rsidRPr="000F2FA2">
        <w:rPr>
          <w:rFonts w:ascii="Times New Roman" w:hAnsi="Times New Roman" w:cs="Times New Roman"/>
        </w:rPr>
        <w:t>colored in red</w:t>
      </w:r>
      <w:bookmarkEnd w:id="2"/>
      <w:bookmarkEnd w:id="3"/>
      <w:r w:rsidRPr="000F2FA2">
        <w:rPr>
          <w:rFonts w:ascii="Times New Roman" w:hAnsi="Times New Roman" w:cs="Times New Roman"/>
        </w:rPr>
        <w:t>).</w:t>
      </w:r>
    </w:p>
    <w:p w14:paraId="60B1A579" w14:textId="77777777" w:rsidR="000F0F6A" w:rsidRPr="000F2FA2" w:rsidRDefault="000F0F6A" w:rsidP="000F0F6A">
      <w:pPr>
        <w:adjustRightInd w:val="0"/>
        <w:snapToGrid w:val="0"/>
        <w:spacing w:before="120" w:after="120" w:line="312" w:lineRule="auto"/>
        <w:jc w:val="both"/>
        <w:rPr>
          <w:rFonts w:ascii="Times New Roman" w:hAnsi="Times New Roman" w:cs="Times New Roman"/>
        </w:rPr>
      </w:pPr>
      <w:r w:rsidRPr="000F2FA2">
        <w:rPr>
          <w:rFonts w:ascii="Times New Roman" w:hAnsi="Times New Roman" w:cs="Times New Roman"/>
        </w:rPr>
        <w:br w:type="page"/>
      </w:r>
    </w:p>
    <w:p w14:paraId="1A2600E1" w14:textId="77777777" w:rsidR="000F0F6A" w:rsidRPr="000F2FA2" w:rsidRDefault="000F0F6A" w:rsidP="000F0F6A">
      <w:pPr>
        <w:adjustRightInd w:val="0"/>
        <w:snapToGrid w:val="0"/>
        <w:spacing w:before="120" w:after="120" w:line="312" w:lineRule="auto"/>
        <w:jc w:val="both"/>
        <w:rPr>
          <w:rFonts w:ascii="Times New Roman" w:hAnsi="Times New Roman" w:cs="Times New Roman"/>
        </w:rPr>
      </w:pPr>
      <w:r w:rsidRPr="000F2FA2">
        <w:rPr>
          <w:rFonts w:ascii="Times New Roman" w:hAnsi="Times New Roman" w:cs="Times New Roman"/>
          <w:noProof/>
        </w:rPr>
        <w:lastRenderedPageBreak/>
        <w:drawing>
          <wp:inline distT="0" distB="0" distL="0" distR="0" wp14:anchorId="3BDC739C" wp14:editId="5282F2A5">
            <wp:extent cx="5731510" cy="2426970"/>
            <wp:effectExtent l="0" t="0" r="0" b="0"/>
            <wp:docPr id="270867285" name="Picture 5"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867285" name="Picture 5" descr="A close-up of a 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2426970"/>
                    </a:xfrm>
                    <a:prstGeom prst="rect">
                      <a:avLst/>
                    </a:prstGeom>
                  </pic:spPr>
                </pic:pic>
              </a:graphicData>
            </a:graphic>
          </wp:inline>
        </w:drawing>
      </w:r>
    </w:p>
    <w:p w14:paraId="3EFC7D1F" w14:textId="77777777" w:rsidR="000F0F6A" w:rsidRPr="000F2FA2" w:rsidRDefault="000F0F6A" w:rsidP="000F0F6A">
      <w:pPr>
        <w:adjustRightInd w:val="0"/>
        <w:snapToGrid w:val="0"/>
        <w:spacing w:before="120" w:after="120" w:line="312" w:lineRule="auto"/>
        <w:jc w:val="both"/>
        <w:rPr>
          <w:rFonts w:ascii="Times New Roman" w:hAnsi="Times New Roman" w:cs="Times New Roman"/>
          <w:b/>
          <w:bCs/>
        </w:rPr>
      </w:pPr>
      <w:r w:rsidRPr="000F2FA2">
        <w:rPr>
          <w:rFonts w:ascii="Times New Roman" w:hAnsi="Times New Roman" w:cs="Times New Roman"/>
          <w:b/>
          <w:bCs/>
        </w:rPr>
        <w:t xml:space="preserve">Figure S2: HFD effect on the host gene expression in BXD colons. </w:t>
      </w:r>
      <w:r w:rsidRPr="000F2FA2">
        <w:rPr>
          <w:rFonts w:ascii="Times New Roman" w:hAnsi="Times New Roman" w:cs="Times New Roman"/>
        </w:rPr>
        <w:t>(</w:t>
      </w:r>
      <w:r w:rsidRPr="000F2FA2">
        <w:rPr>
          <w:rFonts w:ascii="Times New Roman" w:hAnsi="Times New Roman" w:cs="Times New Roman"/>
          <w:b/>
          <w:bCs/>
        </w:rPr>
        <w:t>A</w:t>
      </w:r>
      <w:r w:rsidRPr="000F2FA2">
        <w:rPr>
          <w:rFonts w:ascii="Times New Roman" w:hAnsi="Times New Roman" w:cs="Times New Roman"/>
        </w:rPr>
        <w:t>) Principal</w:t>
      </w:r>
      <w:r>
        <w:rPr>
          <w:rFonts w:ascii="Times New Roman" w:hAnsi="Times New Roman" w:cs="Times New Roman" w:hint="eastAsia"/>
        </w:rPr>
        <w:t xml:space="preserve"> </w:t>
      </w:r>
      <w:r w:rsidRPr="000F2FA2">
        <w:rPr>
          <w:rFonts w:ascii="Times New Roman" w:hAnsi="Times New Roman" w:cs="Times New Roman"/>
        </w:rPr>
        <w:t>component analysis (PCA) of the microarray profiles of BXD colons under HFD</w:t>
      </w:r>
      <w:r>
        <w:rPr>
          <w:rFonts w:ascii="Times New Roman" w:hAnsi="Times New Roman" w:cs="Times New Roman" w:hint="eastAsia"/>
        </w:rPr>
        <w:t xml:space="preserve"> (</w:t>
      </w:r>
      <w:r w:rsidRPr="000F2FA2">
        <w:rPr>
          <w:rFonts w:ascii="Times New Roman" w:hAnsi="Times New Roman" w:cs="Times New Roman"/>
        </w:rPr>
        <w:t xml:space="preserve">indicated in red) or </w:t>
      </w:r>
      <w:r>
        <w:rPr>
          <w:rFonts w:ascii="Times New Roman" w:hAnsi="Times New Roman" w:cs="Times New Roman" w:hint="eastAsia"/>
        </w:rPr>
        <w:t>CD (</w:t>
      </w:r>
      <w:bookmarkStart w:id="4" w:name="OLE_LINK716"/>
      <w:bookmarkStart w:id="5" w:name="OLE_LINK717"/>
      <w:r w:rsidRPr="000F2FA2">
        <w:rPr>
          <w:rFonts w:ascii="Times New Roman" w:hAnsi="Times New Roman" w:cs="Times New Roman"/>
        </w:rPr>
        <w:t>represented in blue</w:t>
      </w:r>
      <w:bookmarkEnd w:id="4"/>
      <w:bookmarkEnd w:id="5"/>
      <w:r w:rsidRPr="000F2FA2">
        <w:rPr>
          <w:rFonts w:ascii="Times New Roman" w:hAnsi="Times New Roman" w:cs="Times New Roman"/>
        </w:rPr>
        <w:t>). (</w:t>
      </w:r>
      <w:r w:rsidRPr="000F2FA2">
        <w:rPr>
          <w:rFonts w:ascii="Times New Roman" w:hAnsi="Times New Roman" w:cs="Times New Roman"/>
          <w:b/>
          <w:bCs/>
        </w:rPr>
        <w:t>B</w:t>
      </w:r>
      <w:r w:rsidRPr="000F2FA2">
        <w:rPr>
          <w:rFonts w:ascii="Times New Roman" w:hAnsi="Times New Roman" w:cs="Times New Roman"/>
        </w:rPr>
        <w:t>) Volcano plot showing the HFD effect on BXD colon transcriptomes and the up-</w:t>
      </w:r>
      <w:r>
        <w:rPr>
          <w:rFonts w:ascii="Times New Roman" w:hAnsi="Times New Roman" w:cs="Times New Roman" w:hint="eastAsia"/>
        </w:rPr>
        <w:t xml:space="preserve"> (</w:t>
      </w:r>
      <w:r w:rsidRPr="000F2FA2">
        <w:rPr>
          <w:rFonts w:ascii="Times New Roman" w:hAnsi="Times New Roman" w:cs="Times New Roman"/>
        </w:rPr>
        <w:t>indicated in red</w:t>
      </w:r>
      <w:r>
        <w:rPr>
          <w:rFonts w:ascii="Times New Roman" w:hAnsi="Times New Roman" w:cs="Times New Roman" w:hint="eastAsia"/>
        </w:rPr>
        <w:t xml:space="preserve">) </w:t>
      </w:r>
      <w:r w:rsidRPr="000F2FA2">
        <w:rPr>
          <w:rFonts w:ascii="Times New Roman" w:hAnsi="Times New Roman" w:cs="Times New Roman"/>
        </w:rPr>
        <w:t>and down-regulated</w:t>
      </w:r>
      <w:r>
        <w:rPr>
          <w:rFonts w:ascii="Times New Roman" w:hAnsi="Times New Roman" w:cs="Times New Roman" w:hint="eastAsia"/>
        </w:rPr>
        <w:t xml:space="preserve"> (</w:t>
      </w:r>
      <w:r>
        <w:rPr>
          <w:rFonts w:ascii="Times New Roman" w:hAnsi="Times New Roman" w:cs="Times New Roman"/>
          <w:kern w:val="0"/>
          <w14:ligatures w14:val="none"/>
        </w:rPr>
        <w:t>represented in blue</w:t>
      </w:r>
      <w:r>
        <w:rPr>
          <w:rFonts w:ascii="Times New Roman" w:hAnsi="Times New Roman" w:cs="Times New Roman" w:hint="eastAsia"/>
        </w:rPr>
        <w:t>)</w:t>
      </w:r>
      <w:r w:rsidRPr="000F2FA2">
        <w:rPr>
          <w:rFonts w:ascii="Times New Roman" w:hAnsi="Times New Roman" w:cs="Times New Roman"/>
        </w:rPr>
        <w:t xml:space="preserve"> differentially expressed genes (DEGs, absolute Log2(Fold change) &gt; 1 and BH-adjusted P value &lt; 0.05).</w:t>
      </w:r>
    </w:p>
    <w:p w14:paraId="7758EFBE" w14:textId="77777777" w:rsidR="000F0F6A" w:rsidRPr="000F2FA2" w:rsidRDefault="000F0F6A" w:rsidP="000F0F6A">
      <w:pPr>
        <w:adjustRightInd w:val="0"/>
        <w:snapToGrid w:val="0"/>
        <w:spacing w:before="120" w:after="120" w:line="312" w:lineRule="auto"/>
        <w:rPr>
          <w:rFonts w:ascii="Times New Roman" w:hAnsi="Times New Roman" w:cs="Times New Roman"/>
          <w:b/>
          <w:bCs/>
        </w:rPr>
      </w:pPr>
      <w:r w:rsidRPr="000F2FA2">
        <w:rPr>
          <w:rFonts w:ascii="Times New Roman" w:hAnsi="Times New Roman" w:cs="Times New Roman"/>
          <w:b/>
          <w:bCs/>
        </w:rPr>
        <w:br w:type="page"/>
      </w:r>
    </w:p>
    <w:p w14:paraId="29F231ED" w14:textId="77777777" w:rsidR="000F0F6A" w:rsidRPr="000F2FA2" w:rsidRDefault="000F0F6A" w:rsidP="000F0F6A">
      <w:pPr>
        <w:adjustRightInd w:val="0"/>
        <w:snapToGrid w:val="0"/>
        <w:spacing w:before="120" w:after="120" w:line="312" w:lineRule="auto"/>
        <w:jc w:val="both"/>
        <w:rPr>
          <w:rFonts w:ascii="Times New Roman" w:hAnsi="Times New Roman" w:cs="Times New Roman"/>
          <w:b/>
          <w:bCs/>
        </w:rPr>
      </w:pPr>
      <w:r>
        <w:rPr>
          <w:rFonts w:ascii="Times New Roman" w:hAnsi="Times New Roman" w:cs="Times New Roman"/>
          <w:b/>
          <w:bCs/>
          <w:noProof/>
        </w:rPr>
        <w:lastRenderedPageBreak/>
        <w:drawing>
          <wp:inline distT="0" distB="0" distL="0" distR="0" wp14:anchorId="62B554DC" wp14:editId="618564AB">
            <wp:extent cx="5731510" cy="1605280"/>
            <wp:effectExtent l="0" t="0" r="0" b="0"/>
            <wp:docPr id="1700021197" name="Picture 9" descr="A group of colorful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021197" name="Picture 9" descr="A group of colorful dots&#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1605280"/>
                    </a:xfrm>
                    <a:prstGeom prst="rect">
                      <a:avLst/>
                    </a:prstGeom>
                  </pic:spPr>
                </pic:pic>
              </a:graphicData>
            </a:graphic>
          </wp:inline>
        </w:drawing>
      </w:r>
    </w:p>
    <w:p w14:paraId="4B722C23" w14:textId="77777777" w:rsidR="000F0F6A" w:rsidRPr="000F2FA2" w:rsidRDefault="000F0F6A" w:rsidP="000F0F6A">
      <w:pPr>
        <w:adjustRightInd w:val="0"/>
        <w:snapToGrid w:val="0"/>
        <w:spacing w:before="120" w:after="120" w:line="312" w:lineRule="auto"/>
        <w:jc w:val="both"/>
        <w:rPr>
          <w:rFonts w:ascii="Times New Roman" w:hAnsi="Times New Roman" w:cs="Times New Roman"/>
        </w:rPr>
        <w:sectPr w:rsidR="000F0F6A" w:rsidRPr="000F2FA2" w:rsidSect="000F0F6A">
          <w:pgSz w:w="11906" w:h="16838"/>
          <w:pgMar w:top="1440" w:right="1440" w:bottom="1440" w:left="1440" w:header="708" w:footer="708" w:gutter="0"/>
          <w:cols w:space="708"/>
          <w:docGrid w:linePitch="360"/>
        </w:sectPr>
      </w:pPr>
      <w:r w:rsidRPr="00375308">
        <w:rPr>
          <w:rFonts w:ascii="Times New Roman" w:hAnsi="Times New Roman" w:cs="Times New Roman"/>
          <w:b/>
          <w:bCs/>
        </w:rPr>
        <w:t>Fig</w:t>
      </w:r>
      <w:r w:rsidRPr="000F2FA2">
        <w:rPr>
          <w:rFonts w:ascii="Times New Roman" w:hAnsi="Times New Roman" w:cs="Times New Roman"/>
          <w:b/>
          <w:bCs/>
        </w:rPr>
        <w:t xml:space="preserve">ure S3: QTL mapping analyses of </w:t>
      </w:r>
      <w:r>
        <w:rPr>
          <w:rFonts w:ascii="Times New Roman" w:hAnsi="Times New Roman" w:cs="Times New Roman" w:hint="eastAsia"/>
          <w:b/>
          <w:bCs/>
        </w:rPr>
        <w:t>gut bacteria genera</w:t>
      </w:r>
      <w:r w:rsidRPr="000F2FA2">
        <w:rPr>
          <w:rFonts w:ascii="Times New Roman" w:hAnsi="Times New Roman" w:cs="Times New Roman"/>
          <w:b/>
          <w:bCs/>
        </w:rPr>
        <w:t xml:space="preserve"> in the BXDs. </w:t>
      </w:r>
      <w:r w:rsidRPr="000F2FA2">
        <w:rPr>
          <w:rFonts w:ascii="Times New Roman" w:hAnsi="Times New Roman" w:cs="Times New Roman"/>
        </w:rPr>
        <w:t>(</w:t>
      </w:r>
      <w:r w:rsidRPr="000F2FA2">
        <w:rPr>
          <w:rFonts w:ascii="Times New Roman" w:hAnsi="Times New Roman" w:cs="Times New Roman"/>
          <w:b/>
          <w:bCs/>
        </w:rPr>
        <w:t>A</w:t>
      </w:r>
      <w:r w:rsidRPr="000F2FA2">
        <w:rPr>
          <w:rFonts w:ascii="Times New Roman" w:hAnsi="Times New Roman" w:cs="Times New Roman"/>
        </w:rPr>
        <w:t xml:space="preserve">, </w:t>
      </w:r>
      <w:r w:rsidRPr="000F2FA2">
        <w:rPr>
          <w:rFonts w:ascii="Times New Roman" w:hAnsi="Times New Roman" w:cs="Times New Roman"/>
          <w:b/>
          <w:bCs/>
        </w:rPr>
        <w:t>B</w:t>
      </w:r>
      <w:r w:rsidRPr="000F2FA2">
        <w:rPr>
          <w:rFonts w:ascii="Times New Roman" w:hAnsi="Times New Roman" w:cs="Times New Roman"/>
        </w:rPr>
        <w:t>) Manhattan plots showing the associations between genetic loc</w:t>
      </w:r>
      <w:r>
        <w:rPr>
          <w:rFonts w:ascii="Times New Roman" w:hAnsi="Times New Roman" w:cs="Times New Roman" w:hint="eastAsia"/>
        </w:rPr>
        <w:t>i</w:t>
      </w:r>
      <w:r w:rsidRPr="000F2FA2">
        <w:rPr>
          <w:rFonts w:ascii="Times New Roman" w:hAnsi="Times New Roman" w:cs="Times New Roman"/>
        </w:rPr>
        <w:t xml:space="preserve"> and </w:t>
      </w:r>
      <w:r>
        <w:rPr>
          <w:rFonts w:ascii="Times New Roman" w:hAnsi="Times New Roman" w:cs="Times New Roman" w:hint="eastAsia"/>
        </w:rPr>
        <w:t>bacteria</w:t>
      </w:r>
      <w:r w:rsidRPr="000F2FA2">
        <w:rPr>
          <w:rFonts w:ascii="Times New Roman" w:hAnsi="Times New Roman" w:cs="Times New Roman"/>
        </w:rPr>
        <w:t xml:space="preserve"> under CD (</w:t>
      </w:r>
      <w:r w:rsidRPr="000F2FA2">
        <w:rPr>
          <w:rFonts w:ascii="Times New Roman" w:hAnsi="Times New Roman" w:cs="Times New Roman"/>
          <w:b/>
          <w:bCs/>
        </w:rPr>
        <w:t>A</w:t>
      </w:r>
      <w:r w:rsidRPr="000F2FA2">
        <w:rPr>
          <w:rFonts w:ascii="Times New Roman" w:hAnsi="Times New Roman" w:cs="Times New Roman"/>
        </w:rPr>
        <w:t>) and HFD (</w:t>
      </w:r>
      <w:r w:rsidRPr="000F2FA2">
        <w:rPr>
          <w:rFonts w:ascii="Times New Roman" w:hAnsi="Times New Roman" w:cs="Times New Roman"/>
          <w:b/>
          <w:bCs/>
        </w:rPr>
        <w:t>B</w:t>
      </w:r>
      <w:r w:rsidRPr="000F2FA2">
        <w:rPr>
          <w:rFonts w:ascii="Times New Roman" w:hAnsi="Times New Roman" w:cs="Times New Roman"/>
        </w:rPr>
        <w:t>). The genetic loc</w:t>
      </w:r>
      <w:r>
        <w:rPr>
          <w:rFonts w:ascii="Times New Roman" w:hAnsi="Times New Roman" w:cs="Times New Roman" w:hint="eastAsia"/>
        </w:rPr>
        <w:t>us-bacterium</w:t>
      </w:r>
      <w:r w:rsidRPr="000F2FA2">
        <w:rPr>
          <w:rFonts w:ascii="Times New Roman" w:hAnsi="Times New Roman" w:cs="Times New Roman"/>
        </w:rPr>
        <w:t xml:space="preserve"> associations with LOD &gt; 1.5 are shown. Each chromosome is indicated by color and the significant genetic loc</w:t>
      </w:r>
      <w:r>
        <w:rPr>
          <w:rFonts w:ascii="Times New Roman" w:hAnsi="Times New Roman" w:cs="Times New Roman" w:hint="eastAsia"/>
        </w:rPr>
        <w:t>us</w:t>
      </w:r>
      <w:r w:rsidRPr="000F2FA2">
        <w:rPr>
          <w:rFonts w:ascii="Times New Roman" w:hAnsi="Times New Roman" w:cs="Times New Roman"/>
        </w:rPr>
        <w:t>-</w:t>
      </w:r>
      <w:r>
        <w:rPr>
          <w:rFonts w:ascii="Times New Roman" w:hAnsi="Times New Roman" w:cs="Times New Roman" w:hint="eastAsia"/>
        </w:rPr>
        <w:t>bacterium</w:t>
      </w:r>
      <w:r w:rsidRPr="000F2FA2">
        <w:rPr>
          <w:rFonts w:ascii="Times New Roman" w:hAnsi="Times New Roman" w:cs="Times New Roman"/>
        </w:rPr>
        <w:t xml:space="preserve"> associations are represented by triangle</w:t>
      </w:r>
    </w:p>
    <w:p w14:paraId="761408CA" w14:textId="77777777" w:rsidR="000F0F6A" w:rsidRDefault="000F0F6A" w:rsidP="000F0F6A">
      <w:r>
        <w:rPr>
          <w:rFonts w:hint="eastAsia"/>
          <w:noProof/>
        </w:rPr>
        <w:lastRenderedPageBreak/>
        <w:drawing>
          <wp:inline distT="0" distB="0" distL="0" distR="0" wp14:anchorId="5573F1C6" wp14:editId="104C19B5">
            <wp:extent cx="5731510" cy="1943100"/>
            <wp:effectExtent l="0" t="0" r="0" b="0"/>
            <wp:docPr id="1924900013"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900013" name="Picture 5" descr="A screenshot of a computer scree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1943100"/>
                    </a:xfrm>
                    <a:prstGeom prst="rect">
                      <a:avLst/>
                    </a:prstGeom>
                  </pic:spPr>
                </pic:pic>
              </a:graphicData>
            </a:graphic>
          </wp:inline>
        </w:drawing>
      </w:r>
    </w:p>
    <w:p w14:paraId="79A2118F" w14:textId="77777777" w:rsidR="000F0F6A" w:rsidRPr="000F2FA2" w:rsidRDefault="000F0F6A" w:rsidP="000F0F6A">
      <w:pPr>
        <w:adjustRightInd w:val="0"/>
        <w:snapToGrid w:val="0"/>
        <w:spacing w:before="120" w:after="120" w:line="312" w:lineRule="auto"/>
        <w:jc w:val="both"/>
        <w:rPr>
          <w:rFonts w:ascii="Times New Roman" w:hAnsi="Times New Roman" w:cs="Times New Roman"/>
        </w:rPr>
        <w:sectPr w:rsidR="000F0F6A" w:rsidRPr="000F2FA2" w:rsidSect="000F0F6A">
          <w:pgSz w:w="11906" w:h="16838"/>
          <w:pgMar w:top="1440" w:right="1440" w:bottom="1440" w:left="1440" w:header="708" w:footer="708" w:gutter="0"/>
          <w:cols w:space="708"/>
          <w:docGrid w:linePitch="360"/>
        </w:sectPr>
      </w:pPr>
      <w:r w:rsidRPr="00375308">
        <w:rPr>
          <w:rFonts w:ascii="Times New Roman" w:hAnsi="Times New Roman" w:cs="Times New Roman"/>
          <w:b/>
          <w:bCs/>
        </w:rPr>
        <w:t>Fig</w:t>
      </w:r>
      <w:r w:rsidRPr="000F2FA2">
        <w:rPr>
          <w:rFonts w:ascii="Times New Roman" w:hAnsi="Times New Roman" w:cs="Times New Roman"/>
          <w:b/>
          <w:bCs/>
        </w:rPr>
        <w:t>ure S</w:t>
      </w:r>
      <w:r>
        <w:rPr>
          <w:rFonts w:ascii="Times New Roman" w:hAnsi="Times New Roman" w:cs="Times New Roman" w:hint="eastAsia"/>
          <w:b/>
          <w:bCs/>
        </w:rPr>
        <w:t>4</w:t>
      </w:r>
      <w:r w:rsidRPr="000F2FA2">
        <w:rPr>
          <w:rFonts w:ascii="Times New Roman" w:hAnsi="Times New Roman" w:cs="Times New Roman"/>
          <w:b/>
          <w:bCs/>
        </w:rPr>
        <w:t xml:space="preserve">: </w:t>
      </w:r>
      <w:r>
        <w:rPr>
          <w:rFonts w:ascii="Times New Roman" w:hAnsi="Times New Roman" w:cs="Times New Roman" w:hint="eastAsia"/>
          <w:kern w:val="0"/>
          <w14:ligatures w14:val="none"/>
        </w:rPr>
        <w:t xml:space="preserve">Candidate gene-BA metabolism module associations. </w:t>
      </w:r>
      <w:r w:rsidRPr="000F2FA2">
        <w:rPr>
          <w:rFonts w:ascii="Times New Roman" w:hAnsi="Times New Roman" w:cs="Times New Roman"/>
        </w:rPr>
        <w:t>(</w:t>
      </w:r>
      <w:r w:rsidRPr="000F2FA2">
        <w:rPr>
          <w:rFonts w:ascii="Times New Roman" w:hAnsi="Times New Roman" w:cs="Times New Roman"/>
          <w:b/>
          <w:bCs/>
        </w:rPr>
        <w:t>A</w:t>
      </w:r>
      <w:r w:rsidRPr="000F2FA2">
        <w:rPr>
          <w:rFonts w:ascii="Times New Roman" w:hAnsi="Times New Roman" w:cs="Times New Roman"/>
        </w:rPr>
        <w:t xml:space="preserve">, </w:t>
      </w:r>
      <w:r w:rsidRPr="000F2FA2">
        <w:rPr>
          <w:rFonts w:ascii="Times New Roman" w:hAnsi="Times New Roman" w:cs="Times New Roman"/>
          <w:b/>
          <w:bCs/>
        </w:rPr>
        <w:t>B</w:t>
      </w:r>
      <w:r w:rsidRPr="000F2FA2">
        <w:rPr>
          <w:rFonts w:ascii="Times New Roman" w:hAnsi="Times New Roman" w:cs="Times New Roman"/>
        </w:rPr>
        <w:t>)</w:t>
      </w:r>
      <w:r>
        <w:rPr>
          <w:rFonts w:ascii="Times New Roman" w:hAnsi="Times New Roman" w:cs="Times New Roman" w:hint="eastAsia"/>
          <w:kern w:val="0"/>
          <w14:ligatures w14:val="none"/>
        </w:rPr>
        <w:t xml:space="preserve"> </w:t>
      </w:r>
      <w:r w:rsidRPr="00166379">
        <w:rPr>
          <w:rFonts w:ascii="Times New Roman" w:hAnsi="Times New Roman" w:cs="Times New Roman"/>
          <w:kern w:val="0"/>
          <w14:ligatures w14:val="none"/>
        </w:rPr>
        <w:t xml:space="preserve">Manhattan plots showing the associated gene expression modules of </w:t>
      </w:r>
      <w:r w:rsidRPr="00184D8C">
        <w:rPr>
          <w:rFonts w:ascii="Times New Roman" w:hAnsi="Times New Roman" w:cs="Times New Roman"/>
          <w:kern w:val="0"/>
          <w14:ligatures w14:val="none"/>
        </w:rPr>
        <w:t>Prostaglandin Reductase 1</w:t>
      </w:r>
      <w:r w:rsidRPr="00184D8C">
        <w:rPr>
          <w:rFonts w:ascii="Times New Roman" w:hAnsi="Times New Roman" w:cs="Times New Roman" w:hint="eastAsia"/>
          <w:kern w:val="0"/>
          <w14:ligatures w14:val="none"/>
        </w:rPr>
        <w:t xml:space="preserve"> </w:t>
      </w:r>
      <w:r>
        <w:rPr>
          <w:rFonts w:ascii="Times New Roman" w:hAnsi="Times New Roman" w:cs="Times New Roman" w:hint="eastAsia"/>
          <w:kern w:val="0"/>
          <w14:ligatures w14:val="none"/>
        </w:rPr>
        <w:t>(</w:t>
      </w:r>
      <w:r w:rsidRPr="00322E79">
        <w:rPr>
          <w:rFonts w:ascii="Times New Roman" w:hAnsi="Times New Roman" w:cs="Times New Roman" w:hint="eastAsia"/>
          <w:i/>
          <w:iCs/>
          <w:kern w:val="0"/>
          <w14:ligatures w14:val="none"/>
        </w:rPr>
        <w:t>P</w:t>
      </w:r>
      <w:r>
        <w:rPr>
          <w:rFonts w:ascii="Times New Roman" w:hAnsi="Times New Roman" w:cs="Times New Roman" w:hint="eastAsia"/>
          <w:i/>
          <w:iCs/>
          <w:kern w:val="0"/>
          <w14:ligatures w14:val="none"/>
        </w:rPr>
        <w:t>TGR</w:t>
      </w:r>
      <w:r w:rsidRPr="00322E79">
        <w:rPr>
          <w:rFonts w:ascii="Times New Roman" w:hAnsi="Times New Roman" w:cs="Times New Roman" w:hint="eastAsia"/>
          <w:i/>
          <w:iCs/>
          <w:kern w:val="0"/>
          <w14:ligatures w14:val="none"/>
        </w:rPr>
        <w:t>1</w:t>
      </w:r>
      <w:r>
        <w:rPr>
          <w:rFonts w:ascii="Times New Roman" w:hAnsi="Times New Roman" w:cs="Times New Roman" w:hint="eastAsia"/>
          <w:i/>
          <w:iCs/>
          <w:kern w:val="0"/>
          <w14:ligatures w14:val="none"/>
        </w:rPr>
        <w:t>)</w:t>
      </w:r>
      <w:r>
        <w:rPr>
          <w:rFonts w:ascii="Times New Roman" w:hAnsi="Times New Roman" w:cs="Times New Roman" w:hint="eastAsia"/>
          <w:kern w:val="0"/>
          <w14:ligatures w14:val="none"/>
        </w:rPr>
        <w:t xml:space="preserve"> </w:t>
      </w:r>
      <w:r w:rsidRPr="00166379">
        <w:rPr>
          <w:rFonts w:ascii="Times New Roman" w:hAnsi="Times New Roman" w:cs="Times New Roman"/>
          <w:kern w:val="0"/>
          <w14:ligatures w14:val="none"/>
        </w:rPr>
        <w:t xml:space="preserve">in </w:t>
      </w:r>
      <w:r>
        <w:rPr>
          <w:rFonts w:ascii="Times New Roman" w:hAnsi="Times New Roman" w:cs="Times New Roman" w:hint="eastAsia"/>
          <w:kern w:val="0"/>
          <w14:ligatures w14:val="none"/>
        </w:rPr>
        <w:t xml:space="preserve">human livers </w:t>
      </w:r>
      <w:r w:rsidRPr="00166379">
        <w:rPr>
          <w:rFonts w:ascii="Times New Roman" w:hAnsi="Times New Roman" w:cs="Times New Roman"/>
          <w:kern w:val="0"/>
          <w14:ligatures w14:val="none"/>
        </w:rPr>
        <w:t>(</w:t>
      </w:r>
      <w:r>
        <w:rPr>
          <w:rFonts w:ascii="Times New Roman" w:hAnsi="Times New Roman" w:cs="Times New Roman"/>
          <w:b/>
          <w:bCs/>
          <w:kern w:val="0"/>
          <w14:ligatures w14:val="none"/>
        </w:rPr>
        <w:t>I</w:t>
      </w:r>
      <w:r w:rsidRPr="00166379">
        <w:rPr>
          <w:rFonts w:ascii="Times New Roman" w:hAnsi="Times New Roman" w:cs="Times New Roman"/>
          <w:kern w:val="0"/>
          <w14:ligatures w14:val="none"/>
        </w:rPr>
        <w:t xml:space="preserve">) and that of </w:t>
      </w:r>
      <w:r w:rsidRPr="00075065">
        <w:rPr>
          <w:rFonts w:ascii="Times New Roman" w:hAnsi="Times New Roman" w:cs="Times New Roman"/>
          <w:kern w:val="0"/>
          <w14:ligatures w14:val="none"/>
        </w:rPr>
        <w:t>Protein Tyrosine Phosphatase Receptor Type D</w:t>
      </w:r>
      <w:r w:rsidRPr="00075065">
        <w:rPr>
          <w:rFonts w:ascii="Times New Roman" w:hAnsi="Times New Roman" w:cs="Times New Roman" w:hint="eastAsia"/>
          <w:kern w:val="0"/>
          <w14:ligatures w14:val="none"/>
        </w:rPr>
        <w:t xml:space="preserve"> </w:t>
      </w:r>
      <w:r>
        <w:rPr>
          <w:rFonts w:ascii="Times New Roman" w:hAnsi="Times New Roman" w:cs="Times New Roman" w:hint="eastAsia"/>
          <w:kern w:val="0"/>
          <w14:ligatures w14:val="none"/>
        </w:rPr>
        <w:t>(</w:t>
      </w:r>
      <w:r w:rsidRPr="0084006A">
        <w:rPr>
          <w:rFonts w:ascii="Times New Roman" w:hAnsi="Times New Roman" w:cs="Times New Roman" w:hint="eastAsia"/>
          <w:i/>
          <w:iCs/>
          <w:kern w:val="0"/>
          <w14:ligatures w14:val="none"/>
        </w:rPr>
        <w:t>Ptprd</w:t>
      </w:r>
      <w:r>
        <w:rPr>
          <w:rFonts w:ascii="Times New Roman" w:hAnsi="Times New Roman" w:cs="Times New Roman" w:hint="eastAsia"/>
          <w:i/>
          <w:iCs/>
          <w:kern w:val="0"/>
          <w14:ligatures w14:val="none"/>
        </w:rPr>
        <w:t>)</w:t>
      </w:r>
      <w:r>
        <w:rPr>
          <w:rFonts w:ascii="Times New Roman" w:hAnsi="Times New Roman" w:cs="Times New Roman" w:hint="eastAsia"/>
          <w:kern w:val="0"/>
          <w14:ligatures w14:val="none"/>
        </w:rPr>
        <w:t xml:space="preserve"> </w:t>
      </w:r>
      <w:r w:rsidRPr="00166379">
        <w:rPr>
          <w:rFonts w:ascii="Times New Roman" w:hAnsi="Times New Roman" w:cs="Times New Roman"/>
          <w:kern w:val="0"/>
          <w14:ligatures w14:val="none"/>
        </w:rPr>
        <w:t xml:space="preserve">in </w:t>
      </w:r>
      <w:r>
        <w:rPr>
          <w:rFonts w:ascii="Times New Roman" w:hAnsi="Times New Roman" w:cs="Times New Roman" w:hint="eastAsia"/>
          <w:kern w:val="0"/>
          <w14:ligatures w14:val="none"/>
        </w:rPr>
        <w:t xml:space="preserve">mouse livers </w:t>
      </w:r>
      <w:r w:rsidRPr="00166379">
        <w:rPr>
          <w:rFonts w:ascii="Times New Roman" w:hAnsi="Times New Roman" w:cs="Times New Roman"/>
          <w:kern w:val="0"/>
          <w14:ligatures w14:val="none"/>
        </w:rPr>
        <w:t>(</w:t>
      </w:r>
      <w:r>
        <w:rPr>
          <w:rFonts w:ascii="Times New Roman" w:hAnsi="Times New Roman" w:cs="Times New Roman"/>
          <w:b/>
          <w:bCs/>
          <w:kern w:val="0"/>
          <w14:ligatures w14:val="none"/>
        </w:rPr>
        <w:t>J</w:t>
      </w:r>
      <w:r w:rsidRPr="00166379">
        <w:rPr>
          <w:rFonts w:ascii="Times New Roman" w:hAnsi="Times New Roman" w:cs="Times New Roman"/>
          <w:kern w:val="0"/>
          <w14:ligatures w14:val="none"/>
        </w:rPr>
        <w:t>)</w:t>
      </w:r>
      <w:r>
        <w:rPr>
          <w:rFonts w:ascii="Times New Roman" w:hAnsi="Times New Roman" w:cs="Times New Roman" w:hint="eastAsia"/>
          <w:kern w:val="0"/>
          <w14:ligatures w14:val="none"/>
        </w:rPr>
        <w:t>. D</w:t>
      </w:r>
      <w:r w:rsidRPr="00166379">
        <w:rPr>
          <w:rFonts w:ascii="Times New Roman" w:hAnsi="Times New Roman" w:cs="Times New Roman"/>
          <w:kern w:val="0"/>
          <w14:ligatures w14:val="none"/>
        </w:rPr>
        <w:t xml:space="preserve">ata </w:t>
      </w:r>
      <w:r>
        <w:rPr>
          <w:rFonts w:ascii="Times New Roman" w:hAnsi="Times New Roman" w:cs="Times New Roman" w:hint="eastAsia"/>
          <w:kern w:val="0"/>
          <w14:ligatures w14:val="none"/>
        </w:rPr>
        <w:t xml:space="preserve">were retrieved </w:t>
      </w:r>
      <w:r w:rsidRPr="00166379">
        <w:rPr>
          <w:rFonts w:ascii="Times New Roman" w:hAnsi="Times New Roman" w:cs="Times New Roman"/>
          <w:kern w:val="0"/>
          <w14:ligatures w14:val="none"/>
        </w:rPr>
        <w:t>from https://systems-genetics.org/gmad</w:t>
      </w:r>
      <w:r>
        <w:rPr>
          <w:rFonts w:ascii="Times New Roman" w:hAnsi="Times New Roman" w:cs="Times New Roman"/>
          <w:kern w:val="0"/>
          <w14:ligatures w14:val="none"/>
        </w:rPr>
        <w:fldChar w:fldCharType="begin"/>
      </w:r>
      <w:r>
        <w:rPr>
          <w:rFonts w:ascii="Times New Roman" w:hAnsi="Times New Roman" w:cs="Times New Roman"/>
          <w:kern w:val="0"/>
          <w14:ligatures w14:val="none"/>
        </w:rPr>
        <w:instrText xml:space="preserve"> ADDIN ZOTERO_ITEM CSL_CITATION {"citationID":"qTYkyAXA","properties":{"formattedCitation":"\\super 98\\nosupersub{}","plainCitation":"98","noteIndex":0},"citationItems":[{"id":758,"uris":["http://zotero.org/users/6724017/items/7DHSJGG8"],"itemData":{"id":758,"type":"article-journal","abstract":"The functions of many eukaryotic genes are still poorly understood. Here, we developed and validated a new method, termed GeneBridge, which is based on two linked approaches to impute gene function and bridge genes with biological processes. First, Gene-Module Association Determination (G-MAD) allows the annotation of gene function. Second, Module-Module Association Determination (M-MAD) allows predicting connectivity among modules. We applied the GeneBridge tools to large-scale multispecies expression compendia—1700 data sets with over 300,000 samples from human, mouse, rat, fly, worm, and yeast—collected in this study. G-MAD identifies novel functions of genes—for example, DDT in mitochondrial respiration and WDFY4 in T cell activation—and also suggests novel components for modules, such as for cholesterol biosynthesis. By applying G-MAD on data sets from respective tissues, tissue-specific functions of genes were identified—for instance, the roles of EHHADH in liver and kidney, as well as SLC6A1 in brain and liver. Using M-MAD, we identified a list of module-module associations, such as those between mitochondria and proteasome, mitochondria and histone demethylation, as well as ribosomes and lipid biosynthesis. The GeneBridge tools together with the expression compendia are available as an open resource, which will facilitate the identification of connections linking genes, modules, phenotypes, and diseases.","container-title":"Genome Research","DOI":"10.1101/gr.251983.119","ISSN":"1088-9051, 1549-5469","journalAbbreviation":"Genome Res.","language":"en","note":"Company: Cold Spring Harbor Laboratory Press\nDistributor: Cold Spring Harbor Laboratory Press\nInstitution: Cold Spring Harbor Laboratory Press\nLabel: Cold Spring Harbor Laboratory Press\npublisher: Cold Spring Harbor Lab\nPMID: 31754022","source":"genome.cshlp.org","title":"Identifying gene function and module connections by the integration of multispecies expression compendia","URL":"https://genome.cshlp.org/content/early/2019/11/21/gr.251983.119","author":[{"family":"Li","given":"Hao"},{"family":"Rukina","given":"Daria"},{"family":"David","given":"Fabrice P. A."},{"family":"Li","given":"Terytty Yang"},{"family":"Oh","given":"Chang-Myung"},{"family":"Gao","given":"Arwen W."},{"family":"Katsyuba","given":"Elena"},{"family":"Sleiman","given":"Maroun Bou"},{"family":"Komljenovic","given":"Andrea"},{"family":"Huang","given":"Qingyao"},{"family":"Williams","given":"Robert W."},{"family":"Robinson-Rechavi","given":"Marc"},{"family":"Schoonjans","given":"Kristina"},{"family":"Morgenthaler","given":"Stephan"},{"family":"Auwerx","given":"Johan"}],"accessed":{"date-parts":[["2023",2,20]]},"issued":{"date-parts":[["2019",11,21]]}}}],"schema":"https://github.com/citation-style-language/schema/raw/master/csl-citation.json"} </w:instrText>
      </w:r>
      <w:r>
        <w:rPr>
          <w:rFonts w:ascii="Times New Roman" w:hAnsi="Times New Roman" w:cs="Times New Roman"/>
          <w:kern w:val="0"/>
          <w14:ligatures w14:val="none"/>
        </w:rPr>
        <w:fldChar w:fldCharType="separate"/>
      </w:r>
      <w:r w:rsidRPr="00867C43">
        <w:rPr>
          <w:rFonts w:ascii="Times New Roman" w:hAnsi="Times New Roman" w:cs="Times New Roman"/>
          <w:kern w:val="0"/>
          <w:vertAlign w:val="superscript"/>
          <w:lang w:val="en-GB"/>
        </w:rPr>
        <w:t>98</w:t>
      </w:r>
      <w:r>
        <w:rPr>
          <w:rFonts w:ascii="Times New Roman" w:hAnsi="Times New Roman" w:cs="Times New Roman"/>
          <w:kern w:val="0"/>
          <w14:ligatures w14:val="none"/>
        </w:rPr>
        <w:fldChar w:fldCharType="end"/>
      </w:r>
      <w:r w:rsidRPr="00166379">
        <w:rPr>
          <w:rFonts w:ascii="Times New Roman" w:hAnsi="Times New Roman" w:cs="Times New Roman"/>
          <w:kern w:val="0"/>
          <w14:ligatures w14:val="none"/>
        </w:rPr>
        <w:t>. The threshold is repre</w:t>
      </w:r>
      <w:r w:rsidRPr="00166379">
        <w:rPr>
          <w:rFonts w:ascii="Times New Roman" w:hAnsi="Times New Roman" w:cs="Times New Roman" w:hint="eastAsia"/>
          <w:kern w:val="0"/>
          <w14:ligatures w14:val="none"/>
        </w:rPr>
        <w:t xml:space="preserve">sented by the red dashed line (absolute </w:t>
      </w:r>
      <w:r>
        <w:rPr>
          <w:rFonts w:ascii="Times New Roman" w:hAnsi="Times New Roman" w:cs="Times New Roman" w:hint="eastAsia"/>
          <w:kern w:val="0"/>
          <w14:ligatures w14:val="none"/>
        </w:rPr>
        <w:t>gene-module association score</w:t>
      </w:r>
      <w:r w:rsidRPr="00166379">
        <w:rPr>
          <w:rFonts w:ascii="Times New Roman" w:hAnsi="Times New Roman" w:cs="Times New Roman" w:hint="eastAsia"/>
          <w:kern w:val="0"/>
          <w14:ligatures w14:val="none"/>
        </w:rPr>
        <w:t xml:space="preserve"> ≥ 0.268). Terms above the threshold are identified as the significant associated terms. GO terms or gene modules are ranked by similarity</w:t>
      </w:r>
    </w:p>
    <w:p w14:paraId="0B998561" w14:textId="77777777" w:rsidR="000F0F6A" w:rsidRPr="00F40B38" w:rsidRDefault="000F0F6A" w:rsidP="000F0F6A">
      <w:pPr>
        <w:pStyle w:val="Heading1"/>
        <w:adjustRightInd w:val="0"/>
        <w:snapToGrid w:val="0"/>
        <w:spacing w:before="120" w:after="120" w:line="312" w:lineRule="auto"/>
        <w:jc w:val="both"/>
        <w:rPr>
          <w:rFonts w:ascii="Times New Roman" w:eastAsiaTheme="minorEastAsia" w:hAnsi="Times New Roman" w:cs="Times New Roman"/>
          <w:b/>
          <w:bCs/>
          <w:color w:val="auto"/>
          <w:sz w:val="24"/>
          <w:szCs w:val="24"/>
        </w:rPr>
      </w:pPr>
      <w:bookmarkStart w:id="6" w:name="OLE_LINK47"/>
      <w:bookmarkStart w:id="7" w:name="OLE_LINK48"/>
      <w:r w:rsidRPr="00F40B38">
        <w:rPr>
          <w:rFonts w:ascii="Times New Roman" w:eastAsiaTheme="minorEastAsia" w:hAnsi="Times New Roman" w:cs="Times New Roman"/>
          <w:b/>
          <w:bCs/>
          <w:color w:val="auto"/>
          <w:sz w:val="24"/>
          <w:szCs w:val="24"/>
        </w:rPr>
        <w:lastRenderedPageBreak/>
        <w:t xml:space="preserve">Table S1. List of the </w:t>
      </w:r>
      <w:r>
        <w:rPr>
          <w:rFonts w:ascii="Times New Roman" w:eastAsiaTheme="minorEastAsia" w:hAnsi="Times New Roman" w:cs="Times New Roman"/>
          <w:b/>
          <w:bCs/>
          <w:color w:val="auto"/>
          <w:sz w:val="24"/>
          <w:szCs w:val="24"/>
        </w:rPr>
        <w:t>BAs</w:t>
      </w:r>
      <w:r w:rsidRPr="00F40B38">
        <w:rPr>
          <w:rFonts w:ascii="Times New Roman" w:eastAsiaTheme="minorEastAsia" w:hAnsi="Times New Roman" w:cs="Times New Roman"/>
          <w:b/>
          <w:bCs/>
          <w:color w:val="auto"/>
          <w:sz w:val="24"/>
          <w:szCs w:val="24"/>
        </w:rPr>
        <w:t xml:space="preserve"> measured, their abbreviations, accurate m/z ratio, corresponding internal standards (used for quantification) and retention times (RT). Chromatographic resolution was essential for the separation of isobaric species. </w:t>
      </w:r>
    </w:p>
    <w:tbl>
      <w:tblPr>
        <w:tblW w:w="8747" w:type="dxa"/>
        <w:jc w:val="center"/>
        <w:tblLook w:val="0000" w:firstRow="0" w:lastRow="0" w:firstColumn="0" w:lastColumn="0" w:noHBand="0" w:noVBand="0"/>
      </w:tblPr>
      <w:tblGrid>
        <w:gridCol w:w="2863"/>
        <w:gridCol w:w="1376"/>
        <w:gridCol w:w="1995"/>
        <w:gridCol w:w="1427"/>
        <w:gridCol w:w="1086"/>
      </w:tblGrid>
      <w:tr w:rsidR="000F0F6A" w:rsidRPr="00F40B38" w14:paraId="207FCB42" w14:textId="77777777" w:rsidTr="00AB0A7D">
        <w:trPr>
          <w:trHeight w:val="270"/>
          <w:jc w:val="center"/>
        </w:trPr>
        <w:tc>
          <w:tcPr>
            <w:tcW w:w="2863" w:type="dxa"/>
            <w:tcBorders>
              <w:top w:val="single" w:sz="4" w:space="0" w:color="auto"/>
              <w:left w:val="nil"/>
              <w:bottom w:val="single" w:sz="8" w:space="0" w:color="auto"/>
              <w:right w:val="nil"/>
            </w:tcBorders>
            <w:shd w:val="clear" w:color="auto" w:fill="auto"/>
            <w:noWrap/>
            <w:vAlign w:val="center"/>
          </w:tcPr>
          <w:p w14:paraId="1B9E8BD8" w14:textId="77777777" w:rsidR="000F0F6A" w:rsidRPr="00F40B38" w:rsidRDefault="000F0F6A" w:rsidP="00AB0A7D">
            <w:pPr>
              <w:adjustRightInd w:val="0"/>
              <w:snapToGrid w:val="0"/>
              <w:spacing w:before="120" w:after="120" w:line="312" w:lineRule="auto"/>
              <w:jc w:val="center"/>
              <w:rPr>
                <w:rFonts w:ascii="Times New Roman" w:hAnsi="Times New Roman" w:cs="Times New Roman"/>
                <w:b/>
                <w:bCs/>
                <w:sz w:val="20"/>
                <w:szCs w:val="20"/>
              </w:rPr>
            </w:pPr>
            <w:r w:rsidRPr="00F40B38">
              <w:rPr>
                <w:rFonts w:ascii="Times New Roman" w:hAnsi="Times New Roman" w:cs="Times New Roman"/>
                <w:b/>
                <w:bCs/>
                <w:sz w:val="20"/>
                <w:szCs w:val="20"/>
              </w:rPr>
              <w:t>Bile Acid</w:t>
            </w:r>
          </w:p>
        </w:tc>
        <w:tc>
          <w:tcPr>
            <w:tcW w:w="1376" w:type="dxa"/>
            <w:tcBorders>
              <w:top w:val="single" w:sz="4" w:space="0" w:color="auto"/>
              <w:left w:val="nil"/>
              <w:bottom w:val="single" w:sz="8" w:space="0" w:color="auto"/>
              <w:right w:val="nil"/>
            </w:tcBorders>
            <w:shd w:val="clear" w:color="auto" w:fill="auto"/>
            <w:noWrap/>
            <w:vAlign w:val="center"/>
          </w:tcPr>
          <w:p w14:paraId="2C679A63" w14:textId="77777777" w:rsidR="000F0F6A" w:rsidRPr="00F40B38" w:rsidRDefault="000F0F6A" w:rsidP="00AB0A7D">
            <w:pPr>
              <w:adjustRightInd w:val="0"/>
              <w:snapToGrid w:val="0"/>
              <w:spacing w:before="120" w:after="120" w:line="312" w:lineRule="auto"/>
              <w:jc w:val="center"/>
              <w:rPr>
                <w:rFonts w:ascii="Times New Roman" w:hAnsi="Times New Roman" w:cs="Times New Roman"/>
                <w:b/>
                <w:bCs/>
                <w:sz w:val="20"/>
                <w:szCs w:val="20"/>
              </w:rPr>
            </w:pPr>
            <w:r w:rsidRPr="00F40B38">
              <w:rPr>
                <w:rFonts w:ascii="Times New Roman" w:hAnsi="Times New Roman" w:cs="Times New Roman"/>
                <w:b/>
                <w:bCs/>
                <w:sz w:val="20"/>
                <w:szCs w:val="20"/>
              </w:rPr>
              <w:t>Abbreviation</w:t>
            </w:r>
          </w:p>
        </w:tc>
        <w:tc>
          <w:tcPr>
            <w:tcW w:w="1995" w:type="dxa"/>
            <w:tcBorders>
              <w:top w:val="single" w:sz="4" w:space="0" w:color="auto"/>
              <w:left w:val="nil"/>
              <w:bottom w:val="single" w:sz="8" w:space="0" w:color="auto"/>
              <w:right w:val="nil"/>
            </w:tcBorders>
            <w:shd w:val="clear" w:color="auto" w:fill="auto"/>
            <w:noWrap/>
            <w:vAlign w:val="center"/>
          </w:tcPr>
          <w:p w14:paraId="1D9A954B" w14:textId="77777777" w:rsidR="000F0F6A" w:rsidRPr="00F40B38" w:rsidRDefault="000F0F6A" w:rsidP="00AB0A7D">
            <w:pPr>
              <w:adjustRightInd w:val="0"/>
              <w:snapToGrid w:val="0"/>
              <w:spacing w:before="120" w:after="120" w:line="312" w:lineRule="auto"/>
              <w:jc w:val="center"/>
              <w:rPr>
                <w:rFonts w:ascii="Times New Roman" w:hAnsi="Times New Roman" w:cs="Times New Roman"/>
                <w:b/>
                <w:bCs/>
                <w:sz w:val="20"/>
                <w:szCs w:val="20"/>
              </w:rPr>
            </w:pPr>
            <w:r w:rsidRPr="00F40B38">
              <w:rPr>
                <w:rFonts w:ascii="Times New Roman" w:hAnsi="Times New Roman" w:cs="Times New Roman"/>
                <w:b/>
                <w:bCs/>
                <w:sz w:val="20"/>
                <w:szCs w:val="20"/>
              </w:rPr>
              <w:t>H</w:t>
            </w:r>
            <w:r w:rsidRPr="00F40B38">
              <w:rPr>
                <w:rFonts w:ascii="Times New Roman" w:hAnsi="Times New Roman" w:cs="Times New Roman"/>
                <w:b/>
                <w:bCs/>
                <w:sz w:val="20"/>
                <w:szCs w:val="20"/>
                <w:vertAlign w:val="superscript"/>
              </w:rPr>
              <w:t>-</w:t>
            </w:r>
            <w:r w:rsidRPr="00F40B38">
              <w:rPr>
                <w:rFonts w:ascii="Times New Roman" w:hAnsi="Times New Roman" w:cs="Times New Roman"/>
                <w:b/>
                <w:bCs/>
                <w:sz w:val="20"/>
                <w:szCs w:val="20"/>
              </w:rPr>
              <w:t xml:space="preserve"> (m/z)</w:t>
            </w:r>
          </w:p>
        </w:tc>
        <w:tc>
          <w:tcPr>
            <w:tcW w:w="1427" w:type="dxa"/>
            <w:tcBorders>
              <w:top w:val="single" w:sz="4" w:space="0" w:color="auto"/>
              <w:left w:val="nil"/>
              <w:bottom w:val="single" w:sz="8" w:space="0" w:color="auto"/>
              <w:right w:val="nil"/>
            </w:tcBorders>
            <w:vAlign w:val="center"/>
          </w:tcPr>
          <w:p w14:paraId="4E5E231B" w14:textId="77777777" w:rsidR="000F0F6A" w:rsidRPr="00F40B38" w:rsidRDefault="000F0F6A" w:rsidP="00AB0A7D">
            <w:pPr>
              <w:adjustRightInd w:val="0"/>
              <w:snapToGrid w:val="0"/>
              <w:spacing w:before="120" w:after="120" w:line="312" w:lineRule="auto"/>
              <w:jc w:val="center"/>
              <w:rPr>
                <w:rFonts w:ascii="Times New Roman" w:hAnsi="Times New Roman" w:cs="Times New Roman"/>
                <w:b/>
                <w:bCs/>
                <w:sz w:val="20"/>
                <w:szCs w:val="20"/>
              </w:rPr>
            </w:pPr>
            <w:r w:rsidRPr="00F40B38">
              <w:rPr>
                <w:rFonts w:ascii="Times New Roman" w:hAnsi="Times New Roman" w:cs="Times New Roman"/>
                <w:b/>
                <w:bCs/>
                <w:sz w:val="20"/>
                <w:szCs w:val="20"/>
              </w:rPr>
              <w:t>Internal Standard</w:t>
            </w:r>
          </w:p>
        </w:tc>
        <w:tc>
          <w:tcPr>
            <w:tcW w:w="1086" w:type="dxa"/>
            <w:tcBorders>
              <w:top w:val="single" w:sz="4" w:space="0" w:color="auto"/>
              <w:left w:val="nil"/>
              <w:bottom w:val="single" w:sz="8" w:space="0" w:color="auto"/>
              <w:right w:val="nil"/>
            </w:tcBorders>
            <w:vAlign w:val="center"/>
          </w:tcPr>
          <w:p w14:paraId="0C7599E1" w14:textId="77777777" w:rsidR="000F0F6A" w:rsidRPr="00F40B38" w:rsidRDefault="000F0F6A" w:rsidP="00AB0A7D">
            <w:pPr>
              <w:adjustRightInd w:val="0"/>
              <w:snapToGrid w:val="0"/>
              <w:spacing w:before="120" w:after="120" w:line="312" w:lineRule="auto"/>
              <w:jc w:val="center"/>
              <w:rPr>
                <w:rFonts w:ascii="Times New Roman" w:hAnsi="Times New Roman" w:cs="Times New Roman"/>
                <w:b/>
                <w:bCs/>
                <w:sz w:val="20"/>
                <w:szCs w:val="20"/>
              </w:rPr>
            </w:pPr>
          </w:p>
          <w:p w14:paraId="169D02C4" w14:textId="77777777" w:rsidR="000F0F6A" w:rsidRPr="00F40B38" w:rsidRDefault="000F0F6A" w:rsidP="00AB0A7D">
            <w:pPr>
              <w:adjustRightInd w:val="0"/>
              <w:snapToGrid w:val="0"/>
              <w:spacing w:before="120" w:after="120" w:line="312" w:lineRule="auto"/>
              <w:jc w:val="center"/>
              <w:rPr>
                <w:rFonts w:ascii="Times New Roman" w:hAnsi="Times New Roman" w:cs="Times New Roman"/>
                <w:b/>
                <w:bCs/>
                <w:sz w:val="20"/>
                <w:szCs w:val="20"/>
              </w:rPr>
            </w:pPr>
            <w:r w:rsidRPr="00F40B38">
              <w:rPr>
                <w:rFonts w:ascii="Times New Roman" w:hAnsi="Times New Roman" w:cs="Times New Roman"/>
                <w:b/>
                <w:bCs/>
                <w:sz w:val="20"/>
                <w:szCs w:val="20"/>
              </w:rPr>
              <w:t>RT min</w:t>
            </w:r>
          </w:p>
        </w:tc>
      </w:tr>
      <w:tr w:rsidR="000F0F6A" w:rsidRPr="00F40B38" w14:paraId="0A77224F" w14:textId="77777777" w:rsidTr="00AB0A7D">
        <w:trPr>
          <w:trHeight w:val="170"/>
          <w:jc w:val="center"/>
        </w:trPr>
        <w:tc>
          <w:tcPr>
            <w:tcW w:w="2863" w:type="dxa"/>
            <w:tcBorders>
              <w:top w:val="nil"/>
              <w:left w:val="nil"/>
              <w:bottom w:val="nil"/>
              <w:right w:val="nil"/>
            </w:tcBorders>
            <w:shd w:val="clear" w:color="auto" w:fill="auto"/>
            <w:noWrap/>
            <w:vAlign w:val="center"/>
          </w:tcPr>
          <w:p w14:paraId="61A56357"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Lithocholic acid</w:t>
            </w:r>
          </w:p>
        </w:tc>
        <w:tc>
          <w:tcPr>
            <w:tcW w:w="1376" w:type="dxa"/>
            <w:tcBorders>
              <w:top w:val="nil"/>
              <w:left w:val="nil"/>
              <w:bottom w:val="nil"/>
              <w:right w:val="nil"/>
            </w:tcBorders>
            <w:shd w:val="clear" w:color="auto" w:fill="auto"/>
            <w:noWrap/>
            <w:vAlign w:val="center"/>
          </w:tcPr>
          <w:p w14:paraId="20E0DB92"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LCA</w:t>
            </w:r>
          </w:p>
        </w:tc>
        <w:tc>
          <w:tcPr>
            <w:tcW w:w="1995" w:type="dxa"/>
            <w:tcBorders>
              <w:top w:val="nil"/>
              <w:left w:val="nil"/>
              <w:bottom w:val="nil"/>
              <w:right w:val="nil"/>
            </w:tcBorders>
            <w:shd w:val="clear" w:color="auto" w:fill="auto"/>
            <w:noWrap/>
            <w:vAlign w:val="center"/>
          </w:tcPr>
          <w:p w14:paraId="6D54372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375.29047</w:t>
            </w:r>
          </w:p>
        </w:tc>
        <w:tc>
          <w:tcPr>
            <w:tcW w:w="1427" w:type="dxa"/>
            <w:tcBorders>
              <w:top w:val="nil"/>
              <w:left w:val="nil"/>
              <w:bottom w:val="nil"/>
              <w:right w:val="nil"/>
            </w:tcBorders>
            <w:vAlign w:val="center"/>
          </w:tcPr>
          <w:p w14:paraId="52D46EBE"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-LCA</w:t>
            </w:r>
          </w:p>
        </w:tc>
        <w:tc>
          <w:tcPr>
            <w:tcW w:w="1086" w:type="dxa"/>
            <w:tcBorders>
              <w:top w:val="nil"/>
              <w:left w:val="nil"/>
              <w:bottom w:val="nil"/>
              <w:right w:val="nil"/>
            </w:tcBorders>
            <w:vAlign w:val="center"/>
          </w:tcPr>
          <w:p w14:paraId="3AA942DE"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20.6</w:t>
            </w:r>
          </w:p>
        </w:tc>
      </w:tr>
      <w:tr w:rsidR="000F0F6A" w:rsidRPr="00F40B38" w14:paraId="45E950B0" w14:textId="77777777" w:rsidTr="00AB0A7D">
        <w:trPr>
          <w:trHeight w:val="170"/>
          <w:jc w:val="center"/>
        </w:trPr>
        <w:tc>
          <w:tcPr>
            <w:tcW w:w="2863" w:type="dxa"/>
            <w:tcBorders>
              <w:top w:val="nil"/>
              <w:left w:val="nil"/>
              <w:bottom w:val="nil"/>
              <w:right w:val="nil"/>
            </w:tcBorders>
            <w:shd w:val="clear" w:color="auto" w:fill="auto"/>
            <w:noWrap/>
            <w:vAlign w:val="center"/>
          </w:tcPr>
          <w:p w14:paraId="176BD42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7-Ketolithocholic acid</w:t>
            </w:r>
          </w:p>
        </w:tc>
        <w:tc>
          <w:tcPr>
            <w:tcW w:w="1376" w:type="dxa"/>
            <w:tcBorders>
              <w:top w:val="nil"/>
              <w:left w:val="nil"/>
              <w:bottom w:val="nil"/>
              <w:right w:val="nil"/>
            </w:tcBorders>
            <w:shd w:val="clear" w:color="auto" w:fill="auto"/>
            <w:noWrap/>
            <w:vAlign w:val="center"/>
          </w:tcPr>
          <w:p w14:paraId="1EB63FB3"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7Keto-LCA</w:t>
            </w:r>
          </w:p>
        </w:tc>
        <w:tc>
          <w:tcPr>
            <w:tcW w:w="1995" w:type="dxa"/>
            <w:tcBorders>
              <w:top w:val="nil"/>
              <w:left w:val="nil"/>
              <w:bottom w:val="nil"/>
              <w:right w:val="nil"/>
            </w:tcBorders>
            <w:shd w:val="clear" w:color="auto" w:fill="auto"/>
            <w:noWrap/>
            <w:vAlign w:val="center"/>
          </w:tcPr>
          <w:p w14:paraId="50B6689A"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389.26973</w:t>
            </w:r>
          </w:p>
        </w:tc>
        <w:tc>
          <w:tcPr>
            <w:tcW w:w="1427" w:type="dxa"/>
            <w:tcBorders>
              <w:top w:val="nil"/>
              <w:left w:val="nil"/>
              <w:bottom w:val="nil"/>
              <w:right w:val="nil"/>
            </w:tcBorders>
            <w:vAlign w:val="center"/>
          </w:tcPr>
          <w:p w14:paraId="00D7CD17"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-GDCA</w:t>
            </w:r>
          </w:p>
        </w:tc>
        <w:tc>
          <w:tcPr>
            <w:tcW w:w="1086" w:type="dxa"/>
            <w:tcBorders>
              <w:top w:val="nil"/>
              <w:left w:val="nil"/>
              <w:bottom w:val="nil"/>
              <w:right w:val="nil"/>
            </w:tcBorders>
            <w:vAlign w:val="center"/>
          </w:tcPr>
          <w:p w14:paraId="71E3A97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15.5</w:t>
            </w:r>
          </w:p>
        </w:tc>
      </w:tr>
      <w:tr w:rsidR="000F0F6A" w:rsidRPr="00F40B38" w14:paraId="275BDA4B" w14:textId="77777777" w:rsidTr="00AB0A7D">
        <w:trPr>
          <w:trHeight w:val="170"/>
          <w:jc w:val="center"/>
        </w:trPr>
        <w:tc>
          <w:tcPr>
            <w:tcW w:w="2863" w:type="dxa"/>
            <w:tcBorders>
              <w:top w:val="nil"/>
              <w:left w:val="nil"/>
              <w:bottom w:val="nil"/>
              <w:right w:val="nil"/>
            </w:tcBorders>
            <w:shd w:val="clear" w:color="auto" w:fill="auto"/>
            <w:noWrap/>
            <w:vAlign w:val="center"/>
          </w:tcPr>
          <w:p w14:paraId="22C94B21"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Murocholic acid</w:t>
            </w:r>
          </w:p>
        </w:tc>
        <w:tc>
          <w:tcPr>
            <w:tcW w:w="1376" w:type="dxa"/>
            <w:tcBorders>
              <w:top w:val="nil"/>
              <w:left w:val="nil"/>
              <w:bottom w:val="nil"/>
              <w:right w:val="nil"/>
            </w:tcBorders>
            <w:shd w:val="clear" w:color="auto" w:fill="auto"/>
            <w:noWrap/>
            <w:vAlign w:val="center"/>
          </w:tcPr>
          <w:p w14:paraId="1F53E6A4"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MDCA</w:t>
            </w:r>
          </w:p>
        </w:tc>
        <w:tc>
          <w:tcPr>
            <w:tcW w:w="1995" w:type="dxa"/>
            <w:tcBorders>
              <w:top w:val="nil"/>
              <w:left w:val="nil"/>
              <w:bottom w:val="nil"/>
              <w:right w:val="nil"/>
            </w:tcBorders>
            <w:shd w:val="clear" w:color="auto" w:fill="auto"/>
            <w:noWrap/>
            <w:vAlign w:val="center"/>
          </w:tcPr>
          <w:p w14:paraId="70C3D726"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391.28538</w:t>
            </w:r>
          </w:p>
        </w:tc>
        <w:tc>
          <w:tcPr>
            <w:tcW w:w="1427" w:type="dxa"/>
            <w:tcBorders>
              <w:top w:val="nil"/>
              <w:left w:val="nil"/>
              <w:bottom w:val="nil"/>
              <w:right w:val="nil"/>
            </w:tcBorders>
            <w:vAlign w:val="center"/>
          </w:tcPr>
          <w:p w14:paraId="2421C824"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-CA</w:t>
            </w:r>
          </w:p>
        </w:tc>
        <w:tc>
          <w:tcPr>
            <w:tcW w:w="1086" w:type="dxa"/>
            <w:tcBorders>
              <w:top w:val="nil"/>
              <w:left w:val="nil"/>
              <w:bottom w:val="nil"/>
              <w:right w:val="nil"/>
            </w:tcBorders>
            <w:vAlign w:val="center"/>
          </w:tcPr>
          <w:p w14:paraId="3F07BFF4"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12.4</w:t>
            </w:r>
          </w:p>
        </w:tc>
      </w:tr>
      <w:tr w:rsidR="000F0F6A" w:rsidRPr="00F40B38" w14:paraId="168163AC" w14:textId="77777777" w:rsidTr="00AB0A7D">
        <w:trPr>
          <w:trHeight w:val="170"/>
          <w:jc w:val="center"/>
        </w:trPr>
        <w:tc>
          <w:tcPr>
            <w:tcW w:w="2863" w:type="dxa"/>
            <w:tcBorders>
              <w:top w:val="nil"/>
              <w:left w:val="nil"/>
              <w:bottom w:val="nil"/>
              <w:right w:val="nil"/>
            </w:tcBorders>
            <w:shd w:val="clear" w:color="auto" w:fill="auto"/>
            <w:noWrap/>
            <w:vAlign w:val="center"/>
          </w:tcPr>
          <w:p w14:paraId="09D2433F"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bookmarkStart w:id="8" w:name="OLE_LINK136"/>
            <w:bookmarkStart w:id="9" w:name="OLE_LINK137"/>
            <w:r w:rsidRPr="00F40B38">
              <w:rPr>
                <w:rFonts w:ascii="Times New Roman" w:hAnsi="Times New Roman" w:cs="Times New Roman"/>
                <w:sz w:val="20"/>
                <w:szCs w:val="20"/>
              </w:rPr>
              <w:t>Ursodeoxycholic acid</w:t>
            </w:r>
            <w:bookmarkEnd w:id="8"/>
            <w:bookmarkEnd w:id="9"/>
          </w:p>
        </w:tc>
        <w:tc>
          <w:tcPr>
            <w:tcW w:w="1376" w:type="dxa"/>
            <w:tcBorders>
              <w:top w:val="nil"/>
              <w:left w:val="nil"/>
              <w:bottom w:val="nil"/>
              <w:right w:val="nil"/>
            </w:tcBorders>
            <w:shd w:val="clear" w:color="auto" w:fill="auto"/>
            <w:noWrap/>
            <w:vAlign w:val="center"/>
          </w:tcPr>
          <w:p w14:paraId="626A6CC0"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UDCA</w:t>
            </w:r>
          </w:p>
        </w:tc>
        <w:tc>
          <w:tcPr>
            <w:tcW w:w="1995" w:type="dxa"/>
            <w:tcBorders>
              <w:top w:val="nil"/>
              <w:left w:val="nil"/>
              <w:bottom w:val="nil"/>
              <w:right w:val="nil"/>
            </w:tcBorders>
            <w:shd w:val="clear" w:color="auto" w:fill="auto"/>
            <w:noWrap/>
            <w:vAlign w:val="center"/>
          </w:tcPr>
          <w:p w14:paraId="27DAE9AD"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391.28538</w:t>
            </w:r>
          </w:p>
        </w:tc>
        <w:tc>
          <w:tcPr>
            <w:tcW w:w="1427" w:type="dxa"/>
            <w:tcBorders>
              <w:top w:val="nil"/>
              <w:left w:val="nil"/>
              <w:bottom w:val="nil"/>
              <w:right w:val="nil"/>
            </w:tcBorders>
            <w:vAlign w:val="center"/>
          </w:tcPr>
          <w:p w14:paraId="1443693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-GDCA</w:t>
            </w:r>
          </w:p>
        </w:tc>
        <w:tc>
          <w:tcPr>
            <w:tcW w:w="1086" w:type="dxa"/>
            <w:tcBorders>
              <w:top w:val="nil"/>
              <w:left w:val="nil"/>
              <w:bottom w:val="nil"/>
              <w:right w:val="nil"/>
            </w:tcBorders>
            <w:vAlign w:val="center"/>
          </w:tcPr>
          <w:p w14:paraId="792834E0"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13.3</w:t>
            </w:r>
          </w:p>
        </w:tc>
      </w:tr>
      <w:tr w:rsidR="000F0F6A" w:rsidRPr="00F40B38" w14:paraId="321CFF31" w14:textId="77777777" w:rsidTr="00AB0A7D">
        <w:trPr>
          <w:trHeight w:val="170"/>
          <w:jc w:val="center"/>
        </w:trPr>
        <w:tc>
          <w:tcPr>
            <w:tcW w:w="2863" w:type="dxa"/>
            <w:tcBorders>
              <w:top w:val="nil"/>
              <w:left w:val="nil"/>
              <w:bottom w:val="nil"/>
              <w:right w:val="nil"/>
            </w:tcBorders>
            <w:shd w:val="clear" w:color="auto" w:fill="auto"/>
            <w:noWrap/>
            <w:vAlign w:val="center"/>
          </w:tcPr>
          <w:p w14:paraId="7CD97F5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bookmarkStart w:id="10" w:name="OLE_LINK185"/>
            <w:bookmarkStart w:id="11" w:name="OLE_LINK186"/>
            <w:r w:rsidRPr="00F40B38">
              <w:rPr>
                <w:rFonts w:ascii="Times New Roman" w:hAnsi="Times New Roman" w:cs="Times New Roman"/>
                <w:sz w:val="20"/>
                <w:szCs w:val="20"/>
              </w:rPr>
              <w:t>Chenodeoxycholic acid</w:t>
            </w:r>
            <w:bookmarkEnd w:id="10"/>
            <w:bookmarkEnd w:id="11"/>
          </w:p>
        </w:tc>
        <w:tc>
          <w:tcPr>
            <w:tcW w:w="1376" w:type="dxa"/>
            <w:tcBorders>
              <w:top w:val="nil"/>
              <w:left w:val="nil"/>
              <w:bottom w:val="nil"/>
              <w:right w:val="nil"/>
            </w:tcBorders>
            <w:shd w:val="clear" w:color="auto" w:fill="auto"/>
            <w:noWrap/>
            <w:vAlign w:val="center"/>
          </w:tcPr>
          <w:p w14:paraId="3EF7463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CDCA</w:t>
            </w:r>
          </w:p>
        </w:tc>
        <w:tc>
          <w:tcPr>
            <w:tcW w:w="1995" w:type="dxa"/>
            <w:tcBorders>
              <w:top w:val="nil"/>
              <w:left w:val="nil"/>
              <w:bottom w:val="nil"/>
              <w:right w:val="nil"/>
            </w:tcBorders>
            <w:shd w:val="clear" w:color="auto" w:fill="auto"/>
            <w:noWrap/>
            <w:vAlign w:val="center"/>
          </w:tcPr>
          <w:p w14:paraId="2F4D472E"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391.28538</w:t>
            </w:r>
          </w:p>
        </w:tc>
        <w:tc>
          <w:tcPr>
            <w:tcW w:w="1427" w:type="dxa"/>
            <w:tcBorders>
              <w:top w:val="nil"/>
              <w:left w:val="nil"/>
              <w:bottom w:val="nil"/>
              <w:right w:val="nil"/>
            </w:tcBorders>
            <w:vAlign w:val="center"/>
          </w:tcPr>
          <w:p w14:paraId="42B08714"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-CDCA</w:t>
            </w:r>
          </w:p>
        </w:tc>
        <w:tc>
          <w:tcPr>
            <w:tcW w:w="1086" w:type="dxa"/>
            <w:tcBorders>
              <w:top w:val="nil"/>
              <w:left w:val="nil"/>
              <w:bottom w:val="nil"/>
              <w:right w:val="nil"/>
            </w:tcBorders>
            <w:vAlign w:val="center"/>
          </w:tcPr>
          <w:p w14:paraId="093ADC2A"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18.3</w:t>
            </w:r>
          </w:p>
        </w:tc>
      </w:tr>
      <w:tr w:rsidR="000F0F6A" w:rsidRPr="00F40B38" w14:paraId="027208AB" w14:textId="77777777" w:rsidTr="00AB0A7D">
        <w:trPr>
          <w:trHeight w:val="170"/>
          <w:jc w:val="center"/>
        </w:trPr>
        <w:tc>
          <w:tcPr>
            <w:tcW w:w="2863" w:type="dxa"/>
            <w:tcBorders>
              <w:top w:val="nil"/>
              <w:left w:val="nil"/>
              <w:bottom w:val="nil"/>
              <w:right w:val="nil"/>
            </w:tcBorders>
            <w:shd w:val="clear" w:color="auto" w:fill="auto"/>
            <w:noWrap/>
            <w:vAlign w:val="center"/>
          </w:tcPr>
          <w:p w14:paraId="1D76BCAA"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Deoxycholic acid</w:t>
            </w:r>
          </w:p>
        </w:tc>
        <w:tc>
          <w:tcPr>
            <w:tcW w:w="1376" w:type="dxa"/>
            <w:tcBorders>
              <w:top w:val="nil"/>
              <w:left w:val="nil"/>
              <w:bottom w:val="nil"/>
              <w:right w:val="nil"/>
            </w:tcBorders>
            <w:shd w:val="clear" w:color="auto" w:fill="auto"/>
            <w:noWrap/>
            <w:vAlign w:val="center"/>
          </w:tcPr>
          <w:p w14:paraId="6F3092A2"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DCA</w:t>
            </w:r>
          </w:p>
        </w:tc>
        <w:tc>
          <w:tcPr>
            <w:tcW w:w="1995" w:type="dxa"/>
            <w:tcBorders>
              <w:top w:val="nil"/>
              <w:left w:val="nil"/>
              <w:bottom w:val="nil"/>
              <w:right w:val="nil"/>
            </w:tcBorders>
            <w:shd w:val="clear" w:color="auto" w:fill="auto"/>
            <w:noWrap/>
            <w:vAlign w:val="center"/>
          </w:tcPr>
          <w:p w14:paraId="357638A1"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391.28538</w:t>
            </w:r>
          </w:p>
        </w:tc>
        <w:tc>
          <w:tcPr>
            <w:tcW w:w="1427" w:type="dxa"/>
            <w:tcBorders>
              <w:top w:val="nil"/>
              <w:left w:val="nil"/>
              <w:bottom w:val="nil"/>
              <w:right w:val="nil"/>
            </w:tcBorders>
            <w:vAlign w:val="center"/>
          </w:tcPr>
          <w:p w14:paraId="136741FF"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-DCA</w:t>
            </w:r>
          </w:p>
        </w:tc>
        <w:tc>
          <w:tcPr>
            <w:tcW w:w="1086" w:type="dxa"/>
            <w:tcBorders>
              <w:top w:val="nil"/>
              <w:left w:val="nil"/>
              <w:bottom w:val="nil"/>
              <w:right w:val="nil"/>
            </w:tcBorders>
            <w:vAlign w:val="center"/>
          </w:tcPr>
          <w:p w14:paraId="7B5B8E61"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18.5</w:t>
            </w:r>
          </w:p>
        </w:tc>
      </w:tr>
      <w:tr w:rsidR="000F0F6A" w:rsidRPr="00F40B38" w14:paraId="1BCB7CC3" w14:textId="77777777" w:rsidTr="00AB0A7D">
        <w:trPr>
          <w:trHeight w:val="170"/>
          <w:jc w:val="center"/>
        </w:trPr>
        <w:tc>
          <w:tcPr>
            <w:tcW w:w="2863" w:type="dxa"/>
            <w:tcBorders>
              <w:top w:val="nil"/>
              <w:left w:val="nil"/>
              <w:bottom w:val="nil"/>
              <w:right w:val="nil"/>
            </w:tcBorders>
            <w:shd w:val="clear" w:color="auto" w:fill="auto"/>
            <w:noWrap/>
            <w:vAlign w:val="center"/>
          </w:tcPr>
          <w:p w14:paraId="6BC32B1C"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Isodeoxycholic acid</w:t>
            </w:r>
          </w:p>
        </w:tc>
        <w:tc>
          <w:tcPr>
            <w:tcW w:w="1376" w:type="dxa"/>
            <w:tcBorders>
              <w:top w:val="nil"/>
              <w:left w:val="nil"/>
              <w:bottom w:val="nil"/>
              <w:right w:val="nil"/>
            </w:tcBorders>
            <w:shd w:val="clear" w:color="auto" w:fill="auto"/>
            <w:noWrap/>
            <w:vAlign w:val="center"/>
          </w:tcPr>
          <w:p w14:paraId="3959CAB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isoDCA</w:t>
            </w:r>
          </w:p>
        </w:tc>
        <w:tc>
          <w:tcPr>
            <w:tcW w:w="1995" w:type="dxa"/>
            <w:tcBorders>
              <w:top w:val="nil"/>
              <w:left w:val="nil"/>
              <w:bottom w:val="nil"/>
              <w:right w:val="nil"/>
            </w:tcBorders>
            <w:shd w:val="clear" w:color="auto" w:fill="auto"/>
            <w:noWrap/>
            <w:vAlign w:val="center"/>
          </w:tcPr>
          <w:p w14:paraId="44C26423"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391.28538</w:t>
            </w:r>
          </w:p>
        </w:tc>
        <w:tc>
          <w:tcPr>
            <w:tcW w:w="1427" w:type="dxa"/>
            <w:tcBorders>
              <w:top w:val="nil"/>
              <w:left w:val="nil"/>
              <w:bottom w:val="nil"/>
              <w:right w:val="nil"/>
            </w:tcBorders>
            <w:vAlign w:val="center"/>
          </w:tcPr>
          <w:p w14:paraId="7088592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-GDCA</w:t>
            </w:r>
          </w:p>
        </w:tc>
        <w:tc>
          <w:tcPr>
            <w:tcW w:w="1086" w:type="dxa"/>
            <w:tcBorders>
              <w:top w:val="nil"/>
              <w:left w:val="nil"/>
              <w:bottom w:val="nil"/>
              <w:right w:val="nil"/>
            </w:tcBorders>
            <w:vAlign w:val="center"/>
          </w:tcPr>
          <w:p w14:paraId="39D0D6C1"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19.7</w:t>
            </w:r>
          </w:p>
        </w:tc>
      </w:tr>
      <w:tr w:rsidR="000F0F6A" w:rsidRPr="00F40B38" w14:paraId="13E51C40" w14:textId="77777777" w:rsidTr="00AB0A7D">
        <w:trPr>
          <w:trHeight w:val="170"/>
          <w:jc w:val="center"/>
        </w:trPr>
        <w:tc>
          <w:tcPr>
            <w:tcW w:w="2863" w:type="dxa"/>
            <w:tcBorders>
              <w:top w:val="nil"/>
              <w:left w:val="nil"/>
              <w:bottom w:val="nil"/>
              <w:right w:val="nil"/>
            </w:tcBorders>
            <w:shd w:val="clear" w:color="auto" w:fill="auto"/>
            <w:noWrap/>
            <w:vAlign w:val="center"/>
          </w:tcPr>
          <w:p w14:paraId="687E05BA"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3-Oxocholic acid</w:t>
            </w:r>
          </w:p>
        </w:tc>
        <w:tc>
          <w:tcPr>
            <w:tcW w:w="1376" w:type="dxa"/>
            <w:tcBorders>
              <w:top w:val="nil"/>
              <w:left w:val="nil"/>
              <w:bottom w:val="nil"/>
              <w:right w:val="nil"/>
            </w:tcBorders>
            <w:shd w:val="clear" w:color="auto" w:fill="auto"/>
            <w:noWrap/>
            <w:vAlign w:val="center"/>
          </w:tcPr>
          <w:p w14:paraId="45AE95F3"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3Oxo-CA</w:t>
            </w:r>
          </w:p>
        </w:tc>
        <w:tc>
          <w:tcPr>
            <w:tcW w:w="1995" w:type="dxa"/>
            <w:tcBorders>
              <w:top w:val="nil"/>
              <w:left w:val="nil"/>
              <w:bottom w:val="nil"/>
              <w:right w:val="nil"/>
            </w:tcBorders>
            <w:shd w:val="clear" w:color="auto" w:fill="auto"/>
            <w:noWrap/>
            <w:vAlign w:val="center"/>
          </w:tcPr>
          <w:p w14:paraId="55BB5BE6"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405.26465</w:t>
            </w:r>
          </w:p>
        </w:tc>
        <w:tc>
          <w:tcPr>
            <w:tcW w:w="1427" w:type="dxa"/>
            <w:tcBorders>
              <w:top w:val="nil"/>
              <w:left w:val="nil"/>
              <w:bottom w:val="nil"/>
              <w:right w:val="nil"/>
            </w:tcBorders>
            <w:vAlign w:val="center"/>
          </w:tcPr>
          <w:p w14:paraId="0FC1717B"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-TCDCA</w:t>
            </w:r>
          </w:p>
        </w:tc>
        <w:tc>
          <w:tcPr>
            <w:tcW w:w="1086" w:type="dxa"/>
            <w:tcBorders>
              <w:top w:val="nil"/>
              <w:left w:val="nil"/>
              <w:bottom w:val="nil"/>
              <w:right w:val="nil"/>
            </w:tcBorders>
            <w:vAlign w:val="center"/>
          </w:tcPr>
          <w:p w14:paraId="0B2B36E1"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12.6</w:t>
            </w:r>
          </w:p>
        </w:tc>
      </w:tr>
      <w:tr w:rsidR="000F0F6A" w:rsidRPr="00F40B38" w14:paraId="70D745D9" w14:textId="77777777" w:rsidTr="00AB0A7D">
        <w:trPr>
          <w:trHeight w:val="170"/>
          <w:jc w:val="center"/>
        </w:trPr>
        <w:tc>
          <w:tcPr>
            <w:tcW w:w="2863" w:type="dxa"/>
            <w:tcBorders>
              <w:top w:val="nil"/>
              <w:left w:val="nil"/>
              <w:bottom w:val="nil"/>
              <w:right w:val="nil"/>
            </w:tcBorders>
            <w:shd w:val="clear" w:color="auto" w:fill="auto"/>
            <w:noWrap/>
            <w:vAlign w:val="center"/>
          </w:tcPr>
          <w:p w14:paraId="577973CD"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7-Ketodeoxycholic acid</w:t>
            </w:r>
          </w:p>
        </w:tc>
        <w:tc>
          <w:tcPr>
            <w:tcW w:w="1376" w:type="dxa"/>
            <w:tcBorders>
              <w:top w:val="nil"/>
              <w:left w:val="nil"/>
              <w:bottom w:val="nil"/>
              <w:right w:val="nil"/>
            </w:tcBorders>
            <w:shd w:val="clear" w:color="auto" w:fill="auto"/>
            <w:noWrap/>
            <w:vAlign w:val="center"/>
          </w:tcPr>
          <w:p w14:paraId="695C7449"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7Keto-DCA</w:t>
            </w:r>
          </w:p>
        </w:tc>
        <w:tc>
          <w:tcPr>
            <w:tcW w:w="1995" w:type="dxa"/>
            <w:tcBorders>
              <w:top w:val="nil"/>
              <w:left w:val="nil"/>
              <w:bottom w:val="nil"/>
              <w:right w:val="nil"/>
            </w:tcBorders>
            <w:shd w:val="clear" w:color="auto" w:fill="auto"/>
            <w:noWrap/>
            <w:vAlign w:val="center"/>
          </w:tcPr>
          <w:p w14:paraId="1AE5F52E"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405.26465</w:t>
            </w:r>
          </w:p>
        </w:tc>
        <w:tc>
          <w:tcPr>
            <w:tcW w:w="1427" w:type="dxa"/>
            <w:tcBorders>
              <w:top w:val="nil"/>
              <w:left w:val="nil"/>
              <w:bottom w:val="nil"/>
              <w:right w:val="nil"/>
            </w:tcBorders>
            <w:vAlign w:val="center"/>
          </w:tcPr>
          <w:p w14:paraId="02FBA554"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-GCA</w:t>
            </w:r>
          </w:p>
        </w:tc>
        <w:tc>
          <w:tcPr>
            <w:tcW w:w="1086" w:type="dxa"/>
            <w:tcBorders>
              <w:top w:val="nil"/>
              <w:left w:val="nil"/>
              <w:bottom w:val="nil"/>
              <w:right w:val="nil"/>
            </w:tcBorders>
            <w:vAlign w:val="center"/>
          </w:tcPr>
          <w:p w14:paraId="0B024329"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11.0</w:t>
            </w:r>
          </w:p>
        </w:tc>
      </w:tr>
      <w:tr w:rsidR="000F0F6A" w:rsidRPr="00F40B38" w14:paraId="21BA0162" w14:textId="77777777" w:rsidTr="00AB0A7D">
        <w:trPr>
          <w:trHeight w:val="170"/>
          <w:jc w:val="center"/>
        </w:trPr>
        <w:tc>
          <w:tcPr>
            <w:tcW w:w="2863" w:type="dxa"/>
            <w:tcBorders>
              <w:top w:val="nil"/>
              <w:left w:val="nil"/>
              <w:bottom w:val="nil"/>
              <w:right w:val="nil"/>
            </w:tcBorders>
            <w:shd w:val="clear" w:color="auto" w:fill="auto"/>
            <w:noWrap/>
            <w:vAlign w:val="center"/>
          </w:tcPr>
          <w:p w14:paraId="0D9F9162"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α-Muricholic acid</w:t>
            </w:r>
          </w:p>
        </w:tc>
        <w:tc>
          <w:tcPr>
            <w:tcW w:w="1376" w:type="dxa"/>
            <w:tcBorders>
              <w:top w:val="nil"/>
              <w:left w:val="nil"/>
              <w:bottom w:val="nil"/>
              <w:right w:val="nil"/>
            </w:tcBorders>
            <w:shd w:val="clear" w:color="auto" w:fill="auto"/>
            <w:noWrap/>
            <w:vAlign w:val="center"/>
          </w:tcPr>
          <w:p w14:paraId="3D991506"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bookmarkStart w:id="12" w:name="OLE_LINK175"/>
            <w:bookmarkStart w:id="13" w:name="OLE_LINK176"/>
            <w:r w:rsidRPr="00F40B38">
              <w:rPr>
                <w:rFonts w:ascii="Times New Roman" w:hAnsi="Times New Roman" w:cs="Times New Roman"/>
                <w:sz w:val="20"/>
                <w:szCs w:val="20"/>
              </w:rPr>
              <w:t>α-</w:t>
            </w:r>
            <w:bookmarkEnd w:id="12"/>
            <w:bookmarkEnd w:id="13"/>
            <w:r w:rsidRPr="00F40B38">
              <w:rPr>
                <w:rFonts w:ascii="Times New Roman" w:hAnsi="Times New Roman" w:cs="Times New Roman"/>
                <w:sz w:val="20"/>
                <w:szCs w:val="20"/>
              </w:rPr>
              <w:t>MCA</w:t>
            </w:r>
          </w:p>
        </w:tc>
        <w:tc>
          <w:tcPr>
            <w:tcW w:w="1995" w:type="dxa"/>
            <w:tcBorders>
              <w:top w:val="nil"/>
              <w:left w:val="nil"/>
              <w:bottom w:val="nil"/>
              <w:right w:val="nil"/>
            </w:tcBorders>
            <w:shd w:val="clear" w:color="auto" w:fill="auto"/>
            <w:noWrap/>
            <w:vAlign w:val="center"/>
          </w:tcPr>
          <w:p w14:paraId="34C85867"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407.28030</w:t>
            </w:r>
          </w:p>
        </w:tc>
        <w:tc>
          <w:tcPr>
            <w:tcW w:w="1427" w:type="dxa"/>
            <w:tcBorders>
              <w:top w:val="nil"/>
              <w:left w:val="nil"/>
              <w:bottom w:val="nil"/>
              <w:right w:val="nil"/>
            </w:tcBorders>
            <w:vAlign w:val="center"/>
          </w:tcPr>
          <w:p w14:paraId="04F43D5D"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-GCA</w:t>
            </w:r>
          </w:p>
        </w:tc>
        <w:tc>
          <w:tcPr>
            <w:tcW w:w="1086" w:type="dxa"/>
            <w:tcBorders>
              <w:top w:val="nil"/>
              <w:left w:val="nil"/>
              <w:bottom w:val="nil"/>
              <w:right w:val="nil"/>
            </w:tcBorders>
            <w:vAlign w:val="center"/>
          </w:tcPr>
          <w:p w14:paraId="28E2D960"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10.8</w:t>
            </w:r>
          </w:p>
        </w:tc>
      </w:tr>
      <w:tr w:rsidR="000F0F6A" w:rsidRPr="00F40B38" w14:paraId="611721A5" w14:textId="77777777" w:rsidTr="00AB0A7D">
        <w:trPr>
          <w:trHeight w:val="170"/>
          <w:jc w:val="center"/>
        </w:trPr>
        <w:tc>
          <w:tcPr>
            <w:tcW w:w="2863" w:type="dxa"/>
            <w:tcBorders>
              <w:top w:val="nil"/>
              <w:left w:val="nil"/>
              <w:bottom w:val="nil"/>
              <w:right w:val="nil"/>
            </w:tcBorders>
            <w:shd w:val="clear" w:color="auto" w:fill="auto"/>
            <w:noWrap/>
            <w:vAlign w:val="center"/>
          </w:tcPr>
          <w:p w14:paraId="77D3C75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β-Muricholic acid</w:t>
            </w:r>
          </w:p>
        </w:tc>
        <w:tc>
          <w:tcPr>
            <w:tcW w:w="1376" w:type="dxa"/>
            <w:tcBorders>
              <w:top w:val="nil"/>
              <w:left w:val="nil"/>
              <w:bottom w:val="nil"/>
              <w:right w:val="nil"/>
            </w:tcBorders>
            <w:shd w:val="clear" w:color="auto" w:fill="auto"/>
            <w:noWrap/>
            <w:vAlign w:val="center"/>
          </w:tcPr>
          <w:p w14:paraId="1293646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β-MCA</w:t>
            </w:r>
          </w:p>
        </w:tc>
        <w:tc>
          <w:tcPr>
            <w:tcW w:w="1995" w:type="dxa"/>
            <w:tcBorders>
              <w:top w:val="nil"/>
              <w:left w:val="nil"/>
              <w:bottom w:val="nil"/>
              <w:right w:val="nil"/>
            </w:tcBorders>
            <w:shd w:val="clear" w:color="auto" w:fill="auto"/>
            <w:noWrap/>
            <w:vAlign w:val="center"/>
          </w:tcPr>
          <w:p w14:paraId="3B7F400C"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407.28030</w:t>
            </w:r>
          </w:p>
        </w:tc>
        <w:tc>
          <w:tcPr>
            <w:tcW w:w="1427" w:type="dxa"/>
            <w:tcBorders>
              <w:top w:val="nil"/>
              <w:left w:val="nil"/>
              <w:bottom w:val="nil"/>
              <w:right w:val="nil"/>
            </w:tcBorders>
            <w:vAlign w:val="center"/>
          </w:tcPr>
          <w:p w14:paraId="1BC8DF8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-GCA</w:t>
            </w:r>
          </w:p>
        </w:tc>
        <w:tc>
          <w:tcPr>
            <w:tcW w:w="1086" w:type="dxa"/>
            <w:tcBorders>
              <w:top w:val="nil"/>
              <w:left w:val="nil"/>
              <w:bottom w:val="nil"/>
              <w:right w:val="nil"/>
            </w:tcBorders>
            <w:vAlign w:val="center"/>
          </w:tcPr>
          <w:p w14:paraId="04342FB7"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11.2</w:t>
            </w:r>
          </w:p>
        </w:tc>
      </w:tr>
      <w:tr w:rsidR="000F0F6A" w:rsidRPr="00F40B38" w14:paraId="14541863" w14:textId="77777777" w:rsidTr="00AB0A7D">
        <w:trPr>
          <w:trHeight w:val="170"/>
          <w:jc w:val="center"/>
        </w:trPr>
        <w:tc>
          <w:tcPr>
            <w:tcW w:w="2863" w:type="dxa"/>
            <w:tcBorders>
              <w:top w:val="nil"/>
              <w:left w:val="nil"/>
              <w:bottom w:val="nil"/>
              <w:right w:val="nil"/>
            </w:tcBorders>
            <w:shd w:val="clear" w:color="auto" w:fill="auto"/>
            <w:noWrap/>
            <w:vAlign w:val="center"/>
          </w:tcPr>
          <w:p w14:paraId="4F72B08D"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ω-Muricholic acid</w:t>
            </w:r>
          </w:p>
        </w:tc>
        <w:tc>
          <w:tcPr>
            <w:tcW w:w="1376" w:type="dxa"/>
            <w:tcBorders>
              <w:top w:val="nil"/>
              <w:left w:val="nil"/>
              <w:bottom w:val="nil"/>
              <w:right w:val="nil"/>
            </w:tcBorders>
            <w:shd w:val="clear" w:color="auto" w:fill="auto"/>
            <w:noWrap/>
            <w:vAlign w:val="center"/>
          </w:tcPr>
          <w:p w14:paraId="7DEBE37E"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ω-MCA</w:t>
            </w:r>
          </w:p>
        </w:tc>
        <w:tc>
          <w:tcPr>
            <w:tcW w:w="1995" w:type="dxa"/>
            <w:tcBorders>
              <w:top w:val="nil"/>
              <w:left w:val="nil"/>
              <w:bottom w:val="nil"/>
              <w:right w:val="nil"/>
            </w:tcBorders>
            <w:shd w:val="clear" w:color="auto" w:fill="auto"/>
            <w:noWrap/>
            <w:vAlign w:val="center"/>
          </w:tcPr>
          <w:p w14:paraId="5D83438B"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407.28030</w:t>
            </w:r>
          </w:p>
        </w:tc>
        <w:tc>
          <w:tcPr>
            <w:tcW w:w="1427" w:type="dxa"/>
            <w:tcBorders>
              <w:top w:val="nil"/>
              <w:left w:val="nil"/>
              <w:bottom w:val="nil"/>
              <w:right w:val="nil"/>
            </w:tcBorders>
            <w:vAlign w:val="center"/>
          </w:tcPr>
          <w:p w14:paraId="0FC3258F"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-GCA</w:t>
            </w:r>
          </w:p>
        </w:tc>
        <w:tc>
          <w:tcPr>
            <w:tcW w:w="1086" w:type="dxa"/>
            <w:tcBorders>
              <w:top w:val="nil"/>
              <w:left w:val="nil"/>
              <w:bottom w:val="nil"/>
              <w:right w:val="nil"/>
            </w:tcBorders>
            <w:vAlign w:val="center"/>
          </w:tcPr>
          <w:p w14:paraId="4C848E4E"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10.4</w:t>
            </w:r>
          </w:p>
        </w:tc>
      </w:tr>
      <w:tr w:rsidR="000F0F6A" w:rsidRPr="00F40B38" w14:paraId="06B466AC" w14:textId="77777777" w:rsidTr="00AB0A7D">
        <w:trPr>
          <w:trHeight w:val="170"/>
          <w:jc w:val="center"/>
        </w:trPr>
        <w:tc>
          <w:tcPr>
            <w:tcW w:w="2863" w:type="dxa"/>
            <w:tcBorders>
              <w:top w:val="nil"/>
              <w:left w:val="nil"/>
              <w:bottom w:val="nil"/>
              <w:right w:val="nil"/>
            </w:tcBorders>
            <w:shd w:val="clear" w:color="auto" w:fill="auto"/>
            <w:noWrap/>
            <w:vAlign w:val="center"/>
          </w:tcPr>
          <w:p w14:paraId="79383D77"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γ-Muricholic acid</w:t>
            </w:r>
          </w:p>
        </w:tc>
        <w:tc>
          <w:tcPr>
            <w:tcW w:w="1376" w:type="dxa"/>
            <w:tcBorders>
              <w:top w:val="nil"/>
              <w:left w:val="nil"/>
              <w:bottom w:val="nil"/>
              <w:right w:val="nil"/>
            </w:tcBorders>
            <w:shd w:val="clear" w:color="auto" w:fill="auto"/>
            <w:noWrap/>
            <w:vAlign w:val="center"/>
          </w:tcPr>
          <w:p w14:paraId="7D9B0493"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MCA</w:t>
            </w:r>
          </w:p>
        </w:tc>
        <w:tc>
          <w:tcPr>
            <w:tcW w:w="1995" w:type="dxa"/>
            <w:tcBorders>
              <w:top w:val="nil"/>
              <w:left w:val="nil"/>
              <w:bottom w:val="nil"/>
              <w:right w:val="nil"/>
            </w:tcBorders>
            <w:shd w:val="clear" w:color="auto" w:fill="auto"/>
            <w:noWrap/>
            <w:vAlign w:val="center"/>
          </w:tcPr>
          <w:p w14:paraId="3F0B6F77"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407.28030</w:t>
            </w:r>
          </w:p>
        </w:tc>
        <w:tc>
          <w:tcPr>
            <w:tcW w:w="1427" w:type="dxa"/>
            <w:tcBorders>
              <w:top w:val="nil"/>
              <w:left w:val="nil"/>
              <w:bottom w:val="nil"/>
              <w:right w:val="nil"/>
            </w:tcBorders>
            <w:vAlign w:val="center"/>
          </w:tcPr>
          <w:p w14:paraId="34C01002"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-GCA</w:t>
            </w:r>
          </w:p>
        </w:tc>
        <w:tc>
          <w:tcPr>
            <w:tcW w:w="1086" w:type="dxa"/>
            <w:tcBorders>
              <w:top w:val="nil"/>
              <w:left w:val="nil"/>
              <w:bottom w:val="nil"/>
              <w:right w:val="nil"/>
            </w:tcBorders>
            <w:vAlign w:val="center"/>
          </w:tcPr>
          <w:p w14:paraId="4732E62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11.8</w:t>
            </w:r>
          </w:p>
        </w:tc>
      </w:tr>
      <w:tr w:rsidR="000F0F6A" w:rsidRPr="00F40B38" w14:paraId="364C3824" w14:textId="77777777" w:rsidTr="00AB0A7D">
        <w:trPr>
          <w:trHeight w:val="170"/>
          <w:jc w:val="center"/>
        </w:trPr>
        <w:tc>
          <w:tcPr>
            <w:tcW w:w="2863" w:type="dxa"/>
            <w:tcBorders>
              <w:top w:val="nil"/>
              <w:left w:val="nil"/>
              <w:bottom w:val="nil"/>
              <w:right w:val="nil"/>
            </w:tcBorders>
            <w:shd w:val="clear" w:color="auto" w:fill="auto"/>
            <w:noWrap/>
            <w:vAlign w:val="center"/>
          </w:tcPr>
          <w:p w14:paraId="51D39BAA"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bookmarkStart w:id="14" w:name="OLE_LINK200"/>
            <w:bookmarkStart w:id="15" w:name="OLE_LINK201"/>
            <w:r w:rsidRPr="00F40B38">
              <w:rPr>
                <w:rFonts w:ascii="Times New Roman" w:hAnsi="Times New Roman" w:cs="Times New Roman"/>
                <w:sz w:val="20"/>
                <w:szCs w:val="20"/>
              </w:rPr>
              <w:t>Cholic acid</w:t>
            </w:r>
            <w:bookmarkEnd w:id="14"/>
            <w:bookmarkEnd w:id="15"/>
          </w:p>
        </w:tc>
        <w:tc>
          <w:tcPr>
            <w:tcW w:w="1376" w:type="dxa"/>
            <w:tcBorders>
              <w:top w:val="nil"/>
              <w:left w:val="nil"/>
              <w:bottom w:val="nil"/>
              <w:right w:val="nil"/>
            </w:tcBorders>
            <w:shd w:val="clear" w:color="auto" w:fill="auto"/>
            <w:noWrap/>
            <w:vAlign w:val="center"/>
          </w:tcPr>
          <w:p w14:paraId="3E07B807"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CA</w:t>
            </w:r>
          </w:p>
        </w:tc>
        <w:tc>
          <w:tcPr>
            <w:tcW w:w="1995" w:type="dxa"/>
            <w:tcBorders>
              <w:top w:val="nil"/>
              <w:left w:val="nil"/>
              <w:bottom w:val="nil"/>
              <w:right w:val="nil"/>
            </w:tcBorders>
            <w:shd w:val="clear" w:color="auto" w:fill="auto"/>
            <w:noWrap/>
            <w:vAlign w:val="center"/>
          </w:tcPr>
          <w:p w14:paraId="492BB444"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407.28030</w:t>
            </w:r>
          </w:p>
        </w:tc>
        <w:tc>
          <w:tcPr>
            <w:tcW w:w="1427" w:type="dxa"/>
            <w:tcBorders>
              <w:top w:val="nil"/>
              <w:left w:val="nil"/>
              <w:bottom w:val="nil"/>
              <w:right w:val="nil"/>
            </w:tcBorders>
            <w:vAlign w:val="center"/>
          </w:tcPr>
          <w:p w14:paraId="2CAF78BC"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-CA</w:t>
            </w:r>
          </w:p>
        </w:tc>
        <w:tc>
          <w:tcPr>
            <w:tcW w:w="1086" w:type="dxa"/>
            <w:tcBorders>
              <w:top w:val="nil"/>
              <w:left w:val="nil"/>
              <w:bottom w:val="nil"/>
              <w:right w:val="nil"/>
            </w:tcBorders>
            <w:vAlign w:val="center"/>
          </w:tcPr>
          <w:p w14:paraId="62B78A94"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12.6</w:t>
            </w:r>
          </w:p>
        </w:tc>
      </w:tr>
      <w:tr w:rsidR="000F0F6A" w:rsidRPr="00F40B38" w14:paraId="42548638" w14:textId="77777777" w:rsidTr="00AB0A7D">
        <w:trPr>
          <w:trHeight w:val="170"/>
          <w:jc w:val="center"/>
        </w:trPr>
        <w:tc>
          <w:tcPr>
            <w:tcW w:w="2863" w:type="dxa"/>
            <w:tcBorders>
              <w:top w:val="nil"/>
              <w:left w:val="nil"/>
              <w:bottom w:val="nil"/>
              <w:right w:val="nil"/>
            </w:tcBorders>
            <w:shd w:val="clear" w:color="auto" w:fill="auto"/>
            <w:noWrap/>
            <w:vAlign w:val="center"/>
          </w:tcPr>
          <w:p w14:paraId="251297E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Glycolithocholic acid</w:t>
            </w:r>
          </w:p>
        </w:tc>
        <w:tc>
          <w:tcPr>
            <w:tcW w:w="1376" w:type="dxa"/>
            <w:tcBorders>
              <w:top w:val="nil"/>
              <w:left w:val="nil"/>
              <w:bottom w:val="nil"/>
              <w:right w:val="nil"/>
            </w:tcBorders>
            <w:shd w:val="clear" w:color="auto" w:fill="auto"/>
            <w:noWrap/>
            <w:vAlign w:val="center"/>
          </w:tcPr>
          <w:p w14:paraId="5559E55C"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GLCA</w:t>
            </w:r>
          </w:p>
        </w:tc>
        <w:tc>
          <w:tcPr>
            <w:tcW w:w="1995" w:type="dxa"/>
            <w:tcBorders>
              <w:top w:val="nil"/>
              <w:left w:val="nil"/>
              <w:bottom w:val="nil"/>
              <w:right w:val="nil"/>
            </w:tcBorders>
            <w:shd w:val="clear" w:color="auto" w:fill="auto"/>
            <w:noWrap/>
            <w:vAlign w:val="center"/>
          </w:tcPr>
          <w:p w14:paraId="74C0EAF6"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432.31193</w:t>
            </w:r>
          </w:p>
        </w:tc>
        <w:tc>
          <w:tcPr>
            <w:tcW w:w="1427" w:type="dxa"/>
            <w:tcBorders>
              <w:top w:val="nil"/>
              <w:left w:val="nil"/>
              <w:bottom w:val="nil"/>
              <w:right w:val="nil"/>
            </w:tcBorders>
            <w:vAlign w:val="center"/>
          </w:tcPr>
          <w:p w14:paraId="2802D8D4"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-GDCA</w:t>
            </w:r>
          </w:p>
        </w:tc>
        <w:tc>
          <w:tcPr>
            <w:tcW w:w="1086" w:type="dxa"/>
            <w:tcBorders>
              <w:top w:val="nil"/>
              <w:left w:val="nil"/>
              <w:bottom w:val="nil"/>
              <w:right w:val="nil"/>
            </w:tcBorders>
            <w:vAlign w:val="center"/>
          </w:tcPr>
          <w:p w14:paraId="1045016E"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13.5</w:t>
            </w:r>
          </w:p>
        </w:tc>
      </w:tr>
      <w:tr w:rsidR="000F0F6A" w:rsidRPr="00F40B38" w14:paraId="26A57271" w14:textId="77777777" w:rsidTr="00AB0A7D">
        <w:trPr>
          <w:trHeight w:val="170"/>
          <w:jc w:val="center"/>
        </w:trPr>
        <w:tc>
          <w:tcPr>
            <w:tcW w:w="2863" w:type="dxa"/>
            <w:tcBorders>
              <w:top w:val="nil"/>
              <w:left w:val="nil"/>
              <w:bottom w:val="nil"/>
              <w:right w:val="nil"/>
            </w:tcBorders>
            <w:shd w:val="clear" w:color="auto" w:fill="auto"/>
            <w:noWrap/>
            <w:vAlign w:val="center"/>
          </w:tcPr>
          <w:p w14:paraId="3FADE11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bookmarkStart w:id="16" w:name="OLE_LINK209"/>
            <w:bookmarkStart w:id="17" w:name="OLE_LINK212"/>
            <w:r w:rsidRPr="00F40B38">
              <w:rPr>
                <w:rFonts w:ascii="Times New Roman" w:hAnsi="Times New Roman" w:cs="Times New Roman"/>
                <w:sz w:val="20"/>
                <w:szCs w:val="20"/>
              </w:rPr>
              <w:t>Glycoursodeoxycholic acid</w:t>
            </w:r>
            <w:bookmarkEnd w:id="16"/>
            <w:bookmarkEnd w:id="17"/>
          </w:p>
        </w:tc>
        <w:tc>
          <w:tcPr>
            <w:tcW w:w="1376" w:type="dxa"/>
            <w:tcBorders>
              <w:top w:val="nil"/>
              <w:left w:val="nil"/>
              <w:bottom w:val="nil"/>
              <w:right w:val="nil"/>
            </w:tcBorders>
            <w:shd w:val="clear" w:color="auto" w:fill="auto"/>
            <w:noWrap/>
            <w:vAlign w:val="center"/>
          </w:tcPr>
          <w:p w14:paraId="0CA12BE4"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GUDCA</w:t>
            </w:r>
          </w:p>
        </w:tc>
        <w:tc>
          <w:tcPr>
            <w:tcW w:w="1995" w:type="dxa"/>
            <w:tcBorders>
              <w:top w:val="nil"/>
              <w:left w:val="nil"/>
              <w:bottom w:val="nil"/>
              <w:right w:val="nil"/>
            </w:tcBorders>
            <w:shd w:val="clear" w:color="auto" w:fill="auto"/>
            <w:noWrap/>
            <w:vAlign w:val="center"/>
          </w:tcPr>
          <w:p w14:paraId="1E1D78F6"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448.30685</w:t>
            </w:r>
          </w:p>
        </w:tc>
        <w:tc>
          <w:tcPr>
            <w:tcW w:w="1427" w:type="dxa"/>
            <w:tcBorders>
              <w:top w:val="nil"/>
              <w:left w:val="nil"/>
              <w:bottom w:val="nil"/>
              <w:right w:val="nil"/>
            </w:tcBorders>
            <w:vAlign w:val="center"/>
          </w:tcPr>
          <w:p w14:paraId="6BB63282"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-GCA</w:t>
            </w:r>
          </w:p>
        </w:tc>
        <w:tc>
          <w:tcPr>
            <w:tcW w:w="1086" w:type="dxa"/>
            <w:tcBorders>
              <w:top w:val="nil"/>
              <w:left w:val="nil"/>
              <w:bottom w:val="nil"/>
              <w:right w:val="nil"/>
            </w:tcBorders>
            <w:vAlign w:val="center"/>
          </w:tcPr>
          <w:p w14:paraId="47BC877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10.2</w:t>
            </w:r>
          </w:p>
        </w:tc>
      </w:tr>
      <w:tr w:rsidR="000F0F6A" w:rsidRPr="00F40B38" w14:paraId="7B102036" w14:textId="77777777" w:rsidTr="00AB0A7D">
        <w:trPr>
          <w:trHeight w:val="170"/>
          <w:jc w:val="center"/>
        </w:trPr>
        <w:tc>
          <w:tcPr>
            <w:tcW w:w="2863" w:type="dxa"/>
            <w:tcBorders>
              <w:top w:val="nil"/>
              <w:left w:val="nil"/>
              <w:bottom w:val="nil"/>
              <w:right w:val="nil"/>
            </w:tcBorders>
            <w:shd w:val="clear" w:color="auto" w:fill="auto"/>
            <w:noWrap/>
            <w:vAlign w:val="center"/>
          </w:tcPr>
          <w:p w14:paraId="342411D9"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Glycohyodeoxycholic acid</w:t>
            </w:r>
          </w:p>
        </w:tc>
        <w:tc>
          <w:tcPr>
            <w:tcW w:w="1376" w:type="dxa"/>
            <w:tcBorders>
              <w:top w:val="nil"/>
              <w:left w:val="nil"/>
              <w:bottom w:val="nil"/>
              <w:right w:val="nil"/>
            </w:tcBorders>
            <w:shd w:val="clear" w:color="auto" w:fill="auto"/>
            <w:noWrap/>
            <w:vAlign w:val="center"/>
          </w:tcPr>
          <w:p w14:paraId="66CD7F8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GHDCA</w:t>
            </w:r>
          </w:p>
        </w:tc>
        <w:tc>
          <w:tcPr>
            <w:tcW w:w="1995" w:type="dxa"/>
            <w:tcBorders>
              <w:top w:val="nil"/>
              <w:left w:val="nil"/>
              <w:bottom w:val="nil"/>
              <w:right w:val="nil"/>
            </w:tcBorders>
            <w:shd w:val="clear" w:color="auto" w:fill="auto"/>
            <w:noWrap/>
            <w:vAlign w:val="center"/>
          </w:tcPr>
          <w:p w14:paraId="74A26C1B"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448.30685</w:t>
            </w:r>
          </w:p>
        </w:tc>
        <w:tc>
          <w:tcPr>
            <w:tcW w:w="1427" w:type="dxa"/>
            <w:tcBorders>
              <w:top w:val="nil"/>
              <w:left w:val="nil"/>
              <w:bottom w:val="nil"/>
              <w:right w:val="nil"/>
            </w:tcBorders>
            <w:vAlign w:val="center"/>
          </w:tcPr>
          <w:p w14:paraId="161A30A3"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-CA</w:t>
            </w:r>
          </w:p>
        </w:tc>
        <w:tc>
          <w:tcPr>
            <w:tcW w:w="1086" w:type="dxa"/>
            <w:tcBorders>
              <w:top w:val="nil"/>
              <w:left w:val="nil"/>
              <w:bottom w:val="nil"/>
              <w:right w:val="nil"/>
            </w:tcBorders>
            <w:vAlign w:val="center"/>
          </w:tcPr>
          <w:p w14:paraId="05C89531"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10.6</w:t>
            </w:r>
          </w:p>
        </w:tc>
      </w:tr>
      <w:tr w:rsidR="000F0F6A" w:rsidRPr="00F40B38" w14:paraId="07D809AF" w14:textId="77777777" w:rsidTr="00AB0A7D">
        <w:trPr>
          <w:trHeight w:val="170"/>
          <w:jc w:val="center"/>
        </w:trPr>
        <w:tc>
          <w:tcPr>
            <w:tcW w:w="2863" w:type="dxa"/>
            <w:tcBorders>
              <w:top w:val="nil"/>
              <w:left w:val="nil"/>
              <w:bottom w:val="nil"/>
              <w:right w:val="nil"/>
            </w:tcBorders>
            <w:shd w:val="clear" w:color="auto" w:fill="auto"/>
            <w:noWrap/>
            <w:vAlign w:val="center"/>
          </w:tcPr>
          <w:p w14:paraId="34B0A64A"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Glycochenodeoxycholic acid</w:t>
            </w:r>
          </w:p>
        </w:tc>
        <w:tc>
          <w:tcPr>
            <w:tcW w:w="1376" w:type="dxa"/>
            <w:tcBorders>
              <w:top w:val="nil"/>
              <w:left w:val="nil"/>
              <w:bottom w:val="nil"/>
              <w:right w:val="nil"/>
            </w:tcBorders>
            <w:shd w:val="clear" w:color="auto" w:fill="auto"/>
            <w:noWrap/>
            <w:vAlign w:val="center"/>
          </w:tcPr>
          <w:p w14:paraId="77E8234C"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GCDCA</w:t>
            </w:r>
          </w:p>
        </w:tc>
        <w:tc>
          <w:tcPr>
            <w:tcW w:w="1995" w:type="dxa"/>
            <w:tcBorders>
              <w:top w:val="nil"/>
              <w:left w:val="nil"/>
              <w:bottom w:val="nil"/>
              <w:right w:val="nil"/>
            </w:tcBorders>
            <w:shd w:val="clear" w:color="auto" w:fill="auto"/>
            <w:noWrap/>
            <w:vAlign w:val="center"/>
          </w:tcPr>
          <w:p w14:paraId="1F9F0037"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448.30685</w:t>
            </w:r>
          </w:p>
        </w:tc>
        <w:tc>
          <w:tcPr>
            <w:tcW w:w="1427" w:type="dxa"/>
            <w:tcBorders>
              <w:top w:val="nil"/>
              <w:left w:val="nil"/>
              <w:bottom w:val="nil"/>
              <w:right w:val="nil"/>
            </w:tcBorders>
            <w:vAlign w:val="center"/>
          </w:tcPr>
          <w:p w14:paraId="31D7FD2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-GCDCA</w:t>
            </w:r>
          </w:p>
        </w:tc>
        <w:tc>
          <w:tcPr>
            <w:tcW w:w="1086" w:type="dxa"/>
            <w:tcBorders>
              <w:top w:val="nil"/>
              <w:left w:val="nil"/>
              <w:bottom w:val="nil"/>
              <w:right w:val="nil"/>
            </w:tcBorders>
            <w:vAlign w:val="center"/>
          </w:tcPr>
          <w:p w14:paraId="46175300"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12.9</w:t>
            </w:r>
          </w:p>
        </w:tc>
      </w:tr>
      <w:tr w:rsidR="000F0F6A" w:rsidRPr="00F40B38" w14:paraId="6FDD5F77" w14:textId="77777777" w:rsidTr="00AB0A7D">
        <w:trPr>
          <w:trHeight w:val="170"/>
          <w:jc w:val="center"/>
        </w:trPr>
        <w:tc>
          <w:tcPr>
            <w:tcW w:w="2863" w:type="dxa"/>
            <w:tcBorders>
              <w:top w:val="nil"/>
              <w:left w:val="nil"/>
              <w:bottom w:val="nil"/>
              <w:right w:val="nil"/>
            </w:tcBorders>
            <w:shd w:val="clear" w:color="auto" w:fill="auto"/>
            <w:noWrap/>
            <w:vAlign w:val="center"/>
          </w:tcPr>
          <w:p w14:paraId="05F83A8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Glycocholic acid</w:t>
            </w:r>
          </w:p>
        </w:tc>
        <w:tc>
          <w:tcPr>
            <w:tcW w:w="1376" w:type="dxa"/>
            <w:tcBorders>
              <w:top w:val="nil"/>
              <w:left w:val="nil"/>
              <w:bottom w:val="nil"/>
              <w:right w:val="nil"/>
            </w:tcBorders>
            <w:shd w:val="clear" w:color="auto" w:fill="auto"/>
            <w:noWrap/>
            <w:vAlign w:val="center"/>
          </w:tcPr>
          <w:p w14:paraId="1EE9BFC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GCA</w:t>
            </w:r>
          </w:p>
        </w:tc>
        <w:tc>
          <w:tcPr>
            <w:tcW w:w="1995" w:type="dxa"/>
            <w:tcBorders>
              <w:top w:val="nil"/>
              <w:left w:val="nil"/>
              <w:bottom w:val="nil"/>
              <w:right w:val="nil"/>
            </w:tcBorders>
            <w:shd w:val="clear" w:color="auto" w:fill="auto"/>
            <w:noWrap/>
            <w:vAlign w:val="center"/>
          </w:tcPr>
          <w:p w14:paraId="086F2FBB"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464.30176</w:t>
            </w:r>
          </w:p>
        </w:tc>
        <w:tc>
          <w:tcPr>
            <w:tcW w:w="1427" w:type="dxa"/>
            <w:tcBorders>
              <w:top w:val="nil"/>
              <w:left w:val="nil"/>
              <w:bottom w:val="nil"/>
              <w:right w:val="nil"/>
            </w:tcBorders>
            <w:vAlign w:val="center"/>
          </w:tcPr>
          <w:p w14:paraId="2C86C4C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-GCA</w:t>
            </w:r>
          </w:p>
        </w:tc>
        <w:tc>
          <w:tcPr>
            <w:tcW w:w="1086" w:type="dxa"/>
            <w:tcBorders>
              <w:top w:val="nil"/>
              <w:left w:val="nil"/>
              <w:bottom w:val="nil"/>
              <w:right w:val="nil"/>
            </w:tcBorders>
            <w:vAlign w:val="center"/>
          </w:tcPr>
          <w:p w14:paraId="49377702"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10.3</w:t>
            </w:r>
          </w:p>
        </w:tc>
      </w:tr>
      <w:tr w:rsidR="000F0F6A" w:rsidRPr="00F40B38" w14:paraId="4B0909D2" w14:textId="77777777" w:rsidTr="00AB0A7D">
        <w:trPr>
          <w:trHeight w:val="170"/>
          <w:jc w:val="center"/>
        </w:trPr>
        <w:tc>
          <w:tcPr>
            <w:tcW w:w="2863" w:type="dxa"/>
            <w:tcBorders>
              <w:top w:val="nil"/>
              <w:left w:val="nil"/>
              <w:bottom w:val="nil"/>
              <w:right w:val="nil"/>
            </w:tcBorders>
            <w:shd w:val="clear" w:color="auto" w:fill="auto"/>
            <w:noWrap/>
            <w:vAlign w:val="center"/>
          </w:tcPr>
          <w:p w14:paraId="1AA44CF9"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Taurolithocholic acid</w:t>
            </w:r>
          </w:p>
        </w:tc>
        <w:tc>
          <w:tcPr>
            <w:tcW w:w="1376" w:type="dxa"/>
            <w:tcBorders>
              <w:top w:val="nil"/>
              <w:left w:val="nil"/>
              <w:bottom w:val="nil"/>
              <w:right w:val="nil"/>
            </w:tcBorders>
            <w:shd w:val="clear" w:color="auto" w:fill="auto"/>
            <w:noWrap/>
            <w:vAlign w:val="center"/>
          </w:tcPr>
          <w:p w14:paraId="2C299FEF"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TLCA</w:t>
            </w:r>
          </w:p>
        </w:tc>
        <w:tc>
          <w:tcPr>
            <w:tcW w:w="1995" w:type="dxa"/>
            <w:tcBorders>
              <w:top w:val="nil"/>
              <w:left w:val="nil"/>
              <w:bottom w:val="nil"/>
              <w:right w:val="nil"/>
            </w:tcBorders>
            <w:shd w:val="clear" w:color="auto" w:fill="auto"/>
            <w:noWrap/>
            <w:vAlign w:val="center"/>
          </w:tcPr>
          <w:p w14:paraId="53E9657F"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482.29457</w:t>
            </w:r>
          </w:p>
        </w:tc>
        <w:tc>
          <w:tcPr>
            <w:tcW w:w="1427" w:type="dxa"/>
            <w:tcBorders>
              <w:top w:val="nil"/>
              <w:left w:val="nil"/>
              <w:bottom w:val="nil"/>
              <w:right w:val="nil"/>
            </w:tcBorders>
            <w:vAlign w:val="center"/>
          </w:tcPr>
          <w:p w14:paraId="3BE79287"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5</w:t>
            </w:r>
            <w:r w:rsidRPr="00F40B38">
              <w:rPr>
                <w:rFonts w:ascii="Times New Roman" w:hAnsi="Times New Roman" w:cs="Times New Roman"/>
                <w:sz w:val="20"/>
                <w:szCs w:val="20"/>
              </w:rPr>
              <w:t>-TLCA</w:t>
            </w:r>
          </w:p>
        </w:tc>
        <w:tc>
          <w:tcPr>
            <w:tcW w:w="1086" w:type="dxa"/>
            <w:tcBorders>
              <w:top w:val="nil"/>
              <w:left w:val="nil"/>
              <w:bottom w:val="nil"/>
              <w:right w:val="nil"/>
            </w:tcBorders>
            <w:vAlign w:val="center"/>
          </w:tcPr>
          <w:p w14:paraId="3DED134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13.0</w:t>
            </w:r>
          </w:p>
        </w:tc>
      </w:tr>
      <w:tr w:rsidR="000F0F6A" w:rsidRPr="00F40B38" w14:paraId="4B6DC0DD" w14:textId="77777777" w:rsidTr="00AB0A7D">
        <w:trPr>
          <w:trHeight w:val="170"/>
          <w:jc w:val="center"/>
        </w:trPr>
        <w:tc>
          <w:tcPr>
            <w:tcW w:w="2863" w:type="dxa"/>
            <w:tcBorders>
              <w:top w:val="nil"/>
              <w:left w:val="nil"/>
              <w:bottom w:val="nil"/>
              <w:right w:val="nil"/>
            </w:tcBorders>
            <w:shd w:val="clear" w:color="auto" w:fill="auto"/>
            <w:noWrap/>
            <w:vAlign w:val="center"/>
          </w:tcPr>
          <w:p w14:paraId="34CA8944"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Tauroursodeoxycholic acid</w:t>
            </w:r>
          </w:p>
        </w:tc>
        <w:tc>
          <w:tcPr>
            <w:tcW w:w="1376" w:type="dxa"/>
            <w:tcBorders>
              <w:top w:val="nil"/>
              <w:left w:val="nil"/>
              <w:bottom w:val="nil"/>
              <w:right w:val="nil"/>
            </w:tcBorders>
            <w:shd w:val="clear" w:color="auto" w:fill="auto"/>
            <w:noWrap/>
            <w:vAlign w:val="center"/>
          </w:tcPr>
          <w:p w14:paraId="5900D696"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TUDCA</w:t>
            </w:r>
          </w:p>
        </w:tc>
        <w:tc>
          <w:tcPr>
            <w:tcW w:w="1995" w:type="dxa"/>
            <w:tcBorders>
              <w:top w:val="nil"/>
              <w:left w:val="nil"/>
              <w:bottom w:val="nil"/>
              <w:right w:val="nil"/>
            </w:tcBorders>
            <w:shd w:val="clear" w:color="auto" w:fill="auto"/>
            <w:noWrap/>
            <w:vAlign w:val="center"/>
          </w:tcPr>
          <w:p w14:paraId="10350D04"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498.28948</w:t>
            </w:r>
          </w:p>
        </w:tc>
        <w:tc>
          <w:tcPr>
            <w:tcW w:w="1427" w:type="dxa"/>
            <w:tcBorders>
              <w:top w:val="nil"/>
              <w:left w:val="nil"/>
              <w:bottom w:val="nil"/>
              <w:right w:val="nil"/>
            </w:tcBorders>
            <w:vAlign w:val="center"/>
          </w:tcPr>
          <w:p w14:paraId="5E4101BB"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-TCA</w:t>
            </w:r>
          </w:p>
        </w:tc>
        <w:tc>
          <w:tcPr>
            <w:tcW w:w="1086" w:type="dxa"/>
            <w:tcBorders>
              <w:top w:val="nil"/>
              <w:left w:val="nil"/>
              <w:bottom w:val="nil"/>
              <w:right w:val="nil"/>
            </w:tcBorders>
            <w:vAlign w:val="center"/>
          </w:tcPr>
          <w:p w14:paraId="7EEC545F"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5.1</w:t>
            </w:r>
          </w:p>
        </w:tc>
      </w:tr>
      <w:tr w:rsidR="000F0F6A" w:rsidRPr="00F40B38" w14:paraId="67C80D12" w14:textId="77777777" w:rsidTr="00AB0A7D">
        <w:trPr>
          <w:trHeight w:val="170"/>
          <w:jc w:val="center"/>
        </w:trPr>
        <w:tc>
          <w:tcPr>
            <w:tcW w:w="2863" w:type="dxa"/>
            <w:tcBorders>
              <w:top w:val="nil"/>
              <w:left w:val="nil"/>
              <w:bottom w:val="nil"/>
              <w:right w:val="nil"/>
            </w:tcBorders>
            <w:shd w:val="clear" w:color="auto" w:fill="auto"/>
            <w:noWrap/>
            <w:vAlign w:val="center"/>
          </w:tcPr>
          <w:p w14:paraId="4C8CBDF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Taurohyodeoxycholic acid</w:t>
            </w:r>
          </w:p>
        </w:tc>
        <w:tc>
          <w:tcPr>
            <w:tcW w:w="1376" w:type="dxa"/>
            <w:tcBorders>
              <w:top w:val="nil"/>
              <w:left w:val="nil"/>
              <w:bottom w:val="nil"/>
              <w:right w:val="nil"/>
            </w:tcBorders>
            <w:shd w:val="clear" w:color="auto" w:fill="auto"/>
            <w:noWrap/>
            <w:vAlign w:val="center"/>
          </w:tcPr>
          <w:p w14:paraId="4E60AB3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THDCA</w:t>
            </w:r>
          </w:p>
        </w:tc>
        <w:tc>
          <w:tcPr>
            <w:tcW w:w="1995" w:type="dxa"/>
            <w:tcBorders>
              <w:top w:val="nil"/>
              <w:left w:val="nil"/>
              <w:bottom w:val="nil"/>
              <w:right w:val="nil"/>
            </w:tcBorders>
            <w:shd w:val="clear" w:color="auto" w:fill="auto"/>
            <w:noWrap/>
            <w:vAlign w:val="center"/>
          </w:tcPr>
          <w:p w14:paraId="6D95017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498.28948</w:t>
            </w:r>
          </w:p>
        </w:tc>
        <w:tc>
          <w:tcPr>
            <w:tcW w:w="1427" w:type="dxa"/>
            <w:tcBorders>
              <w:top w:val="nil"/>
              <w:left w:val="nil"/>
              <w:bottom w:val="nil"/>
              <w:right w:val="nil"/>
            </w:tcBorders>
            <w:vAlign w:val="center"/>
          </w:tcPr>
          <w:p w14:paraId="0866440B"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-TCDCA</w:t>
            </w:r>
          </w:p>
        </w:tc>
        <w:tc>
          <w:tcPr>
            <w:tcW w:w="1086" w:type="dxa"/>
            <w:tcBorders>
              <w:top w:val="nil"/>
              <w:left w:val="nil"/>
              <w:bottom w:val="nil"/>
              <w:right w:val="nil"/>
            </w:tcBorders>
            <w:vAlign w:val="center"/>
          </w:tcPr>
          <w:p w14:paraId="564D1FC1"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5.5</w:t>
            </w:r>
          </w:p>
        </w:tc>
      </w:tr>
      <w:tr w:rsidR="000F0F6A" w:rsidRPr="00F40B38" w14:paraId="7D13EED2" w14:textId="77777777" w:rsidTr="00AB0A7D">
        <w:trPr>
          <w:trHeight w:val="170"/>
          <w:jc w:val="center"/>
        </w:trPr>
        <w:tc>
          <w:tcPr>
            <w:tcW w:w="2863" w:type="dxa"/>
            <w:tcBorders>
              <w:top w:val="nil"/>
              <w:left w:val="nil"/>
              <w:bottom w:val="nil"/>
              <w:right w:val="nil"/>
            </w:tcBorders>
            <w:shd w:val="clear" w:color="auto" w:fill="auto"/>
            <w:noWrap/>
            <w:vAlign w:val="center"/>
          </w:tcPr>
          <w:p w14:paraId="00AA6334"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Taurochenodeoxycholic acid</w:t>
            </w:r>
          </w:p>
        </w:tc>
        <w:tc>
          <w:tcPr>
            <w:tcW w:w="1376" w:type="dxa"/>
            <w:tcBorders>
              <w:top w:val="nil"/>
              <w:left w:val="nil"/>
              <w:bottom w:val="nil"/>
              <w:right w:val="nil"/>
            </w:tcBorders>
            <w:shd w:val="clear" w:color="auto" w:fill="auto"/>
            <w:noWrap/>
            <w:vAlign w:val="center"/>
          </w:tcPr>
          <w:p w14:paraId="23AC7871"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TCDCA</w:t>
            </w:r>
          </w:p>
        </w:tc>
        <w:tc>
          <w:tcPr>
            <w:tcW w:w="1995" w:type="dxa"/>
            <w:tcBorders>
              <w:top w:val="nil"/>
              <w:left w:val="nil"/>
              <w:bottom w:val="nil"/>
              <w:right w:val="nil"/>
            </w:tcBorders>
            <w:shd w:val="clear" w:color="auto" w:fill="auto"/>
            <w:noWrap/>
            <w:vAlign w:val="center"/>
          </w:tcPr>
          <w:p w14:paraId="2A95438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498.28948</w:t>
            </w:r>
          </w:p>
        </w:tc>
        <w:tc>
          <w:tcPr>
            <w:tcW w:w="1427" w:type="dxa"/>
            <w:tcBorders>
              <w:top w:val="nil"/>
              <w:left w:val="nil"/>
              <w:bottom w:val="nil"/>
              <w:right w:val="nil"/>
            </w:tcBorders>
            <w:vAlign w:val="center"/>
          </w:tcPr>
          <w:p w14:paraId="3B4C1AB3"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-TCDCA</w:t>
            </w:r>
          </w:p>
        </w:tc>
        <w:tc>
          <w:tcPr>
            <w:tcW w:w="1086" w:type="dxa"/>
            <w:tcBorders>
              <w:top w:val="nil"/>
              <w:left w:val="nil"/>
              <w:bottom w:val="nil"/>
              <w:right w:val="nil"/>
            </w:tcBorders>
            <w:vAlign w:val="center"/>
          </w:tcPr>
          <w:p w14:paraId="71A90AE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10.6</w:t>
            </w:r>
          </w:p>
        </w:tc>
      </w:tr>
      <w:tr w:rsidR="000F0F6A" w:rsidRPr="00F40B38" w14:paraId="6AB65F05" w14:textId="77777777" w:rsidTr="00AB0A7D">
        <w:trPr>
          <w:trHeight w:val="170"/>
          <w:jc w:val="center"/>
        </w:trPr>
        <w:tc>
          <w:tcPr>
            <w:tcW w:w="2863" w:type="dxa"/>
            <w:tcBorders>
              <w:top w:val="nil"/>
              <w:left w:val="nil"/>
              <w:bottom w:val="nil"/>
              <w:right w:val="nil"/>
            </w:tcBorders>
            <w:shd w:val="clear" w:color="auto" w:fill="auto"/>
            <w:noWrap/>
            <w:vAlign w:val="center"/>
          </w:tcPr>
          <w:p w14:paraId="00BDE36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Taurodeoxycholic acid</w:t>
            </w:r>
          </w:p>
        </w:tc>
        <w:tc>
          <w:tcPr>
            <w:tcW w:w="1376" w:type="dxa"/>
            <w:tcBorders>
              <w:top w:val="nil"/>
              <w:left w:val="nil"/>
              <w:bottom w:val="nil"/>
              <w:right w:val="nil"/>
            </w:tcBorders>
            <w:shd w:val="clear" w:color="auto" w:fill="auto"/>
            <w:noWrap/>
            <w:vAlign w:val="center"/>
          </w:tcPr>
          <w:p w14:paraId="0FC9BCAA"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TDCA</w:t>
            </w:r>
          </w:p>
        </w:tc>
        <w:tc>
          <w:tcPr>
            <w:tcW w:w="1995" w:type="dxa"/>
            <w:tcBorders>
              <w:top w:val="nil"/>
              <w:left w:val="nil"/>
              <w:bottom w:val="nil"/>
              <w:right w:val="nil"/>
            </w:tcBorders>
            <w:shd w:val="clear" w:color="auto" w:fill="auto"/>
            <w:noWrap/>
            <w:vAlign w:val="center"/>
          </w:tcPr>
          <w:p w14:paraId="49577BDB"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498.28948</w:t>
            </w:r>
          </w:p>
        </w:tc>
        <w:tc>
          <w:tcPr>
            <w:tcW w:w="1427" w:type="dxa"/>
            <w:tcBorders>
              <w:top w:val="nil"/>
              <w:left w:val="nil"/>
              <w:bottom w:val="nil"/>
              <w:right w:val="nil"/>
            </w:tcBorders>
            <w:vAlign w:val="center"/>
          </w:tcPr>
          <w:p w14:paraId="3C376B72"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5</w:t>
            </w:r>
            <w:r w:rsidRPr="00F40B38">
              <w:rPr>
                <w:rFonts w:ascii="Times New Roman" w:hAnsi="Times New Roman" w:cs="Times New Roman"/>
                <w:sz w:val="20"/>
                <w:szCs w:val="20"/>
              </w:rPr>
              <w:t>-TDCA</w:t>
            </w:r>
          </w:p>
        </w:tc>
        <w:tc>
          <w:tcPr>
            <w:tcW w:w="1086" w:type="dxa"/>
            <w:tcBorders>
              <w:top w:val="nil"/>
              <w:left w:val="nil"/>
              <w:bottom w:val="nil"/>
              <w:right w:val="nil"/>
            </w:tcBorders>
            <w:vAlign w:val="center"/>
          </w:tcPr>
          <w:p w14:paraId="3521BF5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10.9</w:t>
            </w:r>
          </w:p>
        </w:tc>
      </w:tr>
      <w:tr w:rsidR="000F0F6A" w:rsidRPr="00F40B38" w14:paraId="57F90C3E" w14:textId="77777777" w:rsidTr="00AB0A7D">
        <w:trPr>
          <w:trHeight w:val="170"/>
          <w:jc w:val="center"/>
        </w:trPr>
        <w:tc>
          <w:tcPr>
            <w:tcW w:w="2863" w:type="dxa"/>
            <w:tcBorders>
              <w:top w:val="nil"/>
              <w:left w:val="nil"/>
              <w:bottom w:val="nil"/>
              <w:right w:val="nil"/>
            </w:tcBorders>
            <w:shd w:val="clear" w:color="auto" w:fill="auto"/>
            <w:noWrap/>
            <w:vAlign w:val="center"/>
          </w:tcPr>
          <w:p w14:paraId="71682AAA"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Tauro-</w:t>
            </w:r>
            <w:r w:rsidRPr="00F40B38">
              <w:rPr>
                <w:rFonts w:ascii="Times New Roman" w:hAnsi="Times New Roman" w:cs="Times New Roman"/>
                <w:sz w:val="20"/>
                <w:szCs w:val="20"/>
              </w:rPr>
              <w:sym w:font="Symbol" w:char="F061"/>
            </w:r>
            <w:r w:rsidRPr="00F40B38">
              <w:rPr>
                <w:rFonts w:ascii="Times New Roman" w:hAnsi="Times New Roman" w:cs="Times New Roman"/>
                <w:sz w:val="20"/>
                <w:szCs w:val="20"/>
              </w:rPr>
              <w:t>-muricholic acid</w:t>
            </w:r>
          </w:p>
        </w:tc>
        <w:tc>
          <w:tcPr>
            <w:tcW w:w="1376" w:type="dxa"/>
            <w:tcBorders>
              <w:top w:val="nil"/>
              <w:left w:val="nil"/>
              <w:bottom w:val="nil"/>
              <w:right w:val="nil"/>
            </w:tcBorders>
            <w:shd w:val="clear" w:color="auto" w:fill="auto"/>
            <w:noWrap/>
            <w:vAlign w:val="center"/>
          </w:tcPr>
          <w:p w14:paraId="4439B285"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TαMCA</w:t>
            </w:r>
          </w:p>
        </w:tc>
        <w:tc>
          <w:tcPr>
            <w:tcW w:w="1995" w:type="dxa"/>
            <w:tcBorders>
              <w:top w:val="nil"/>
              <w:left w:val="nil"/>
              <w:bottom w:val="nil"/>
              <w:right w:val="nil"/>
            </w:tcBorders>
            <w:shd w:val="clear" w:color="auto" w:fill="auto"/>
            <w:noWrap/>
            <w:vAlign w:val="center"/>
          </w:tcPr>
          <w:p w14:paraId="74826E6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514.28440</w:t>
            </w:r>
          </w:p>
        </w:tc>
        <w:tc>
          <w:tcPr>
            <w:tcW w:w="1427" w:type="dxa"/>
            <w:tcBorders>
              <w:top w:val="nil"/>
              <w:left w:val="nil"/>
              <w:bottom w:val="nil"/>
              <w:right w:val="nil"/>
            </w:tcBorders>
            <w:vAlign w:val="center"/>
          </w:tcPr>
          <w:p w14:paraId="4AD280AB"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-TαMCA</w:t>
            </w:r>
          </w:p>
        </w:tc>
        <w:tc>
          <w:tcPr>
            <w:tcW w:w="1086" w:type="dxa"/>
            <w:tcBorders>
              <w:top w:val="nil"/>
              <w:left w:val="nil"/>
              <w:bottom w:val="nil"/>
              <w:right w:val="nil"/>
            </w:tcBorders>
            <w:vAlign w:val="center"/>
          </w:tcPr>
          <w:p w14:paraId="089F07C0"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2.1</w:t>
            </w:r>
          </w:p>
        </w:tc>
      </w:tr>
      <w:tr w:rsidR="000F0F6A" w:rsidRPr="00F40B38" w14:paraId="7261E282" w14:textId="77777777" w:rsidTr="00AB0A7D">
        <w:trPr>
          <w:trHeight w:val="170"/>
          <w:jc w:val="center"/>
        </w:trPr>
        <w:tc>
          <w:tcPr>
            <w:tcW w:w="2863" w:type="dxa"/>
            <w:tcBorders>
              <w:top w:val="nil"/>
              <w:left w:val="nil"/>
              <w:bottom w:val="nil"/>
              <w:right w:val="nil"/>
            </w:tcBorders>
            <w:shd w:val="clear" w:color="auto" w:fill="auto"/>
            <w:noWrap/>
            <w:vAlign w:val="center"/>
          </w:tcPr>
          <w:p w14:paraId="085788E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lastRenderedPageBreak/>
              <w:t>Tauro-β-muricholic acid</w:t>
            </w:r>
          </w:p>
        </w:tc>
        <w:tc>
          <w:tcPr>
            <w:tcW w:w="1376" w:type="dxa"/>
            <w:tcBorders>
              <w:top w:val="nil"/>
              <w:left w:val="nil"/>
              <w:bottom w:val="nil"/>
              <w:right w:val="nil"/>
            </w:tcBorders>
            <w:shd w:val="clear" w:color="auto" w:fill="auto"/>
            <w:noWrap/>
            <w:vAlign w:val="center"/>
          </w:tcPr>
          <w:p w14:paraId="212BF2B7"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bookmarkStart w:id="18" w:name="OLE_LINK215"/>
            <w:bookmarkStart w:id="19" w:name="OLE_LINK216"/>
            <w:r w:rsidRPr="00F40B38">
              <w:rPr>
                <w:rFonts w:ascii="Times New Roman" w:hAnsi="Times New Roman" w:cs="Times New Roman"/>
                <w:sz w:val="20"/>
                <w:szCs w:val="20"/>
              </w:rPr>
              <w:t>TβMCA</w:t>
            </w:r>
            <w:bookmarkEnd w:id="18"/>
            <w:bookmarkEnd w:id="19"/>
          </w:p>
        </w:tc>
        <w:tc>
          <w:tcPr>
            <w:tcW w:w="1995" w:type="dxa"/>
            <w:tcBorders>
              <w:top w:val="nil"/>
              <w:left w:val="nil"/>
              <w:bottom w:val="nil"/>
              <w:right w:val="nil"/>
            </w:tcBorders>
            <w:shd w:val="clear" w:color="auto" w:fill="auto"/>
            <w:noWrap/>
            <w:vAlign w:val="center"/>
          </w:tcPr>
          <w:p w14:paraId="2E0B266E"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514.28440</w:t>
            </w:r>
          </w:p>
        </w:tc>
        <w:tc>
          <w:tcPr>
            <w:tcW w:w="1427" w:type="dxa"/>
            <w:tcBorders>
              <w:top w:val="nil"/>
              <w:left w:val="nil"/>
              <w:bottom w:val="nil"/>
              <w:right w:val="nil"/>
            </w:tcBorders>
            <w:vAlign w:val="center"/>
          </w:tcPr>
          <w:p w14:paraId="7CCE1C87"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-TβMCA</w:t>
            </w:r>
          </w:p>
        </w:tc>
        <w:tc>
          <w:tcPr>
            <w:tcW w:w="1086" w:type="dxa"/>
            <w:tcBorders>
              <w:top w:val="nil"/>
              <w:left w:val="nil"/>
              <w:bottom w:val="nil"/>
              <w:right w:val="nil"/>
            </w:tcBorders>
            <w:vAlign w:val="center"/>
          </w:tcPr>
          <w:p w14:paraId="0A296DB1"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2.3</w:t>
            </w:r>
          </w:p>
        </w:tc>
      </w:tr>
      <w:tr w:rsidR="000F0F6A" w:rsidRPr="00F40B38" w14:paraId="3B97C1E6" w14:textId="77777777" w:rsidTr="00AB0A7D">
        <w:trPr>
          <w:trHeight w:val="170"/>
          <w:jc w:val="center"/>
        </w:trPr>
        <w:tc>
          <w:tcPr>
            <w:tcW w:w="2863" w:type="dxa"/>
            <w:tcBorders>
              <w:top w:val="nil"/>
              <w:left w:val="nil"/>
              <w:bottom w:val="single" w:sz="4" w:space="0" w:color="auto"/>
              <w:right w:val="nil"/>
            </w:tcBorders>
            <w:shd w:val="clear" w:color="auto" w:fill="auto"/>
            <w:noWrap/>
            <w:vAlign w:val="center"/>
          </w:tcPr>
          <w:p w14:paraId="303B92CF"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Taurocholic acid</w:t>
            </w:r>
          </w:p>
        </w:tc>
        <w:tc>
          <w:tcPr>
            <w:tcW w:w="1376" w:type="dxa"/>
            <w:tcBorders>
              <w:top w:val="nil"/>
              <w:left w:val="nil"/>
              <w:bottom w:val="single" w:sz="4" w:space="0" w:color="auto"/>
              <w:right w:val="nil"/>
            </w:tcBorders>
            <w:shd w:val="clear" w:color="auto" w:fill="auto"/>
            <w:noWrap/>
            <w:vAlign w:val="center"/>
          </w:tcPr>
          <w:p w14:paraId="787BD328"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TCA</w:t>
            </w:r>
          </w:p>
        </w:tc>
        <w:tc>
          <w:tcPr>
            <w:tcW w:w="1995" w:type="dxa"/>
            <w:tcBorders>
              <w:top w:val="nil"/>
              <w:left w:val="nil"/>
              <w:bottom w:val="single" w:sz="4" w:space="0" w:color="auto"/>
              <w:right w:val="nil"/>
            </w:tcBorders>
            <w:shd w:val="clear" w:color="auto" w:fill="auto"/>
            <w:noWrap/>
            <w:vAlign w:val="center"/>
          </w:tcPr>
          <w:p w14:paraId="41609C11"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514.28440</w:t>
            </w:r>
          </w:p>
        </w:tc>
        <w:tc>
          <w:tcPr>
            <w:tcW w:w="1427" w:type="dxa"/>
            <w:tcBorders>
              <w:top w:val="nil"/>
              <w:left w:val="nil"/>
              <w:bottom w:val="single" w:sz="4" w:space="0" w:color="auto"/>
              <w:right w:val="nil"/>
            </w:tcBorders>
            <w:vAlign w:val="center"/>
          </w:tcPr>
          <w:p w14:paraId="32501FCE"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d</w:t>
            </w:r>
            <w:r w:rsidRPr="00F40B38">
              <w:rPr>
                <w:rFonts w:ascii="Times New Roman" w:hAnsi="Times New Roman" w:cs="Times New Roman"/>
                <w:sz w:val="20"/>
                <w:szCs w:val="20"/>
                <w:vertAlign w:val="subscript"/>
              </w:rPr>
              <w:t>4</w:t>
            </w:r>
            <w:r w:rsidRPr="00F40B38">
              <w:rPr>
                <w:rFonts w:ascii="Times New Roman" w:hAnsi="Times New Roman" w:cs="Times New Roman"/>
                <w:sz w:val="20"/>
                <w:szCs w:val="20"/>
              </w:rPr>
              <w:t>-TCA</w:t>
            </w:r>
          </w:p>
        </w:tc>
        <w:tc>
          <w:tcPr>
            <w:tcW w:w="1086" w:type="dxa"/>
            <w:tcBorders>
              <w:top w:val="nil"/>
              <w:left w:val="nil"/>
              <w:bottom w:val="single" w:sz="4" w:space="0" w:color="auto"/>
              <w:right w:val="nil"/>
            </w:tcBorders>
            <w:vAlign w:val="center"/>
          </w:tcPr>
          <w:p w14:paraId="46E0DD54" w14:textId="77777777" w:rsidR="000F0F6A" w:rsidRPr="00F40B38" w:rsidRDefault="000F0F6A" w:rsidP="00AB0A7D">
            <w:pPr>
              <w:adjustRightInd w:val="0"/>
              <w:snapToGrid w:val="0"/>
              <w:spacing w:before="120" w:after="0" w:line="312" w:lineRule="auto"/>
              <w:jc w:val="center"/>
              <w:rPr>
                <w:rFonts w:ascii="Times New Roman" w:hAnsi="Times New Roman" w:cs="Times New Roman"/>
                <w:sz w:val="20"/>
                <w:szCs w:val="20"/>
              </w:rPr>
            </w:pPr>
            <w:r w:rsidRPr="00F40B38">
              <w:rPr>
                <w:rFonts w:ascii="Times New Roman" w:hAnsi="Times New Roman" w:cs="Times New Roman"/>
                <w:sz w:val="20"/>
                <w:szCs w:val="20"/>
              </w:rPr>
              <w:t>5.8</w:t>
            </w:r>
          </w:p>
        </w:tc>
      </w:tr>
      <w:bookmarkEnd w:id="6"/>
      <w:bookmarkEnd w:id="7"/>
    </w:tbl>
    <w:p w14:paraId="47F65AFD" w14:textId="77777777" w:rsidR="000F0F6A" w:rsidRDefault="000F0F6A" w:rsidP="000F0F6A">
      <w:pPr>
        <w:rPr>
          <w:rFonts w:ascii="Times New Roman" w:hAnsi="Times New Roman" w:cs="Times New Roman"/>
          <w:b/>
          <w:bCs/>
        </w:rPr>
      </w:pPr>
      <w:r>
        <w:rPr>
          <w:rFonts w:ascii="Times New Roman" w:hAnsi="Times New Roman" w:cs="Times New Roman"/>
          <w:b/>
          <w:bCs/>
        </w:rPr>
        <w:br w:type="page"/>
      </w:r>
    </w:p>
    <w:p w14:paraId="510D6BDC" w14:textId="77777777" w:rsidR="000F0F6A" w:rsidRPr="000811CE" w:rsidRDefault="000F0F6A" w:rsidP="000F0F6A">
      <w:pPr>
        <w:adjustRightInd w:val="0"/>
        <w:snapToGrid w:val="0"/>
        <w:spacing w:before="120" w:after="120" w:line="312" w:lineRule="auto"/>
        <w:rPr>
          <w:rFonts w:ascii="Times New Roman" w:hAnsi="Times New Roman" w:cs="Times New Roman"/>
          <w:b/>
          <w:bCs/>
        </w:rPr>
      </w:pPr>
      <w:r w:rsidRPr="000811CE">
        <w:rPr>
          <w:rFonts w:ascii="Times New Roman" w:hAnsi="Times New Roman" w:cs="Times New Roman"/>
          <w:b/>
          <w:bCs/>
        </w:rPr>
        <w:lastRenderedPageBreak/>
        <w:t>Supplemental information</w:t>
      </w:r>
    </w:p>
    <w:p w14:paraId="0AEFA97F" w14:textId="77777777" w:rsidR="000F0F6A" w:rsidRPr="000811CE" w:rsidRDefault="000F0F6A" w:rsidP="000F0F6A">
      <w:pPr>
        <w:adjustRightInd w:val="0"/>
        <w:snapToGrid w:val="0"/>
        <w:spacing w:before="120" w:after="120" w:line="312" w:lineRule="auto"/>
        <w:rPr>
          <w:rFonts w:ascii="Times New Roman" w:hAnsi="Times New Roman" w:cs="Times New Roman"/>
        </w:rPr>
      </w:pPr>
      <w:bookmarkStart w:id="20" w:name="OLE_LINK289"/>
      <w:r w:rsidRPr="000811CE">
        <w:rPr>
          <w:rFonts w:ascii="Times New Roman" w:hAnsi="Times New Roman" w:cs="Times New Roman"/>
        </w:rPr>
        <w:t>Supplemental information</w:t>
      </w:r>
      <w:r>
        <w:rPr>
          <w:rFonts w:ascii="Times New Roman" w:hAnsi="Times New Roman" w:cs="Times New Roman" w:hint="eastAsia"/>
        </w:rPr>
        <w:t xml:space="preserve"> </w:t>
      </w:r>
      <w:r w:rsidRPr="000811CE">
        <w:rPr>
          <w:rFonts w:ascii="Times New Roman" w:hAnsi="Times New Roman" w:cs="Times New Roman"/>
        </w:rPr>
        <w:t xml:space="preserve">1. </w:t>
      </w:r>
      <w:bookmarkStart w:id="21" w:name="OLE_LINK292"/>
      <w:bookmarkStart w:id="22" w:name="OLE_LINK307"/>
      <w:bookmarkStart w:id="23" w:name="OLE_LINK274"/>
      <w:bookmarkStart w:id="24" w:name="OLE_LINK275"/>
      <w:bookmarkEnd w:id="20"/>
      <w:r>
        <w:rPr>
          <w:rFonts w:ascii="Times New Roman" w:hAnsi="Times New Roman" w:cs="Times New Roman" w:hint="eastAsia"/>
        </w:rPr>
        <w:t xml:space="preserve">QTL peaks of </w:t>
      </w:r>
      <w:r w:rsidRPr="006F3600">
        <w:rPr>
          <w:rFonts w:ascii="Times New Roman" w:hAnsi="Times New Roman" w:cs="Times New Roman"/>
        </w:rPr>
        <w:t xml:space="preserve">both bacterial abundance and BA profiles </w:t>
      </w:r>
      <w:r>
        <w:rPr>
          <w:rFonts w:ascii="Times New Roman" w:hAnsi="Times New Roman" w:cs="Times New Roman" w:hint="eastAsia"/>
        </w:rPr>
        <w:t xml:space="preserve">within identified gMxBs </w:t>
      </w:r>
      <w:r w:rsidRPr="006F3600">
        <w:rPr>
          <w:rFonts w:ascii="Times New Roman" w:hAnsi="Times New Roman" w:cs="Times New Roman"/>
        </w:rPr>
        <w:t>under CD and HFD</w:t>
      </w:r>
      <w:bookmarkEnd w:id="21"/>
      <w:bookmarkEnd w:id="22"/>
      <w:r w:rsidRPr="006F3600">
        <w:rPr>
          <w:rFonts w:ascii="Times New Roman" w:hAnsi="Times New Roman" w:cs="Times New Roman"/>
        </w:rPr>
        <w:t>, related to Fig.5A</w:t>
      </w:r>
      <w:r w:rsidRPr="006F3600">
        <w:rPr>
          <w:rFonts w:ascii="Times New Roman" w:hAnsi="Times New Roman" w:cs="Times New Roman" w:hint="eastAsia"/>
        </w:rPr>
        <w:t>-E</w:t>
      </w:r>
      <w:r>
        <w:rPr>
          <w:rFonts w:ascii="Times New Roman" w:hAnsi="Times New Roman" w:cs="Times New Roman" w:hint="eastAsia"/>
        </w:rPr>
        <w:t xml:space="preserve"> and Table 1</w:t>
      </w:r>
      <w:bookmarkEnd w:id="23"/>
      <w:bookmarkEnd w:id="24"/>
      <w:r>
        <w:rPr>
          <w:rFonts w:ascii="Times New Roman" w:hAnsi="Times New Roman" w:cs="Times New Roman" w:hint="eastAsia"/>
        </w:rPr>
        <w:t>.</w:t>
      </w:r>
    </w:p>
    <w:p w14:paraId="2746270F" w14:textId="77777777" w:rsidR="000F0F6A" w:rsidRDefault="000F0F6A" w:rsidP="000F0F6A">
      <w:pPr>
        <w:adjustRightInd w:val="0"/>
        <w:snapToGrid w:val="0"/>
        <w:spacing w:before="120" w:after="120" w:line="312" w:lineRule="auto"/>
        <w:rPr>
          <w:rFonts w:ascii="Times New Roman" w:hAnsi="Times New Roman" w:cs="Times New Roman"/>
          <w:b/>
          <w:bCs/>
        </w:rPr>
      </w:pPr>
    </w:p>
    <w:p w14:paraId="49552D96" w14:textId="77777777" w:rsidR="000F0F6A" w:rsidRDefault="000F0F6A" w:rsidP="000F0F6A">
      <w:pPr>
        <w:rPr>
          <w:rFonts w:ascii="Times New Roman" w:hAnsi="Times New Roman" w:cs="Times New Roman"/>
          <w:b/>
          <w:bCs/>
        </w:rPr>
      </w:pPr>
      <w:r>
        <w:rPr>
          <w:rFonts w:ascii="Times New Roman" w:hAnsi="Times New Roman" w:cs="Times New Roman"/>
          <w:b/>
          <w:bCs/>
        </w:rPr>
        <w:br w:type="page"/>
      </w:r>
    </w:p>
    <w:p w14:paraId="0E420951" w14:textId="77777777" w:rsidR="00F553FF" w:rsidRDefault="00F553FF"/>
    <w:sectPr w:rsidR="00F553FF">
      <w:footerReference w:type="even" r:id="rId8"/>
      <w:footerReference w:type="default" r:id="rI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39248334"/>
      <w:docPartObj>
        <w:docPartGallery w:val="Page Numbers (Bottom of Page)"/>
        <w:docPartUnique/>
      </w:docPartObj>
    </w:sdtPr>
    <w:sdtContent>
      <w:p w14:paraId="4CD398C2" w14:textId="2CD3FA72" w:rsidR="00000000" w:rsidRDefault="00000000" w:rsidP="00BA45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sidR="000F0F6A">
          <w:rPr>
            <w:rStyle w:val="PageNumber"/>
          </w:rPr>
          <w:fldChar w:fldCharType="separate"/>
        </w:r>
        <w:r w:rsidR="000F0F6A">
          <w:rPr>
            <w:rStyle w:val="PageNumber"/>
            <w:noProof/>
          </w:rPr>
          <w:t>6</w:t>
        </w:r>
        <w:r>
          <w:rPr>
            <w:rStyle w:val="PageNumber"/>
          </w:rPr>
          <w:fldChar w:fldCharType="end"/>
        </w:r>
      </w:p>
    </w:sdtContent>
  </w:sdt>
  <w:p w14:paraId="6C983253" w14:textId="77777777" w:rsidR="00000000" w:rsidRDefault="00000000" w:rsidP="00553269">
    <w:pPr>
      <w:pStyle w:val="Footer"/>
      <w:ind w:right="360"/>
    </w:pPr>
  </w:p>
  <w:p w14:paraId="25CF90EA" w14:textId="77777777" w:rsidR="00000000" w:rsidRDefault="0000000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04132632"/>
      <w:docPartObj>
        <w:docPartGallery w:val="Page Numbers (Bottom of Page)"/>
        <w:docPartUnique/>
      </w:docPartObj>
    </w:sdtPr>
    <w:sdtContent>
      <w:p w14:paraId="7509AEF8" w14:textId="77777777" w:rsidR="00000000" w:rsidRDefault="00000000" w:rsidP="00BA45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F8A47B9" w14:textId="77777777" w:rsidR="00000000" w:rsidRDefault="00000000" w:rsidP="00553269">
    <w:pPr>
      <w:pStyle w:val="Footer"/>
      <w:ind w:right="360"/>
    </w:pPr>
  </w:p>
  <w:p w14:paraId="46EE3FC6" w14:textId="77777777" w:rsidR="00000000" w:rsidRDefault="00000000"/>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F6A"/>
    <w:rsid w:val="000F0F6A"/>
    <w:rsid w:val="003C2EF4"/>
    <w:rsid w:val="009932AC"/>
    <w:rsid w:val="00B7421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69D61"/>
  <w15:chartTrackingRefBased/>
  <w15:docId w15:val="{B14C329C-1118-4406-9768-2D2F7F0E8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F6A"/>
    <w:pPr>
      <w:spacing w:line="278" w:lineRule="auto"/>
    </w:pPr>
    <w:rPr>
      <w:rFonts w:eastAsiaTheme="minorEastAsia"/>
      <w:sz w:val="24"/>
      <w:szCs w:val="24"/>
      <w:lang w:eastAsia="zh-CN"/>
    </w:rPr>
  </w:style>
  <w:style w:type="paragraph" w:styleId="Heading1">
    <w:name w:val="heading 1"/>
    <w:basedOn w:val="Normal"/>
    <w:next w:val="Normal"/>
    <w:link w:val="Heading1Char"/>
    <w:uiPriority w:val="9"/>
    <w:qFormat/>
    <w:rsid w:val="000F0F6A"/>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0F0F6A"/>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0F0F6A"/>
    <w:pPr>
      <w:keepNext/>
      <w:keepLines/>
      <w:spacing w:before="160" w:after="80" w:line="259" w:lineRule="auto"/>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0F0F6A"/>
    <w:pPr>
      <w:keepNext/>
      <w:keepLines/>
      <w:spacing w:before="80" w:after="40" w:line="259" w:lineRule="auto"/>
      <w:outlineLvl w:val="3"/>
    </w:pPr>
    <w:rPr>
      <w:rFonts w:eastAsiaTheme="majorEastAsia" w:cstheme="majorBidi"/>
      <w:i/>
      <w:iCs/>
      <w:color w:val="0F4761" w:themeColor="accent1" w:themeShade="BF"/>
      <w:sz w:val="22"/>
      <w:szCs w:val="22"/>
      <w:lang w:eastAsia="en-US"/>
    </w:rPr>
  </w:style>
  <w:style w:type="paragraph" w:styleId="Heading5">
    <w:name w:val="heading 5"/>
    <w:basedOn w:val="Normal"/>
    <w:next w:val="Normal"/>
    <w:link w:val="Heading5Char"/>
    <w:uiPriority w:val="9"/>
    <w:semiHidden/>
    <w:unhideWhenUsed/>
    <w:qFormat/>
    <w:rsid w:val="000F0F6A"/>
    <w:pPr>
      <w:keepNext/>
      <w:keepLines/>
      <w:spacing w:before="80" w:after="40" w:line="259" w:lineRule="auto"/>
      <w:outlineLvl w:val="4"/>
    </w:pPr>
    <w:rPr>
      <w:rFonts w:eastAsiaTheme="majorEastAsia" w:cstheme="majorBidi"/>
      <w:color w:val="0F4761" w:themeColor="accent1" w:themeShade="BF"/>
      <w:sz w:val="22"/>
      <w:szCs w:val="22"/>
      <w:lang w:eastAsia="en-US"/>
    </w:rPr>
  </w:style>
  <w:style w:type="paragraph" w:styleId="Heading6">
    <w:name w:val="heading 6"/>
    <w:basedOn w:val="Normal"/>
    <w:next w:val="Normal"/>
    <w:link w:val="Heading6Char"/>
    <w:uiPriority w:val="9"/>
    <w:semiHidden/>
    <w:unhideWhenUsed/>
    <w:qFormat/>
    <w:rsid w:val="000F0F6A"/>
    <w:pPr>
      <w:keepNext/>
      <w:keepLines/>
      <w:spacing w:before="40" w:after="0" w:line="259" w:lineRule="auto"/>
      <w:outlineLvl w:val="5"/>
    </w:pPr>
    <w:rPr>
      <w:rFonts w:eastAsiaTheme="majorEastAsia" w:cstheme="majorBidi"/>
      <w:i/>
      <w:iCs/>
      <w:color w:val="595959" w:themeColor="text1" w:themeTint="A6"/>
      <w:sz w:val="22"/>
      <w:szCs w:val="22"/>
      <w:lang w:eastAsia="en-US"/>
    </w:rPr>
  </w:style>
  <w:style w:type="paragraph" w:styleId="Heading7">
    <w:name w:val="heading 7"/>
    <w:basedOn w:val="Normal"/>
    <w:next w:val="Normal"/>
    <w:link w:val="Heading7Char"/>
    <w:uiPriority w:val="9"/>
    <w:semiHidden/>
    <w:unhideWhenUsed/>
    <w:qFormat/>
    <w:rsid w:val="000F0F6A"/>
    <w:pPr>
      <w:keepNext/>
      <w:keepLines/>
      <w:spacing w:before="40" w:after="0" w:line="259" w:lineRule="auto"/>
      <w:outlineLvl w:val="6"/>
    </w:pPr>
    <w:rPr>
      <w:rFonts w:eastAsiaTheme="majorEastAsia" w:cstheme="majorBidi"/>
      <w:color w:val="595959" w:themeColor="text1" w:themeTint="A6"/>
      <w:sz w:val="22"/>
      <w:szCs w:val="22"/>
      <w:lang w:eastAsia="en-US"/>
    </w:rPr>
  </w:style>
  <w:style w:type="paragraph" w:styleId="Heading8">
    <w:name w:val="heading 8"/>
    <w:basedOn w:val="Normal"/>
    <w:next w:val="Normal"/>
    <w:link w:val="Heading8Char"/>
    <w:uiPriority w:val="9"/>
    <w:semiHidden/>
    <w:unhideWhenUsed/>
    <w:qFormat/>
    <w:rsid w:val="000F0F6A"/>
    <w:pPr>
      <w:keepNext/>
      <w:keepLines/>
      <w:spacing w:after="0" w:line="259" w:lineRule="auto"/>
      <w:outlineLvl w:val="7"/>
    </w:pPr>
    <w:rPr>
      <w:rFonts w:eastAsiaTheme="majorEastAsia" w:cstheme="majorBidi"/>
      <w:i/>
      <w:iCs/>
      <w:color w:val="272727" w:themeColor="text1" w:themeTint="D8"/>
      <w:sz w:val="22"/>
      <w:szCs w:val="22"/>
      <w:lang w:eastAsia="en-US"/>
    </w:rPr>
  </w:style>
  <w:style w:type="paragraph" w:styleId="Heading9">
    <w:name w:val="heading 9"/>
    <w:basedOn w:val="Normal"/>
    <w:next w:val="Normal"/>
    <w:link w:val="Heading9Char"/>
    <w:uiPriority w:val="9"/>
    <w:semiHidden/>
    <w:unhideWhenUsed/>
    <w:qFormat/>
    <w:rsid w:val="000F0F6A"/>
    <w:pPr>
      <w:keepNext/>
      <w:keepLines/>
      <w:spacing w:after="0" w:line="259" w:lineRule="auto"/>
      <w:outlineLvl w:val="8"/>
    </w:pPr>
    <w:rPr>
      <w:rFonts w:eastAsiaTheme="majorEastAsia" w:cstheme="majorBidi"/>
      <w:color w:val="272727" w:themeColor="text1" w:themeTint="D8"/>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0F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0F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0F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0F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0F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0F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0F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0F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0F6A"/>
    <w:rPr>
      <w:rFonts w:eastAsiaTheme="majorEastAsia" w:cstheme="majorBidi"/>
      <w:color w:val="272727" w:themeColor="text1" w:themeTint="D8"/>
    </w:rPr>
  </w:style>
  <w:style w:type="paragraph" w:styleId="Title">
    <w:name w:val="Title"/>
    <w:basedOn w:val="Normal"/>
    <w:next w:val="Normal"/>
    <w:link w:val="TitleChar"/>
    <w:uiPriority w:val="10"/>
    <w:qFormat/>
    <w:rsid w:val="000F0F6A"/>
    <w:pPr>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0F0F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0F6A"/>
    <w:pPr>
      <w:numPr>
        <w:ilvl w:val="1"/>
      </w:numPr>
      <w:spacing w:line="259" w:lineRule="auto"/>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0F0F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0F6A"/>
    <w:pPr>
      <w:spacing w:before="160" w:line="259" w:lineRule="auto"/>
      <w:jc w:val="center"/>
    </w:pPr>
    <w:rPr>
      <w:rFonts w:eastAsiaTheme="minorHAnsi"/>
      <w:i/>
      <w:iCs/>
      <w:color w:val="404040" w:themeColor="text1" w:themeTint="BF"/>
      <w:sz w:val="22"/>
      <w:szCs w:val="22"/>
      <w:lang w:eastAsia="en-US"/>
    </w:rPr>
  </w:style>
  <w:style w:type="character" w:customStyle="1" w:styleId="QuoteChar">
    <w:name w:val="Quote Char"/>
    <w:basedOn w:val="DefaultParagraphFont"/>
    <w:link w:val="Quote"/>
    <w:uiPriority w:val="29"/>
    <w:rsid w:val="000F0F6A"/>
    <w:rPr>
      <w:i/>
      <w:iCs/>
      <w:color w:val="404040" w:themeColor="text1" w:themeTint="BF"/>
    </w:rPr>
  </w:style>
  <w:style w:type="paragraph" w:styleId="ListParagraph">
    <w:name w:val="List Paragraph"/>
    <w:basedOn w:val="Normal"/>
    <w:uiPriority w:val="34"/>
    <w:qFormat/>
    <w:rsid w:val="000F0F6A"/>
    <w:pPr>
      <w:spacing w:line="259" w:lineRule="auto"/>
      <w:ind w:left="720"/>
      <w:contextualSpacing/>
    </w:pPr>
    <w:rPr>
      <w:rFonts w:eastAsiaTheme="minorHAnsi"/>
      <w:sz w:val="22"/>
      <w:szCs w:val="22"/>
      <w:lang w:eastAsia="en-US"/>
    </w:rPr>
  </w:style>
  <w:style w:type="character" w:styleId="IntenseEmphasis">
    <w:name w:val="Intense Emphasis"/>
    <w:basedOn w:val="DefaultParagraphFont"/>
    <w:uiPriority w:val="21"/>
    <w:qFormat/>
    <w:rsid w:val="000F0F6A"/>
    <w:rPr>
      <w:i/>
      <w:iCs/>
      <w:color w:val="0F4761" w:themeColor="accent1" w:themeShade="BF"/>
    </w:rPr>
  </w:style>
  <w:style w:type="paragraph" w:styleId="IntenseQuote">
    <w:name w:val="Intense Quote"/>
    <w:basedOn w:val="Normal"/>
    <w:next w:val="Normal"/>
    <w:link w:val="IntenseQuoteChar"/>
    <w:uiPriority w:val="30"/>
    <w:qFormat/>
    <w:rsid w:val="000F0F6A"/>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szCs w:val="22"/>
      <w:lang w:eastAsia="en-US"/>
    </w:rPr>
  </w:style>
  <w:style w:type="character" w:customStyle="1" w:styleId="IntenseQuoteChar">
    <w:name w:val="Intense Quote Char"/>
    <w:basedOn w:val="DefaultParagraphFont"/>
    <w:link w:val="IntenseQuote"/>
    <w:uiPriority w:val="30"/>
    <w:rsid w:val="000F0F6A"/>
    <w:rPr>
      <w:i/>
      <w:iCs/>
      <w:color w:val="0F4761" w:themeColor="accent1" w:themeShade="BF"/>
    </w:rPr>
  </w:style>
  <w:style w:type="character" w:styleId="IntenseReference">
    <w:name w:val="Intense Reference"/>
    <w:basedOn w:val="DefaultParagraphFont"/>
    <w:uiPriority w:val="32"/>
    <w:qFormat/>
    <w:rsid w:val="000F0F6A"/>
    <w:rPr>
      <w:b/>
      <w:bCs/>
      <w:smallCaps/>
      <w:color w:val="0F4761" w:themeColor="accent1" w:themeShade="BF"/>
      <w:spacing w:val="5"/>
    </w:rPr>
  </w:style>
  <w:style w:type="table" w:styleId="TableGrid">
    <w:name w:val="Table Grid"/>
    <w:basedOn w:val="TableNormal"/>
    <w:uiPriority w:val="39"/>
    <w:rsid w:val="000F0F6A"/>
    <w:pPr>
      <w:spacing w:after="0" w:line="240" w:lineRule="auto"/>
    </w:pPr>
    <w:rPr>
      <w:rFonts w:eastAsiaTheme="minorEastAsia"/>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F0F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0F6A"/>
    <w:rPr>
      <w:rFonts w:eastAsiaTheme="minorEastAsia"/>
      <w:sz w:val="24"/>
      <w:szCs w:val="24"/>
      <w:lang w:eastAsia="zh-CN"/>
    </w:rPr>
  </w:style>
  <w:style w:type="character" w:styleId="PageNumber">
    <w:name w:val="page number"/>
    <w:basedOn w:val="DefaultParagraphFont"/>
    <w:uiPriority w:val="99"/>
    <w:semiHidden/>
    <w:unhideWhenUsed/>
    <w:rsid w:val="000F0F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1046</Words>
  <Characters>5966</Characters>
  <Application>Microsoft Office Word</Application>
  <DocSecurity>0</DocSecurity>
  <Lines>49</Lines>
  <Paragraphs>13</Paragraphs>
  <ScaleCrop>false</ScaleCrop>
  <Company>Springer Nature</Company>
  <LinksUpToDate>false</LinksUpToDate>
  <CharactersWithSpaces>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2024-08-08T03:59:00Z</dcterms:created>
  <dcterms:modified xsi:type="dcterms:W3CDTF">2024-08-08T04:00:00Z</dcterms:modified>
</cp:coreProperties>
</file>