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2008" w:rsidRPr="004D12CB" w:rsidRDefault="00692008" w:rsidP="00692008">
      <w:pPr>
        <w:spacing w:line="360" w:lineRule="auto"/>
        <w:rPr>
          <w:rFonts w:ascii="Arial" w:eastAsia="바탕체" w:hAnsi="Arial" w:cs="Arial"/>
          <w:color w:val="000000"/>
          <w:szCs w:val="20"/>
        </w:rPr>
      </w:pPr>
      <w:bookmarkStart w:id="0" w:name="_GoBack"/>
      <w:bookmarkEnd w:id="0"/>
      <w:r>
        <w:rPr>
          <w:rFonts w:ascii="Arial" w:eastAsia="바탕체" w:hAnsi="Arial" w:cs="Arial"/>
          <w:color w:val="000000"/>
          <w:szCs w:val="20"/>
        </w:rPr>
        <w:t>Table</w:t>
      </w:r>
      <w:r w:rsidRPr="004D12CB">
        <w:rPr>
          <w:rFonts w:ascii="Arial" w:eastAsia="바탕체" w:hAnsi="Arial" w:cs="Arial"/>
          <w:color w:val="000000"/>
          <w:szCs w:val="20"/>
        </w:rPr>
        <w:t xml:space="preserve"> </w:t>
      </w:r>
      <w:r w:rsidR="00440749">
        <w:rPr>
          <w:rFonts w:ascii="Arial" w:eastAsia="바탕체" w:hAnsi="Arial" w:cs="Arial"/>
          <w:color w:val="000000"/>
          <w:szCs w:val="20"/>
        </w:rPr>
        <w:t>1</w:t>
      </w:r>
      <w:r w:rsidRPr="004D12CB">
        <w:rPr>
          <w:rFonts w:ascii="Arial" w:eastAsia="바탕체" w:hAnsi="Arial" w:cs="Arial"/>
          <w:color w:val="000000"/>
          <w:szCs w:val="20"/>
        </w:rPr>
        <w:t xml:space="preserve">. Clinicopathologic parameters of patients </w:t>
      </w:r>
      <w:r>
        <w:rPr>
          <w:rFonts w:ascii="Arial" w:eastAsia="바탕체" w:hAnsi="Arial" w:cs="Arial" w:hint="eastAsia"/>
          <w:color w:val="000000"/>
          <w:szCs w:val="20"/>
        </w:rPr>
        <w:t xml:space="preserve">from </w:t>
      </w:r>
      <w:r>
        <w:rPr>
          <w:rFonts w:ascii="Arial" w:eastAsia="바탕체" w:hAnsi="Arial" w:cs="Arial"/>
          <w:color w:val="000000"/>
          <w:szCs w:val="20"/>
        </w:rPr>
        <w:t xml:space="preserve">TCGA database </w:t>
      </w:r>
      <w:r w:rsidRPr="004D12CB">
        <w:rPr>
          <w:rFonts w:ascii="Arial" w:eastAsia="바탕체" w:hAnsi="Arial" w:cs="Arial"/>
          <w:color w:val="000000"/>
          <w:szCs w:val="20"/>
        </w:rPr>
        <w:t>(N=</w:t>
      </w:r>
      <w:r>
        <w:rPr>
          <w:rFonts w:ascii="Arial" w:eastAsia="바탕체" w:hAnsi="Arial" w:cs="Arial"/>
          <w:color w:val="000000"/>
          <w:szCs w:val="20"/>
        </w:rPr>
        <w:t>5</w:t>
      </w:r>
      <w:r>
        <w:rPr>
          <w:rFonts w:ascii="Arial" w:eastAsia="바탕체" w:hAnsi="Arial" w:cs="Arial" w:hint="eastAsia"/>
          <w:color w:val="000000"/>
          <w:szCs w:val="20"/>
        </w:rPr>
        <w:t>14</w:t>
      </w:r>
      <w:r w:rsidRPr="004D12CB">
        <w:rPr>
          <w:rFonts w:ascii="Arial" w:eastAsia="바탕체" w:hAnsi="Arial" w:cs="Arial"/>
          <w:color w:val="000000"/>
          <w:szCs w:val="20"/>
        </w:rPr>
        <w:t>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19"/>
        <w:gridCol w:w="2835"/>
        <w:gridCol w:w="3072"/>
      </w:tblGrid>
      <w:tr w:rsidR="00692008" w:rsidRPr="00CD2988" w:rsidTr="00A52E3A"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CD2988">
              <w:rPr>
                <w:rFonts w:ascii="Arial" w:hAnsi="Arial" w:cs="Arial"/>
                <w:szCs w:val="20"/>
              </w:rPr>
              <w:t>Variables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CD2988">
              <w:rPr>
                <w:rFonts w:ascii="Arial" w:hAnsi="Arial" w:cs="Arial"/>
                <w:szCs w:val="20"/>
              </w:rPr>
              <w:t>Mean ± SD or number of patients (%)</w:t>
            </w:r>
          </w:p>
        </w:tc>
      </w:tr>
      <w:tr w:rsidR="00692008" w:rsidRPr="00CD2988" w:rsidTr="00A52E3A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CD2988">
              <w:rPr>
                <w:rFonts w:ascii="Arial" w:hAnsi="Arial" w:cs="Arial"/>
                <w:szCs w:val="20"/>
              </w:rPr>
              <w:t>Age, years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 xml:space="preserve">65.4 </w:t>
            </w:r>
            <w:r w:rsidRPr="00CD2988">
              <w:rPr>
                <w:rFonts w:ascii="Arial" w:hAnsi="Arial" w:cs="Arial"/>
                <w:szCs w:val="20"/>
              </w:rPr>
              <w:t>±</w:t>
            </w:r>
            <w:r>
              <w:rPr>
                <w:rFonts w:ascii="Arial" w:hAnsi="Arial" w:cs="Arial" w:hint="eastAsia"/>
                <w:szCs w:val="20"/>
              </w:rPr>
              <w:t xml:space="preserve"> 9.9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CD2988">
              <w:rPr>
                <w:rFonts w:ascii="Arial" w:hAnsi="Arial" w:cs="Arial"/>
                <w:szCs w:val="20"/>
              </w:rPr>
              <w:t>Gender</w:t>
            </w:r>
          </w:p>
        </w:tc>
        <w:tc>
          <w:tcPr>
            <w:tcW w:w="2835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CD2988">
              <w:rPr>
                <w:rFonts w:ascii="Arial" w:hAnsi="Arial" w:cs="Arial"/>
                <w:szCs w:val="20"/>
              </w:rPr>
              <w:t>Male</w:t>
            </w:r>
          </w:p>
        </w:tc>
        <w:tc>
          <w:tcPr>
            <w:tcW w:w="3072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238</w:t>
            </w:r>
            <w:r w:rsidRPr="00CD2988">
              <w:rPr>
                <w:rFonts w:ascii="Arial" w:hAnsi="Arial" w:cs="Arial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Cs w:val="20"/>
              </w:rPr>
              <w:t>46.3</w:t>
            </w:r>
            <w:r w:rsidRPr="00CD2988">
              <w:rPr>
                <w:rFonts w:ascii="Arial" w:hAnsi="Arial" w:cs="Arial"/>
                <w:szCs w:val="20"/>
              </w:rPr>
              <w:t>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CD2988">
              <w:rPr>
                <w:rFonts w:ascii="Arial" w:hAnsi="Arial" w:cs="Arial"/>
                <w:szCs w:val="20"/>
              </w:rPr>
              <w:t>Female</w:t>
            </w:r>
          </w:p>
        </w:tc>
        <w:tc>
          <w:tcPr>
            <w:tcW w:w="3072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276</w:t>
            </w:r>
            <w:r w:rsidRPr="00CD2988">
              <w:rPr>
                <w:rFonts w:ascii="Arial" w:hAnsi="Arial" w:cs="Arial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szCs w:val="20"/>
              </w:rPr>
              <w:t>53.7</w:t>
            </w:r>
            <w:r w:rsidRPr="00CD2988">
              <w:rPr>
                <w:rFonts w:ascii="Arial" w:hAnsi="Arial" w:cs="Arial"/>
                <w:szCs w:val="20"/>
              </w:rPr>
              <w:t>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Smoking history</w:t>
            </w: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Never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165 (32.1)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Former or current smoker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349 (67.9)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Anatomic site</w:t>
            </w: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RUL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186 (36.2)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RML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21 (4.1)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RLL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95 (18.5)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LUL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120 (23.3)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LLL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77 (15.0)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Unknown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15 (2.9)</w:t>
            </w:r>
          </w:p>
        </w:tc>
      </w:tr>
      <w:tr w:rsidR="00692008" w:rsidRPr="00CD2988" w:rsidTr="00A52E3A">
        <w:trPr>
          <w:trHeight w:val="224"/>
        </w:trPr>
        <w:tc>
          <w:tcPr>
            <w:tcW w:w="3119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T stage</w:t>
            </w:r>
          </w:p>
        </w:tc>
        <w:tc>
          <w:tcPr>
            <w:tcW w:w="2835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T1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170 (33.1)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T2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279 (54.3)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T3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46 (8.9)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T4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19 (3.7)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CD2988">
              <w:rPr>
                <w:rFonts w:ascii="Arial" w:hAnsi="Arial" w:cs="Arial"/>
                <w:szCs w:val="20"/>
              </w:rPr>
              <w:t>Lymph node metastasis</w:t>
            </w:r>
          </w:p>
        </w:tc>
        <w:tc>
          <w:tcPr>
            <w:tcW w:w="2835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N0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342 (66.5)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N1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96 (18.7)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N2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74 (14.4)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  <w:hideMark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N3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 (0.4)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Metastasis</w:t>
            </w:r>
          </w:p>
        </w:tc>
        <w:tc>
          <w:tcPr>
            <w:tcW w:w="2835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M0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489 (95.1)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M1</w:t>
            </w:r>
          </w:p>
        </w:tc>
        <w:tc>
          <w:tcPr>
            <w:tcW w:w="3072" w:type="dxa"/>
            <w:shd w:val="clear" w:color="auto" w:fill="auto"/>
          </w:tcPr>
          <w:p w:rsidR="00692008" w:rsidRPr="00CD298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25 (4.9)</w:t>
            </w:r>
          </w:p>
        </w:tc>
      </w:tr>
      <w:tr w:rsidR="00692008" w:rsidRPr="00CD2988" w:rsidTr="00A52E3A">
        <w:tc>
          <w:tcPr>
            <w:tcW w:w="3119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EGFR mutation</w:t>
            </w:r>
          </w:p>
        </w:tc>
        <w:tc>
          <w:tcPr>
            <w:tcW w:w="2835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Wild type</w:t>
            </w:r>
          </w:p>
        </w:tc>
        <w:tc>
          <w:tcPr>
            <w:tcW w:w="3072" w:type="dxa"/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452 (87.9)</w:t>
            </w:r>
          </w:p>
        </w:tc>
      </w:tr>
      <w:tr w:rsidR="00692008" w:rsidRPr="00CD2988" w:rsidTr="00A52E3A"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Mutant</w:t>
            </w:r>
          </w:p>
        </w:tc>
        <w:tc>
          <w:tcPr>
            <w:tcW w:w="3072" w:type="dxa"/>
            <w:tcBorders>
              <w:bottom w:val="single" w:sz="4" w:space="0" w:color="auto"/>
            </w:tcBorders>
            <w:shd w:val="clear" w:color="auto" w:fill="auto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62 (12.1)</w:t>
            </w:r>
          </w:p>
        </w:tc>
      </w:tr>
    </w:tbl>
    <w:p w:rsidR="00440749" w:rsidRDefault="00440749" w:rsidP="00692008">
      <w:pPr>
        <w:spacing w:line="360" w:lineRule="auto"/>
        <w:rPr>
          <w:rFonts w:ascii="Arial" w:eastAsia="바탕체" w:hAnsi="Arial" w:cs="Arial"/>
          <w:color w:val="000000"/>
          <w:szCs w:val="20"/>
        </w:rPr>
      </w:pPr>
    </w:p>
    <w:p w:rsidR="00692008" w:rsidRPr="000D4C97" w:rsidRDefault="00692008" w:rsidP="00692008">
      <w:pPr>
        <w:spacing w:line="360" w:lineRule="auto"/>
        <w:rPr>
          <w:rFonts w:ascii="Arial" w:eastAsia="바탕체" w:hAnsi="Arial" w:cs="Arial"/>
          <w:color w:val="000000"/>
          <w:szCs w:val="20"/>
        </w:rPr>
      </w:pPr>
      <w:r w:rsidRPr="004D12CB">
        <w:rPr>
          <w:rFonts w:ascii="Arial" w:eastAsia="바탕체" w:hAnsi="Arial" w:cs="Arial"/>
          <w:color w:val="000000"/>
          <w:szCs w:val="20"/>
        </w:rPr>
        <w:lastRenderedPageBreak/>
        <w:t xml:space="preserve">Table </w:t>
      </w:r>
      <w:r w:rsidR="00440749">
        <w:rPr>
          <w:rFonts w:ascii="Arial" w:eastAsia="바탕체" w:hAnsi="Arial" w:cs="Arial"/>
          <w:color w:val="000000"/>
          <w:szCs w:val="20"/>
        </w:rPr>
        <w:t>2</w:t>
      </w:r>
      <w:r w:rsidRPr="004D12CB">
        <w:rPr>
          <w:rFonts w:ascii="Arial" w:eastAsia="바탕체" w:hAnsi="Arial" w:cs="Arial"/>
          <w:color w:val="000000"/>
          <w:szCs w:val="20"/>
        </w:rPr>
        <w:t xml:space="preserve">. </w:t>
      </w:r>
      <w:r>
        <w:rPr>
          <w:rFonts w:ascii="Arial" w:eastAsia="바탕체" w:hAnsi="Arial" w:cs="Arial"/>
          <w:color w:val="000000"/>
          <w:szCs w:val="20"/>
        </w:rPr>
        <w:t>Relationships between</w:t>
      </w:r>
      <w:r>
        <w:rPr>
          <w:rFonts w:ascii="Arial" w:eastAsia="바탕체" w:hAnsi="Arial" w:cs="Arial" w:hint="eastAsia"/>
          <w:color w:val="000000"/>
          <w:szCs w:val="20"/>
        </w:rPr>
        <w:t xml:space="preserve"> </w:t>
      </w:r>
      <w:r w:rsidRPr="007E6784">
        <w:rPr>
          <w:rFonts w:ascii="Arial" w:eastAsia="바탕체" w:hAnsi="Arial" w:cs="Arial" w:hint="eastAsia"/>
          <w:i/>
          <w:color w:val="000000"/>
          <w:szCs w:val="20"/>
        </w:rPr>
        <w:t>ERRFI1</w:t>
      </w:r>
      <w:r w:rsidRPr="000D4C97">
        <w:rPr>
          <w:rFonts w:ascii="Arial" w:eastAsia="바탕체" w:hAnsi="Arial" w:cs="Arial"/>
          <w:color w:val="000000"/>
          <w:szCs w:val="20"/>
        </w:rPr>
        <w:t xml:space="preserve"> </w:t>
      </w:r>
      <w:r>
        <w:rPr>
          <w:rFonts w:ascii="Arial" w:eastAsia="바탕체" w:hAnsi="Arial" w:cs="Arial"/>
          <w:color w:val="000000"/>
          <w:szCs w:val="20"/>
        </w:rPr>
        <w:t xml:space="preserve">expression </w:t>
      </w:r>
      <w:r w:rsidRPr="000D4C97">
        <w:rPr>
          <w:rFonts w:ascii="Arial" w:eastAsia="바탕체" w:hAnsi="Arial" w:cs="Arial"/>
          <w:color w:val="000000"/>
          <w:szCs w:val="20"/>
        </w:rPr>
        <w:t xml:space="preserve">and clinicopathological factors in </w:t>
      </w:r>
      <w:r>
        <w:rPr>
          <w:rFonts w:ascii="Arial" w:eastAsia="바탕체" w:hAnsi="Arial" w:cs="Arial" w:hint="eastAsia"/>
          <w:color w:val="000000"/>
          <w:szCs w:val="20"/>
        </w:rPr>
        <w:t>total patients (N=514)</w:t>
      </w:r>
    </w:p>
    <w:tbl>
      <w:tblPr>
        <w:tblW w:w="9034" w:type="dxa"/>
        <w:tblLook w:val="04A0" w:firstRow="1" w:lastRow="0" w:firstColumn="1" w:lastColumn="0" w:noHBand="0" w:noVBand="1"/>
      </w:tblPr>
      <w:tblGrid>
        <w:gridCol w:w="2375"/>
        <w:gridCol w:w="1133"/>
        <w:gridCol w:w="1275"/>
        <w:gridCol w:w="1417"/>
        <w:gridCol w:w="1417"/>
        <w:gridCol w:w="1417"/>
      </w:tblGrid>
      <w:tr w:rsidR="00692008" w:rsidRPr="00CD2988" w:rsidTr="00692008">
        <w:trPr>
          <w:trHeight w:val="357"/>
        </w:trPr>
        <w:tc>
          <w:tcPr>
            <w:tcW w:w="237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Variables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No. of</w:t>
            </w:r>
          </w:p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patients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eastAsia="바탕체" w:hAnsi="Arial" w:cs="Arial" w:hint="eastAsia"/>
                <w:i/>
                <w:color w:val="000000"/>
                <w:szCs w:val="20"/>
              </w:rPr>
              <w:t>ERRFI1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986"/>
        </w:trPr>
        <w:tc>
          <w:tcPr>
            <w:tcW w:w="237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Low expression</w:t>
            </w:r>
          </w:p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(N=257)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High expression</w:t>
            </w:r>
          </w:p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(N=257)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i/>
                <w:szCs w:val="20"/>
              </w:rPr>
              <w:t>P</w:t>
            </w:r>
            <w:r w:rsidRPr="00692008">
              <w:rPr>
                <w:rFonts w:ascii="Arial" w:hAnsi="Arial" w:cs="Arial" w:hint="eastAsia"/>
                <w:szCs w:val="20"/>
              </w:rPr>
              <w:t xml:space="preserve"> value</w:t>
            </w: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Age, years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 xml:space="preserve">66.0 </w:t>
            </w:r>
            <w:r w:rsidRPr="00692008">
              <w:rPr>
                <w:rFonts w:ascii="Arial" w:hAnsi="Arial" w:cs="Arial"/>
                <w:szCs w:val="20"/>
              </w:rPr>
              <w:t>±</w:t>
            </w:r>
            <w:r w:rsidRPr="00692008">
              <w:rPr>
                <w:rFonts w:ascii="Arial" w:hAnsi="Arial" w:cs="Arial" w:hint="eastAsia"/>
                <w:szCs w:val="20"/>
              </w:rPr>
              <w:t xml:space="preserve"> 9.6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 xml:space="preserve">64.8 </w:t>
            </w:r>
            <w:r w:rsidRPr="00692008">
              <w:rPr>
                <w:rFonts w:ascii="Arial" w:hAnsi="Arial" w:cs="Arial"/>
                <w:szCs w:val="20"/>
              </w:rPr>
              <w:t>±</w:t>
            </w:r>
            <w:r w:rsidRPr="00692008">
              <w:rPr>
                <w:rFonts w:ascii="Arial" w:hAnsi="Arial" w:cs="Arial" w:hint="eastAsia"/>
                <w:szCs w:val="20"/>
              </w:rPr>
              <w:t xml:space="preserve"> 10.2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0.182</w:t>
            </w:r>
          </w:p>
        </w:tc>
      </w:tr>
      <w:tr w:rsidR="00692008" w:rsidRPr="00CD2988" w:rsidTr="00692008">
        <w:trPr>
          <w:trHeight w:val="357"/>
        </w:trPr>
        <w:tc>
          <w:tcPr>
            <w:tcW w:w="2375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Gender</w:t>
            </w:r>
          </w:p>
        </w:tc>
        <w:tc>
          <w:tcPr>
            <w:tcW w:w="1133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Male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238</w:t>
            </w:r>
            <w:r w:rsidRPr="00692008">
              <w:rPr>
                <w:rFonts w:ascii="Arial" w:hAnsi="Arial" w:cs="Arial"/>
                <w:szCs w:val="20"/>
              </w:rPr>
              <w:t xml:space="preserve"> (</w:t>
            </w:r>
            <w:r w:rsidRPr="00692008">
              <w:rPr>
                <w:rFonts w:ascii="Arial" w:hAnsi="Arial" w:cs="Arial" w:hint="eastAsia"/>
                <w:szCs w:val="20"/>
              </w:rPr>
              <w:t>46.3</w:t>
            </w:r>
            <w:r w:rsidRPr="00692008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120 (46.7)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118 (45.9)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0.930</w:t>
            </w: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Female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276</w:t>
            </w:r>
            <w:r w:rsidRPr="00692008">
              <w:rPr>
                <w:rFonts w:ascii="Arial" w:hAnsi="Arial" w:cs="Arial"/>
                <w:szCs w:val="20"/>
              </w:rPr>
              <w:t xml:space="preserve"> (</w:t>
            </w:r>
            <w:r w:rsidRPr="00692008">
              <w:rPr>
                <w:rFonts w:ascii="Arial" w:hAnsi="Arial" w:cs="Arial" w:hint="eastAsia"/>
                <w:szCs w:val="20"/>
              </w:rPr>
              <w:t>53.7</w:t>
            </w:r>
            <w:r w:rsidRPr="00692008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137 (53.3)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139 (54.1)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Smoking history</w:t>
            </w: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Never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165 (32.1)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90 (35.0)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75 (29.2)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0.186</w:t>
            </w: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Former or current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349 (67.9)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167 (65.0)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182 (70.8)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Anatomic site</w:t>
            </w: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RUL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186 (36.2)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105 (40.9)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81 (31.5)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0.095</w:t>
            </w: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RML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21 (4.1)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10 (3.9)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11 (4.3)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RLL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95 (18.5)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41 (16.0)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54 (21.0)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LUL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120 (23.3)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50 (19.5)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70 (27.2)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LLL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77 (15.0)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43 (16.7)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34 (13.2)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Unknown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15 (2.9)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8 (3.1)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7 (2.7)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161"/>
        </w:trPr>
        <w:tc>
          <w:tcPr>
            <w:tcW w:w="2375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T stage</w:t>
            </w: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T1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170 (33.1)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102 (39.7)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68 (26.5)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0.009*</w:t>
            </w: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T2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279 (54.3)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129 (50.2)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150 (58.4)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35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T3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46 (8.9)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17 (6.6)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29 (11.3)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T4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19 (3.7)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9 (3.5)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10 (3.9)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Lymph node metastasis</w:t>
            </w:r>
          </w:p>
        </w:tc>
        <w:tc>
          <w:tcPr>
            <w:tcW w:w="1133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N0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342 (66.5)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187 (72.8)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155 (60.3)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0.029*</w:t>
            </w:r>
          </w:p>
        </w:tc>
      </w:tr>
      <w:tr w:rsidR="00692008" w:rsidRPr="00CD2988" w:rsidTr="00692008">
        <w:trPr>
          <w:trHeight w:val="35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/>
                <w:szCs w:val="20"/>
              </w:rPr>
              <w:t>N1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96 (18.7)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39 (15.2)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57 (22.2)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N2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74 (14.4)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30 (11.7)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44 (17.1)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  <w:hideMark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N3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 (0.4)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 (0.4)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 (0.4)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35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Metastasis</w:t>
            </w: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M0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489 (95.1)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244 (94.9)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245 (95.3)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1.000</w:t>
            </w: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M1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25 (4.9)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13 (5.1)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12 (4.7)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  <w:tr w:rsidR="00692008" w:rsidRPr="00CD2988" w:rsidTr="00692008">
        <w:trPr>
          <w:trHeight w:val="367"/>
        </w:trPr>
        <w:tc>
          <w:tcPr>
            <w:tcW w:w="23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EGFR mutation</w:t>
            </w:r>
          </w:p>
        </w:tc>
        <w:tc>
          <w:tcPr>
            <w:tcW w:w="1133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Wild type</w:t>
            </w:r>
          </w:p>
        </w:tc>
        <w:tc>
          <w:tcPr>
            <w:tcW w:w="1275" w:type="dxa"/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452 (87.9)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221 (86.0)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231 (89.9)</w:t>
            </w:r>
          </w:p>
        </w:tc>
        <w:tc>
          <w:tcPr>
            <w:tcW w:w="1417" w:type="dxa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0.223</w:t>
            </w:r>
          </w:p>
        </w:tc>
      </w:tr>
      <w:tr w:rsidR="00692008" w:rsidRPr="00CD2988" w:rsidTr="00692008">
        <w:trPr>
          <w:trHeight w:val="357"/>
        </w:trPr>
        <w:tc>
          <w:tcPr>
            <w:tcW w:w="2375" w:type="dxa"/>
            <w:tcBorders>
              <w:bottom w:val="single" w:sz="4" w:space="0" w:color="auto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Mutant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62 (12.1)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36 (14.0)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  <w:r w:rsidRPr="00692008">
              <w:rPr>
                <w:rFonts w:ascii="Arial" w:hAnsi="Arial" w:cs="Arial" w:hint="eastAsia"/>
                <w:szCs w:val="20"/>
              </w:rPr>
              <w:t>26 (10.1)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92008" w:rsidRPr="00692008" w:rsidRDefault="00692008" w:rsidP="00692008">
            <w:pPr>
              <w:spacing w:line="276" w:lineRule="auto"/>
              <w:rPr>
                <w:rFonts w:ascii="Arial" w:hAnsi="Arial" w:cs="Arial"/>
                <w:szCs w:val="20"/>
              </w:rPr>
            </w:pPr>
          </w:p>
        </w:tc>
      </w:tr>
    </w:tbl>
    <w:p w:rsidR="00692008" w:rsidRPr="006B2E32" w:rsidRDefault="00692008" w:rsidP="00692008">
      <w:pPr>
        <w:spacing w:line="240" w:lineRule="auto"/>
        <w:ind w:left="-270"/>
        <w:jc w:val="left"/>
        <w:rPr>
          <w:rFonts w:ascii="Arial" w:eastAsia="HY신명조" w:hAnsi="Arial" w:cs="Arial"/>
          <w:szCs w:val="20"/>
        </w:rPr>
      </w:pPr>
    </w:p>
    <w:p w:rsidR="00692008" w:rsidRPr="006B2E32" w:rsidRDefault="00692008" w:rsidP="00692008">
      <w:pPr>
        <w:spacing w:line="240" w:lineRule="auto"/>
        <w:ind w:left="-270"/>
        <w:jc w:val="left"/>
        <w:rPr>
          <w:rFonts w:ascii="Arial" w:eastAsia="HY신명조" w:hAnsi="Arial" w:cs="Arial"/>
          <w:szCs w:val="20"/>
        </w:rPr>
      </w:pPr>
      <w:r w:rsidRPr="006B2E32">
        <w:rPr>
          <w:rFonts w:ascii="Arial" w:eastAsia="HY신명조" w:hAnsi="Arial" w:cs="Arial"/>
          <w:szCs w:val="20"/>
        </w:rPr>
        <w:t>*</w:t>
      </w:r>
      <w:r w:rsidRPr="006B2E32">
        <w:rPr>
          <w:rFonts w:ascii="Arial" w:eastAsia="HY신명조" w:hAnsi="Arial" w:cs="Arial"/>
          <w:i/>
          <w:szCs w:val="20"/>
        </w:rPr>
        <w:t>P</w:t>
      </w:r>
      <w:r w:rsidRPr="006B2E32">
        <w:rPr>
          <w:rFonts w:ascii="Arial" w:eastAsia="HY신명조" w:hAnsi="Arial" w:cs="Arial"/>
          <w:szCs w:val="20"/>
        </w:rPr>
        <w:t xml:space="preserve">&lt; 0.05 between the two categories for a given variable. </w:t>
      </w:r>
    </w:p>
    <w:p w:rsidR="00692008" w:rsidRPr="004D12CB" w:rsidRDefault="00692008" w:rsidP="00692008">
      <w:pPr>
        <w:spacing w:line="240" w:lineRule="auto"/>
        <w:ind w:left="-270"/>
        <w:jc w:val="left"/>
        <w:rPr>
          <w:rFonts w:ascii="Arial" w:eastAsia="HY신명조" w:hAnsi="Arial" w:cs="Arial"/>
          <w:szCs w:val="20"/>
        </w:rPr>
      </w:pPr>
    </w:p>
    <w:p w:rsidR="00692008" w:rsidRDefault="00692008" w:rsidP="00692008">
      <w:pPr>
        <w:spacing w:line="360" w:lineRule="auto"/>
        <w:rPr>
          <w:rFonts w:ascii="Arial" w:hAnsi="Arial" w:cs="Arial"/>
          <w:szCs w:val="20"/>
        </w:rPr>
      </w:pPr>
      <w:r>
        <w:rPr>
          <w:rFonts w:ascii="Arial" w:hAnsi="Arial" w:cs="Arial" w:hint="eastAsia"/>
          <w:szCs w:val="20"/>
        </w:rPr>
        <w:lastRenderedPageBreak/>
        <w:t xml:space="preserve">Table </w:t>
      </w:r>
      <w:r w:rsidR="00440749">
        <w:rPr>
          <w:rFonts w:ascii="Arial" w:hAnsi="Arial" w:cs="Arial"/>
          <w:szCs w:val="20"/>
        </w:rPr>
        <w:t>3</w:t>
      </w:r>
      <w:r>
        <w:rPr>
          <w:rFonts w:ascii="Arial" w:hAnsi="Arial" w:cs="Arial" w:hint="eastAsia"/>
          <w:szCs w:val="20"/>
        </w:rPr>
        <w:t xml:space="preserve">. Upregulated signaling in </w:t>
      </w:r>
      <w:r>
        <w:rPr>
          <w:rFonts w:ascii="Arial" w:hAnsi="Arial" w:cs="Arial"/>
          <w:szCs w:val="20"/>
        </w:rPr>
        <w:t xml:space="preserve">group </w:t>
      </w:r>
      <w:r>
        <w:rPr>
          <w:rFonts w:ascii="Arial" w:hAnsi="Arial" w:cs="Arial" w:hint="eastAsia"/>
          <w:szCs w:val="20"/>
        </w:rPr>
        <w:t xml:space="preserve">with high </w:t>
      </w:r>
      <w:r w:rsidRPr="007E6784">
        <w:rPr>
          <w:rFonts w:ascii="Arial" w:eastAsia="바탕체" w:hAnsi="Arial" w:cs="Arial" w:hint="eastAsia"/>
          <w:i/>
          <w:color w:val="000000"/>
          <w:szCs w:val="20"/>
        </w:rPr>
        <w:t>ERRFI1</w:t>
      </w:r>
      <w:r>
        <w:rPr>
          <w:rFonts w:ascii="Arial" w:hAnsi="Arial" w:cs="Arial"/>
          <w:szCs w:val="20"/>
        </w:rPr>
        <w:t xml:space="preserve"> expression compared to in group with </w:t>
      </w:r>
      <w:r>
        <w:rPr>
          <w:rFonts w:ascii="Arial" w:hAnsi="Arial" w:cs="Arial" w:hint="eastAsia"/>
          <w:szCs w:val="20"/>
        </w:rPr>
        <w:t xml:space="preserve">low </w:t>
      </w:r>
      <w:r w:rsidRPr="007E6784">
        <w:rPr>
          <w:rFonts w:ascii="Arial" w:eastAsia="바탕체" w:hAnsi="Arial" w:cs="Arial" w:hint="eastAsia"/>
          <w:i/>
          <w:color w:val="000000"/>
          <w:szCs w:val="20"/>
        </w:rPr>
        <w:t>ERRFI1</w:t>
      </w:r>
      <w:r>
        <w:rPr>
          <w:rFonts w:ascii="Arial" w:hAnsi="Arial" w:cs="Arial"/>
          <w:szCs w:val="20"/>
        </w:rPr>
        <w:t xml:space="preserve"> expression using </w:t>
      </w:r>
      <w:r>
        <w:rPr>
          <w:rFonts w:ascii="Arial" w:hAnsi="Arial" w:cs="Arial" w:hint="eastAsia"/>
          <w:szCs w:val="20"/>
        </w:rPr>
        <w:t>GO analysis (Total patients)</w:t>
      </w:r>
    </w:p>
    <w:tbl>
      <w:tblPr>
        <w:tblW w:w="6195" w:type="dxa"/>
        <w:tblBorders>
          <w:top w:val="single" w:sz="4" w:space="0" w:color="auto"/>
          <w:left w:val="single" w:sz="8" w:space="0" w:color="FFFFFF"/>
          <w:bottom w:val="single" w:sz="4" w:space="0" w:color="auto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5"/>
        <w:gridCol w:w="992"/>
        <w:gridCol w:w="1418"/>
      </w:tblGrid>
      <w:tr w:rsidR="00692008" w:rsidRPr="000C0559" w:rsidTr="00A52E3A">
        <w:trPr>
          <w:trHeight w:val="250"/>
        </w:trPr>
        <w:tc>
          <w:tcPr>
            <w:tcW w:w="37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GO terms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Fold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0C0559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i/>
                <w:szCs w:val="20"/>
              </w:rPr>
            </w:pPr>
            <w:r w:rsidRPr="000C0559">
              <w:rPr>
                <w:rFonts w:ascii="Arial" w:hAnsi="Arial" w:cs="Arial" w:hint="eastAsia"/>
                <w:bCs/>
                <w:i/>
                <w:szCs w:val="20"/>
              </w:rPr>
              <w:t>P value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B36AA">
              <w:rPr>
                <w:rFonts w:ascii="Arial" w:hAnsi="Arial" w:cs="Arial"/>
                <w:bCs/>
                <w:szCs w:val="20"/>
              </w:rPr>
              <w:t>G1/S transition of mitotic cell cycle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BB36AA">
              <w:rPr>
                <w:rFonts w:ascii="Arial" w:hAnsi="Arial" w:cs="Arial"/>
                <w:bCs/>
                <w:szCs w:val="20"/>
              </w:rPr>
              <w:t>2.99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0.0</w:t>
            </w:r>
            <w:r w:rsidRPr="00BB36AA">
              <w:rPr>
                <w:rFonts w:ascii="Arial" w:hAnsi="Arial" w:cs="Arial"/>
                <w:bCs/>
                <w:szCs w:val="20"/>
              </w:rPr>
              <w:t>1</w:t>
            </w:r>
            <w:r>
              <w:rPr>
                <w:rFonts w:ascii="Arial" w:hAnsi="Arial" w:cs="Arial" w:hint="eastAsia"/>
                <w:bCs/>
                <w:szCs w:val="20"/>
              </w:rPr>
              <w:t>5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B36AA" w:rsidRDefault="00692008" w:rsidP="00A52E3A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Regulation of mitotic nuclear division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6D68AF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2.56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0.001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/>
                <w:bCs/>
                <w:szCs w:val="20"/>
              </w:rPr>
              <w:t>M</w:t>
            </w:r>
            <w:r>
              <w:rPr>
                <w:rFonts w:ascii="Arial" w:hAnsi="Arial" w:cs="Arial" w:hint="eastAsia"/>
                <w:bCs/>
                <w:szCs w:val="20"/>
              </w:rPr>
              <w:t>itotic cell cycle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2.31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&lt;0.001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Response to hypoxia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 w:rsidRPr="00BB36AA">
              <w:rPr>
                <w:rFonts w:ascii="Arial" w:hAnsi="Arial" w:cs="Arial"/>
                <w:bCs/>
                <w:szCs w:val="20"/>
              </w:rPr>
              <w:t>2.27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color w:val="414141"/>
                <w:szCs w:val="20"/>
              </w:rPr>
              <w:t>0.00</w:t>
            </w:r>
            <w:r>
              <w:rPr>
                <w:rFonts w:ascii="Arial" w:hAnsi="Arial" w:cs="Arial"/>
                <w:color w:val="414141"/>
                <w:szCs w:val="20"/>
              </w:rPr>
              <w:t>2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P</w:t>
            </w:r>
            <w:r w:rsidRPr="00BB36AA">
              <w:rPr>
                <w:rFonts w:ascii="Arial" w:hAnsi="Arial" w:cs="Arial"/>
                <w:szCs w:val="20"/>
              </w:rPr>
              <w:t>ositive regulation of cell migration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2.12</w:t>
            </w:r>
          </w:p>
        </w:tc>
        <w:tc>
          <w:tcPr>
            <w:tcW w:w="1418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&lt;0.001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tcBorders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692008" w:rsidRPr="00087237" w:rsidRDefault="00692008" w:rsidP="00A52E3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Angiogenesis</w:t>
            </w:r>
          </w:p>
        </w:tc>
        <w:tc>
          <w:tcPr>
            <w:tcW w:w="992" w:type="dxa"/>
            <w:tcBorders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692008" w:rsidRPr="00087237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2.08</w:t>
            </w:r>
          </w:p>
        </w:tc>
        <w:tc>
          <w:tcPr>
            <w:tcW w:w="1418" w:type="dxa"/>
            <w:tcBorders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692008" w:rsidRPr="00087237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P</w:t>
            </w:r>
            <w:r w:rsidRPr="00BB36AA">
              <w:rPr>
                <w:rFonts w:ascii="Arial" w:hAnsi="Arial" w:cs="Arial"/>
                <w:szCs w:val="20"/>
              </w:rPr>
              <w:t>ositive regulation of cell proliferation</w:t>
            </w:r>
          </w:p>
        </w:tc>
        <w:tc>
          <w:tcPr>
            <w:tcW w:w="992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B36AA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1.75</w:t>
            </w:r>
          </w:p>
        </w:tc>
        <w:tc>
          <w:tcPr>
            <w:tcW w:w="1418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&lt;0.001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Cellular response to cytokine stimulus</w:t>
            </w:r>
          </w:p>
        </w:tc>
        <w:tc>
          <w:tcPr>
            <w:tcW w:w="992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6D68AF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1.70</w:t>
            </w:r>
          </w:p>
        </w:tc>
        <w:tc>
          <w:tcPr>
            <w:tcW w:w="1418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&lt;0.001</w:t>
            </w:r>
          </w:p>
        </w:tc>
      </w:tr>
      <w:tr w:rsidR="00692008" w:rsidRPr="00B574B8" w:rsidTr="00A52E3A">
        <w:trPr>
          <w:trHeight w:val="250"/>
        </w:trPr>
        <w:tc>
          <w:tcPr>
            <w:tcW w:w="3785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Positive regulation of cell differentiation</w:t>
            </w:r>
          </w:p>
        </w:tc>
        <w:tc>
          <w:tcPr>
            <w:tcW w:w="992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6D68AF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1.62</w:t>
            </w:r>
          </w:p>
        </w:tc>
        <w:tc>
          <w:tcPr>
            <w:tcW w:w="1418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Default="00692008" w:rsidP="00A52E3A">
            <w:pPr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0.006</w:t>
            </w:r>
          </w:p>
        </w:tc>
      </w:tr>
    </w:tbl>
    <w:p w:rsidR="00692008" w:rsidRDefault="00692008" w:rsidP="00692008">
      <w:pPr>
        <w:rPr>
          <w:rFonts w:ascii="Arial" w:hAnsi="Arial" w:cs="Arial"/>
          <w:szCs w:val="20"/>
        </w:rPr>
      </w:pPr>
    </w:p>
    <w:p w:rsidR="00692008" w:rsidRDefault="00692008" w:rsidP="00692008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br w:type="page"/>
      </w:r>
    </w:p>
    <w:p w:rsidR="00692008" w:rsidRPr="004947CA" w:rsidRDefault="00692008" w:rsidP="00692008">
      <w:pPr>
        <w:spacing w:line="360" w:lineRule="auto"/>
        <w:rPr>
          <w:rFonts w:ascii="Arial" w:hAnsi="Arial" w:cs="Arial"/>
          <w:szCs w:val="20"/>
        </w:rPr>
      </w:pPr>
      <w:r>
        <w:rPr>
          <w:rFonts w:ascii="Arial" w:hAnsi="Arial" w:cs="Arial" w:hint="eastAsia"/>
          <w:szCs w:val="20"/>
        </w:rPr>
        <w:lastRenderedPageBreak/>
        <w:t xml:space="preserve">Table </w:t>
      </w:r>
      <w:r w:rsidR="00440749">
        <w:rPr>
          <w:rFonts w:ascii="Arial" w:hAnsi="Arial" w:cs="Arial"/>
          <w:szCs w:val="20"/>
        </w:rPr>
        <w:t>4</w:t>
      </w:r>
      <w:r>
        <w:rPr>
          <w:rFonts w:ascii="Arial" w:hAnsi="Arial" w:cs="Arial" w:hint="eastAsia"/>
          <w:szCs w:val="20"/>
        </w:rPr>
        <w:t xml:space="preserve">. Upregulated signaling in </w:t>
      </w:r>
      <w:r>
        <w:rPr>
          <w:rFonts w:ascii="Arial" w:hAnsi="Arial" w:cs="Arial"/>
          <w:szCs w:val="20"/>
        </w:rPr>
        <w:t xml:space="preserve">group </w:t>
      </w:r>
      <w:r>
        <w:rPr>
          <w:rFonts w:ascii="Arial" w:hAnsi="Arial" w:cs="Arial" w:hint="eastAsia"/>
          <w:szCs w:val="20"/>
        </w:rPr>
        <w:t xml:space="preserve">with high </w:t>
      </w:r>
      <w:r w:rsidRPr="007E6784">
        <w:rPr>
          <w:rFonts w:ascii="Arial" w:eastAsia="바탕체" w:hAnsi="Arial" w:cs="Arial" w:hint="eastAsia"/>
          <w:i/>
          <w:color w:val="000000"/>
          <w:szCs w:val="20"/>
        </w:rPr>
        <w:t>ERRFI1</w:t>
      </w:r>
      <w:r>
        <w:rPr>
          <w:rFonts w:ascii="Arial" w:hAnsi="Arial" w:cs="Arial"/>
          <w:szCs w:val="20"/>
        </w:rPr>
        <w:t xml:space="preserve"> expression compared to in group with </w:t>
      </w:r>
      <w:r>
        <w:rPr>
          <w:rFonts w:ascii="Arial" w:hAnsi="Arial" w:cs="Arial" w:hint="eastAsia"/>
          <w:szCs w:val="20"/>
        </w:rPr>
        <w:t xml:space="preserve">low </w:t>
      </w:r>
      <w:r w:rsidRPr="007E6784">
        <w:rPr>
          <w:rFonts w:ascii="Arial" w:eastAsia="바탕체" w:hAnsi="Arial" w:cs="Arial" w:hint="eastAsia"/>
          <w:i/>
          <w:color w:val="000000"/>
          <w:szCs w:val="20"/>
        </w:rPr>
        <w:t>ERRFI1</w:t>
      </w:r>
      <w:r>
        <w:rPr>
          <w:rFonts w:ascii="Arial" w:hAnsi="Arial" w:cs="Arial"/>
          <w:szCs w:val="20"/>
        </w:rPr>
        <w:t xml:space="preserve"> expression using </w:t>
      </w:r>
      <w:r>
        <w:rPr>
          <w:rFonts w:ascii="Arial" w:hAnsi="Arial" w:cs="Arial" w:hint="eastAsia"/>
          <w:szCs w:val="20"/>
        </w:rPr>
        <w:t>GO analysis (Patients with EGFR mutation)</w:t>
      </w:r>
    </w:p>
    <w:tbl>
      <w:tblPr>
        <w:tblW w:w="6478" w:type="dxa"/>
        <w:tblBorders>
          <w:top w:val="single" w:sz="4" w:space="0" w:color="auto"/>
          <w:left w:val="single" w:sz="8" w:space="0" w:color="FFFFFF"/>
          <w:bottom w:val="single" w:sz="4" w:space="0" w:color="auto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0"/>
        <w:gridCol w:w="1134"/>
        <w:gridCol w:w="1134"/>
      </w:tblGrid>
      <w:tr w:rsidR="00692008" w:rsidRPr="000C0559" w:rsidTr="00A52E3A">
        <w:trPr>
          <w:trHeight w:val="250"/>
        </w:trPr>
        <w:tc>
          <w:tcPr>
            <w:tcW w:w="4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GO terms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Fold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92008" w:rsidRPr="000C0559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i/>
                <w:szCs w:val="20"/>
              </w:rPr>
            </w:pPr>
            <w:r w:rsidRPr="000C0559">
              <w:rPr>
                <w:rFonts w:ascii="Arial" w:hAnsi="Arial" w:cs="Arial" w:hint="eastAsia"/>
                <w:bCs/>
                <w:i/>
                <w:szCs w:val="20"/>
              </w:rPr>
              <w:t>P value</w:t>
            </w:r>
          </w:p>
        </w:tc>
      </w:tr>
      <w:tr w:rsidR="00692008" w:rsidRPr="00B574B8" w:rsidTr="00A52E3A">
        <w:trPr>
          <w:trHeight w:val="250"/>
        </w:trPr>
        <w:tc>
          <w:tcPr>
            <w:tcW w:w="421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Canonical glycolysis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8.07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0.029</w:t>
            </w:r>
          </w:p>
        </w:tc>
      </w:tr>
      <w:tr w:rsidR="00692008" w:rsidRPr="00B574B8" w:rsidTr="00A52E3A">
        <w:trPr>
          <w:trHeight w:val="250"/>
        </w:trPr>
        <w:tc>
          <w:tcPr>
            <w:tcW w:w="4210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Positive regulation of angiogenesis</w:t>
            </w:r>
          </w:p>
        </w:tc>
        <w:tc>
          <w:tcPr>
            <w:tcW w:w="1134" w:type="dxa"/>
          </w:tcPr>
          <w:p w:rsidR="0069200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3.22</w:t>
            </w:r>
          </w:p>
        </w:tc>
        <w:tc>
          <w:tcPr>
            <w:tcW w:w="1134" w:type="dxa"/>
          </w:tcPr>
          <w:p w:rsidR="0069200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0.009</w:t>
            </w:r>
          </w:p>
        </w:tc>
      </w:tr>
      <w:tr w:rsidR="00692008" w:rsidRPr="00B574B8" w:rsidTr="00A52E3A">
        <w:trPr>
          <w:trHeight w:val="250"/>
        </w:trPr>
        <w:tc>
          <w:tcPr>
            <w:tcW w:w="4210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Cellular response to tumor necrosis factor</w:t>
            </w:r>
          </w:p>
        </w:tc>
        <w:tc>
          <w:tcPr>
            <w:tcW w:w="1134" w:type="dxa"/>
          </w:tcPr>
          <w:p w:rsidR="00692008" w:rsidRPr="00470659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2.84</w:t>
            </w:r>
          </w:p>
        </w:tc>
        <w:tc>
          <w:tcPr>
            <w:tcW w:w="1134" w:type="dxa"/>
          </w:tcPr>
          <w:p w:rsidR="00692008" w:rsidRPr="00087237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0.003</w:t>
            </w:r>
          </w:p>
        </w:tc>
      </w:tr>
      <w:tr w:rsidR="00692008" w:rsidRPr="00B574B8" w:rsidTr="00A52E3A">
        <w:trPr>
          <w:trHeight w:val="250"/>
        </w:trPr>
        <w:tc>
          <w:tcPr>
            <w:tcW w:w="4210" w:type="dxa"/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Positive regulation of cell migration</w:t>
            </w:r>
          </w:p>
        </w:tc>
        <w:tc>
          <w:tcPr>
            <w:tcW w:w="1134" w:type="dxa"/>
          </w:tcPr>
          <w:p w:rsidR="00692008" w:rsidRPr="00470659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2.45</w:t>
            </w:r>
          </w:p>
        </w:tc>
        <w:tc>
          <w:tcPr>
            <w:tcW w:w="1134" w:type="dxa"/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&lt;0.001</w:t>
            </w:r>
          </w:p>
        </w:tc>
      </w:tr>
      <w:tr w:rsidR="00692008" w:rsidRPr="00B574B8" w:rsidTr="00A52E3A">
        <w:trPr>
          <w:trHeight w:val="250"/>
        </w:trPr>
        <w:tc>
          <w:tcPr>
            <w:tcW w:w="4210" w:type="dxa"/>
            <w:tcBorders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Positive regulation of cytokine production</w:t>
            </w:r>
          </w:p>
        </w:tc>
        <w:tc>
          <w:tcPr>
            <w:tcW w:w="1134" w:type="dxa"/>
            <w:tcBorders>
              <w:bottom w:val="single" w:sz="8" w:space="0" w:color="FFFFFF"/>
            </w:tcBorders>
          </w:tcPr>
          <w:p w:rsidR="00692008" w:rsidRPr="00A81462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2.24</w:t>
            </w:r>
          </w:p>
        </w:tc>
        <w:tc>
          <w:tcPr>
            <w:tcW w:w="1134" w:type="dxa"/>
            <w:tcBorders>
              <w:bottom w:val="single" w:sz="8" w:space="0" w:color="FFFFFF"/>
            </w:tcBorders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0.023</w:t>
            </w:r>
          </w:p>
        </w:tc>
      </w:tr>
      <w:tr w:rsidR="00692008" w:rsidRPr="00087237" w:rsidTr="00A52E3A">
        <w:trPr>
          <w:trHeight w:val="250"/>
        </w:trPr>
        <w:tc>
          <w:tcPr>
            <w:tcW w:w="42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692008" w:rsidRPr="00087237" w:rsidRDefault="00692008" w:rsidP="00A52E3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Inflammatory response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8" w:space="0" w:color="FFFFFF"/>
            </w:tcBorders>
          </w:tcPr>
          <w:p w:rsidR="00692008" w:rsidRPr="00087237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2.21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8" w:space="0" w:color="FFFFFF"/>
            </w:tcBorders>
          </w:tcPr>
          <w:p w:rsidR="00692008" w:rsidRPr="00087237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0.007</w:t>
            </w:r>
          </w:p>
        </w:tc>
      </w:tr>
      <w:tr w:rsidR="00692008" w:rsidRPr="00087237" w:rsidTr="00A52E3A">
        <w:trPr>
          <w:trHeight w:val="250"/>
        </w:trPr>
        <w:tc>
          <w:tcPr>
            <w:tcW w:w="42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692008" w:rsidRDefault="00692008" w:rsidP="00A52E3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Cytokine-mediated signaling pathway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8" w:space="0" w:color="FFFFFF"/>
            </w:tcBorders>
          </w:tcPr>
          <w:p w:rsidR="00692008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1.99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8" w:space="0" w:color="FFFFFF"/>
            </w:tcBorders>
          </w:tcPr>
          <w:p w:rsidR="00692008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0.017</w:t>
            </w:r>
          </w:p>
        </w:tc>
      </w:tr>
      <w:tr w:rsidR="00692008" w:rsidRPr="00087237" w:rsidTr="00A52E3A">
        <w:trPr>
          <w:trHeight w:val="250"/>
        </w:trPr>
        <w:tc>
          <w:tcPr>
            <w:tcW w:w="4210" w:type="dxa"/>
            <w:tcBorders>
              <w:top w:val="single" w:sz="8" w:space="0" w:color="FFFFFF"/>
              <w:bottom w:val="single" w:sz="8" w:space="0" w:color="FFFFFF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bottom"/>
          </w:tcPr>
          <w:p w:rsidR="00692008" w:rsidRPr="00B574B8" w:rsidRDefault="00692008" w:rsidP="00A52E3A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Positive regulation of cell proliferation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8" w:space="0" w:color="FFFFFF"/>
            </w:tcBorders>
          </w:tcPr>
          <w:p w:rsidR="00692008" w:rsidRPr="00470659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1.90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8" w:space="0" w:color="FFFFFF"/>
            </w:tcBorders>
          </w:tcPr>
          <w:p w:rsidR="00692008" w:rsidRPr="00B574B8" w:rsidRDefault="00692008" w:rsidP="00A52E3A">
            <w:pPr>
              <w:spacing w:line="360" w:lineRule="auto"/>
              <w:jc w:val="center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 w:hint="eastAsia"/>
                <w:bCs/>
                <w:szCs w:val="20"/>
              </w:rPr>
              <w:t>&lt;0.001</w:t>
            </w:r>
          </w:p>
        </w:tc>
      </w:tr>
      <w:tr w:rsidR="00692008" w:rsidRPr="00087237" w:rsidTr="00A52E3A">
        <w:trPr>
          <w:trHeight w:val="250"/>
        </w:trPr>
        <w:tc>
          <w:tcPr>
            <w:tcW w:w="4210" w:type="dxa"/>
            <w:tcBorders>
              <w:top w:val="single" w:sz="8" w:space="0" w:color="FFFFFF"/>
              <w:bottom w:val="single" w:sz="4" w:space="0" w:color="auto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:rsidR="00692008" w:rsidRPr="00087237" w:rsidRDefault="00692008" w:rsidP="00A52E3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Positive regulation of cell differentiation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4" w:space="0" w:color="auto"/>
            </w:tcBorders>
          </w:tcPr>
          <w:p w:rsidR="00692008" w:rsidRPr="00087237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1.76</w:t>
            </w:r>
          </w:p>
        </w:tc>
        <w:tc>
          <w:tcPr>
            <w:tcW w:w="1134" w:type="dxa"/>
            <w:tcBorders>
              <w:top w:val="single" w:sz="8" w:space="0" w:color="FFFFFF"/>
              <w:bottom w:val="single" w:sz="4" w:space="0" w:color="auto"/>
            </w:tcBorders>
          </w:tcPr>
          <w:p w:rsidR="00692008" w:rsidRPr="00087237" w:rsidRDefault="00692008" w:rsidP="00A52E3A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</w:tr>
    </w:tbl>
    <w:p w:rsidR="00692008" w:rsidRDefault="00692008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692008">
      <w:pPr>
        <w:rPr>
          <w:rFonts w:ascii="Arial" w:hAnsi="Arial" w:cs="Arial"/>
          <w:szCs w:val="20"/>
        </w:rPr>
      </w:pPr>
    </w:p>
    <w:p w:rsidR="00440749" w:rsidRDefault="00440749" w:rsidP="00440749">
      <w:pPr>
        <w:rPr>
          <w:sz w:val="22"/>
        </w:rPr>
      </w:pPr>
      <w:r w:rsidRPr="004D5321">
        <w:rPr>
          <w:rFonts w:hint="eastAsia"/>
          <w:sz w:val="22"/>
        </w:rPr>
        <w:lastRenderedPageBreak/>
        <w:t>T</w:t>
      </w:r>
      <w:r w:rsidRPr="004D5321">
        <w:rPr>
          <w:sz w:val="22"/>
        </w:rPr>
        <w:t xml:space="preserve">able </w:t>
      </w:r>
      <w:r>
        <w:rPr>
          <w:sz w:val="22"/>
        </w:rPr>
        <w:t>5</w:t>
      </w:r>
      <w:r w:rsidRPr="004D5321">
        <w:rPr>
          <w:sz w:val="22"/>
        </w:rPr>
        <w:t xml:space="preserve">. Characteristics of patents who underwent re-biopsy of tumors.  </w:t>
      </w:r>
    </w:p>
    <w:tbl>
      <w:tblPr>
        <w:tblStyle w:val="a3"/>
        <w:tblpPr w:leftFromText="142" w:rightFromText="142" w:horzAnchor="margin" w:tblpY="1035"/>
        <w:tblW w:w="0" w:type="auto"/>
        <w:tblLook w:val="04A0" w:firstRow="1" w:lastRow="0" w:firstColumn="1" w:lastColumn="0" w:noHBand="0" w:noVBand="1"/>
      </w:tblPr>
      <w:tblGrid>
        <w:gridCol w:w="846"/>
        <w:gridCol w:w="1134"/>
        <w:gridCol w:w="1702"/>
        <w:gridCol w:w="1814"/>
        <w:gridCol w:w="2552"/>
      </w:tblGrid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t>Patient</w:t>
            </w:r>
          </w:p>
        </w:tc>
        <w:tc>
          <w:tcPr>
            <w:tcW w:w="1134" w:type="dxa"/>
          </w:tcPr>
          <w:p w:rsidR="00BD2AD5" w:rsidRDefault="00BD2AD5" w:rsidP="00CC0307">
            <w:pPr>
              <w:jc w:val="center"/>
            </w:pPr>
            <w:r>
              <w:t>Age ranges</w:t>
            </w:r>
          </w:p>
        </w:tc>
        <w:tc>
          <w:tcPr>
            <w:tcW w:w="1702" w:type="dxa"/>
          </w:tcPr>
          <w:p w:rsidR="00BD2AD5" w:rsidRDefault="00BD2AD5" w:rsidP="00CC0307">
            <w:pPr>
              <w:jc w:val="center"/>
            </w:pPr>
            <w:r>
              <w:t>Initial biopsy</w:t>
            </w:r>
          </w:p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EGFR mutation)</w:t>
            </w:r>
          </w:p>
        </w:tc>
        <w:tc>
          <w:tcPr>
            <w:tcW w:w="1814" w:type="dxa"/>
          </w:tcPr>
          <w:p w:rsidR="00BD2AD5" w:rsidRPr="00895A5E" w:rsidRDefault="00BD2AD5" w:rsidP="00CC0307">
            <w:pPr>
              <w:jc w:val="center"/>
            </w:pPr>
            <w:r w:rsidRPr="00895A5E">
              <w:t>Re-biopsy (acquired T790M)</w:t>
            </w:r>
          </w:p>
        </w:tc>
        <w:tc>
          <w:tcPr>
            <w:tcW w:w="2552" w:type="dxa"/>
          </w:tcPr>
          <w:p w:rsidR="00BD2AD5" w:rsidRPr="00895A5E" w:rsidRDefault="00BD2AD5" w:rsidP="00CC0307">
            <w:pPr>
              <w:jc w:val="center"/>
            </w:pPr>
            <w:r w:rsidRPr="00895A5E">
              <w:t>Duration of 1</w:t>
            </w:r>
            <w:r w:rsidRPr="00895A5E">
              <w:rPr>
                <w:vertAlign w:val="superscript"/>
              </w:rPr>
              <w:t>st</w:t>
            </w:r>
            <w:r w:rsidRPr="00895A5E">
              <w:t xml:space="preserve"> </w:t>
            </w:r>
            <w:r w:rsidRPr="00895A5E">
              <w:rPr>
                <w:rFonts w:hint="eastAsia"/>
              </w:rPr>
              <w:t>E</w:t>
            </w:r>
            <w:r w:rsidRPr="00895A5E">
              <w:t>GFR-TKI</w:t>
            </w:r>
          </w:p>
          <w:p w:rsidR="00BD2AD5" w:rsidRPr="00895A5E" w:rsidRDefault="00BD2AD5" w:rsidP="00CC0307">
            <w:pPr>
              <w:jc w:val="center"/>
            </w:pPr>
            <w:r w:rsidRPr="00895A5E">
              <w:rPr>
                <w:rFonts w:hint="eastAsia"/>
              </w:rPr>
              <w:t>(</w:t>
            </w:r>
            <w:r w:rsidRPr="00895A5E">
              <w:t>months)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50</w:t>
            </w:r>
            <w:r>
              <w:t>’s</w:t>
            </w:r>
          </w:p>
        </w:tc>
        <w:tc>
          <w:tcPr>
            <w:tcW w:w="1702" w:type="dxa"/>
          </w:tcPr>
          <w:p w:rsidR="00BD2AD5" w:rsidRPr="009D0BF8" w:rsidRDefault="00BD2AD5" w:rsidP="00CC0307">
            <w:pPr>
              <w:jc w:val="center"/>
            </w:pPr>
            <w:r>
              <w:rPr>
                <w:rFonts w:hint="eastAsia"/>
              </w:rPr>
              <w:t>E</w:t>
            </w:r>
            <w:r>
              <w:t>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18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6</w:t>
            </w:r>
            <w:r>
              <w:t>0’s</w:t>
            </w:r>
          </w:p>
        </w:tc>
        <w:tc>
          <w:tcPr>
            <w:tcW w:w="1702" w:type="dxa"/>
          </w:tcPr>
          <w:p w:rsidR="00BD2AD5" w:rsidRPr="009D0BF8" w:rsidRDefault="00BD2AD5" w:rsidP="00CC0307">
            <w:pPr>
              <w:jc w:val="center"/>
            </w:pPr>
            <w:r>
              <w:rPr>
                <w:rFonts w:hint="eastAsia"/>
              </w:rPr>
              <w:t>E</w:t>
            </w:r>
            <w:r>
              <w:t>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17</w:t>
            </w:r>
          </w:p>
        </w:tc>
      </w:tr>
      <w:tr w:rsidR="00BD2AD5" w:rsidTr="00CC0307">
        <w:trPr>
          <w:trHeight w:val="417"/>
        </w:trPr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5</w:t>
            </w:r>
            <w:r>
              <w:t>0’s</w:t>
            </w:r>
          </w:p>
        </w:tc>
        <w:tc>
          <w:tcPr>
            <w:tcW w:w="1702" w:type="dxa"/>
          </w:tcPr>
          <w:p w:rsidR="00BD2AD5" w:rsidRPr="009D0BF8" w:rsidRDefault="00BD2AD5" w:rsidP="00CC0307">
            <w:pPr>
              <w:jc w:val="center"/>
            </w:pPr>
            <w:r>
              <w:rPr>
                <w:rFonts w:hint="eastAsia"/>
              </w:rPr>
              <w:t>L</w:t>
            </w:r>
            <w:r>
              <w:t>858R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10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7</w:t>
            </w:r>
            <w:r>
              <w:t>0’s</w:t>
            </w:r>
          </w:p>
        </w:tc>
        <w:tc>
          <w:tcPr>
            <w:tcW w:w="1702" w:type="dxa"/>
          </w:tcPr>
          <w:p w:rsidR="00BD2AD5" w:rsidRPr="009D0BF8" w:rsidRDefault="00BD2AD5" w:rsidP="00CC0307">
            <w:pPr>
              <w:jc w:val="center"/>
            </w:pPr>
            <w:r>
              <w:rPr>
                <w:rFonts w:hint="eastAsia"/>
              </w:rPr>
              <w:t>L</w:t>
            </w:r>
            <w:r>
              <w:t>858R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10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6</w:t>
            </w:r>
            <w:r>
              <w:t>0’s</w:t>
            </w:r>
          </w:p>
        </w:tc>
        <w:tc>
          <w:tcPr>
            <w:tcW w:w="1702" w:type="dxa"/>
          </w:tcPr>
          <w:p w:rsidR="00BD2AD5" w:rsidRPr="009D0BF8" w:rsidRDefault="00BD2AD5" w:rsidP="00CC0307">
            <w:pPr>
              <w:jc w:val="center"/>
            </w:pPr>
            <w:r>
              <w:rPr>
                <w:rFonts w:hint="eastAsia"/>
              </w:rPr>
              <w:t>L</w:t>
            </w:r>
            <w:r>
              <w:t>858R or L861Q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9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5</w:t>
            </w:r>
            <w:r>
              <w:t>0’s</w:t>
            </w:r>
          </w:p>
        </w:tc>
        <w:tc>
          <w:tcPr>
            <w:tcW w:w="1702" w:type="dxa"/>
          </w:tcPr>
          <w:p w:rsidR="00BD2AD5" w:rsidRPr="009D0BF8" w:rsidRDefault="00BD2AD5" w:rsidP="00CC0307">
            <w:pPr>
              <w:jc w:val="center"/>
            </w:pPr>
            <w:r w:rsidRPr="00093ACF">
              <w:t>L858R or L861Q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26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7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 w:rsidRPr="0042542E">
              <w:t>L858R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5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6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 w:rsidRPr="0042542E">
              <w:t>E19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25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5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 w:rsidRPr="0042542E">
              <w:t>E19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18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7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 w:rsidRPr="0042542E">
              <w:t>G719X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18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5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 w:rsidRPr="0042542E">
              <w:t>E19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23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6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>
              <w:rPr>
                <w:rFonts w:hint="eastAsia"/>
              </w:rPr>
              <w:t>E</w:t>
            </w:r>
            <w:r>
              <w:t>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10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5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>
              <w:rPr>
                <w:rFonts w:hint="eastAsia"/>
              </w:rPr>
              <w:t>L</w:t>
            </w:r>
            <w:r>
              <w:t>858R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16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t>14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8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>
              <w:rPr>
                <w:rFonts w:hint="eastAsia"/>
              </w:rPr>
              <w:t>G</w:t>
            </w:r>
            <w:r>
              <w:t>719X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16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5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>
              <w:rPr>
                <w:rFonts w:hint="eastAsia"/>
              </w:rPr>
              <w:t>L</w:t>
            </w:r>
            <w:r>
              <w:t>858R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5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6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>
              <w:rPr>
                <w:rFonts w:hint="eastAsia"/>
              </w:rPr>
              <w:t>E</w:t>
            </w:r>
            <w:r>
              <w:t>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42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 w:rsidRPr="001E1BB1">
              <w:t>7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>
              <w:rPr>
                <w:rFonts w:hint="eastAsia"/>
              </w:rPr>
              <w:t>E</w:t>
            </w:r>
            <w:r>
              <w:t>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 w:rsidRPr="005B4ACA">
              <w:t>11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134" w:type="dxa"/>
          </w:tcPr>
          <w:p w:rsidR="00BD2AD5" w:rsidRDefault="00BD2AD5" w:rsidP="00CC0307">
            <w:pPr>
              <w:jc w:val="center"/>
            </w:pPr>
            <w:r w:rsidRPr="001E1BB1">
              <w:t>5</w:t>
            </w:r>
            <w:r>
              <w:t>0’s</w:t>
            </w:r>
          </w:p>
        </w:tc>
        <w:tc>
          <w:tcPr>
            <w:tcW w:w="1702" w:type="dxa"/>
          </w:tcPr>
          <w:p w:rsidR="00BD2AD5" w:rsidRPr="0042542E" w:rsidRDefault="00BD2AD5" w:rsidP="00CC0307">
            <w:pPr>
              <w:jc w:val="center"/>
            </w:pPr>
            <w:r>
              <w:rPr>
                <w:rFonts w:hint="eastAsia"/>
              </w:rPr>
              <w:t>E</w:t>
            </w:r>
            <w:r>
              <w:t>19 del</w:t>
            </w:r>
          </w:p>
        </w:tc>
        <w:tc>
          <w:tcPr>
            <w:tcW w:w="1814" w:type="dxa"/>
          </w:tcPr>
          <w:p w:rsidR="00BD2AD5" w:rsidRPr="00B57C1B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Default="00BD2AD5" w:rsidP="00CC0307">
            <w:pPr>
              <w:jc w:val="center"/>
            </w:pPr>
            <w:r w:rsidRPr="005B4ACA">
              <w:t>7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134" w:type="dxa"/>
            <w:vAlign w:val="center"/>
          </w:tcPr>
          <w:p w:rsidR="00BD2AD5" w:rsidRPr="00AB64A2" w:rsidRDefault="00BD2AD5" w:rsidP="00CC030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5</w:t>
            </w:r>
            <w:r>
              <w:rPr>
                <w:rFonts w:ascii="맑은 고딕" w:eastAsia="맑은 고딕" w:hAnsi="맑은 고딕"/>
                <w:color w:val="000000"/>
                <w:szCs w:val="20"/>
              </w:rPr>
              <w:t>0’s</w:t>
            </w:r>
          </w:p>
        </w:tc>
        <w:tc>
          <w:tcPr>
            <w:tcW w:w="1702" w:type="dxa"/>
            <w:vAlign w:val="center"/>
          </w:tcPr>
          <w:p w:rsidR="00BD2AD5" w:rsidRPr="00AB64A2" w:rsidRDefault="00BD2AD5" w:rsidP="00CC030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L858R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  <w:vAlign w:val="center"/>
          </w:tcPr>
          <w:p w:rsidR="00BD2AD5" w:rsidRDefault="00BD2AD5" w:rsidP="00CC030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="맑은 고딕" w:eastAsia="맑은 고딕" w:hAnsi="맑은 고딕"/>
                <w:color w:val="000000"/>
                <w:sz w:val="22"/>
              </w:rPr>
              <w:t>16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134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3</w:t>
            </w:r>
            <w:r>
              <w:rPr>
                <w:rFonts w:ascii="맑은 고딕" w:eastAsia="맑은 고딕" w:hAnsi="맑은 고딕"/>
                <w:color w:val="000000"/>
                <w:szCs w:val="20"/>
              </w:rPr>
              <w:t>0’s</w:t>
            </w:r>
          </w:p>
        </w:tc>
        <w:tc>
          <w:tcPr>
            <w:tcW w:w="1702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19del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  <w:vAlign w:val="center"/>
          </w:tcPr>
          <w:p w:rsidR="00BD2AD5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="맑은 고딕" w:eastAsia="맑은 고딕" w:hAnsi="맑은 고딕"/>
                <w:color w:val="000000"/>
                <w:sz w:val="22"/>
              </w:rPr>
              <w:t>7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134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6</w:t>
            </w:r>
            <w:r>
              <w:rPr>
                <w:rFonts w:ascii="맑은 고딕" w:eastAsia="맑은 고딕" w:hAnsi="맑은 고딕"/>
                <w:color w:val="000000"/>
                <w:szCs w:val="20"/>
              </w:rPr>
              <w:t>0’s</w:t>
            </w:r>
          </w:p>
        </w:tc>
        <w:tc>
          <w:tcPr>
            <w:tcW w:w="1702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19del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  <w:vAlign w:val="center"/>
          </w:tcPr>
          <w:p w:rsidR="00BD2AD5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="맑은 고딕" w:eastAsia="맑은 고딕" w:hAnsi="맑은 고딕"/>
                <w:color w:val="000000"/>
                <w:sz w:val="22"/>
              </w:rPr>
              <w:t>10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134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5</w:t>
            </w:r>
            <w:r>
              <w:rPr>
                <w:rFonts w:ascii="맑은 고딕" w:eastAsia="맑은 고딕" w:hAnsi="맑은 고딕"/>
                <w:color w:val="000000"/>
                <w:szCs w:val="20"/>
              </w:rPr>
              <w:t>0’s</w:t>
            </w:r>
          </w:p>
        </w:tc>
        <w:tc>
          <w:tcPr>
            <w:tcW w:w="1702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19del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  <w:vAlign w:val="center"/>
          </w:tcPr>
          <w:p w:rsidR="00BD2AD5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="맑은 고딕" w:eastAsia="맑은 고딕" w:hAnsi="맑은 고딕"/>
                <w:color w:val="000000"/>
                <w:sz w:val="22"/>
              </w:rPr>
              <w:t>14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134" w:type="dxa"/>
            <w:vAlign w:val="center"/>
          </w:tcPr>
          <w:p w:rsidR="00BD2AD5" w:rsidRPr="00AB64A2" w:rsidRDefault="00BD2AD5" w:rsidP="00CC030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>
              <w:rPr>
                <w:rFonts w:ascii="맑은 고딕" w:eastAsia="맑은 고딕" w:hAnsi="맑은 고딕" w:hint="eastAsia"/>
                <w:color w:val="000000"/>
                <w:szCs w:val="20"/>
              </w:rPr>
              <w:t>8</w:t>
            </w:r>
            <w:r>
              <w:rPr>
                <w:rFonts w:ascii="맑은 고딕" w:eastAsia="맑은 고딕" w:hAnsi="맑은 고딕"/>
                <w:color w:val="000000"/>
                <w:szCs w:val="20"/>
              </w:rPr>
              <w:t>0’s</w:t>
            </w:r>
          </w:p>
        </w:tc>
        <w:tc>
          <w:tcPr>
            <w:tcW w:w="1702" w:type="dxa"/>
          </w:tcPr>
          <w:p w:rsidR="00BD2AD5" w:rsidRPr="009D0BF8" w:rsidRDefault="00BD2AD5" w:rsidP="00CC0307">
            <w:pPr>
              <w:jc w:val="center"/>
            </w:pPr>
            <w:r w:rsidRPr="00093ACF">
              <w:t>L858R or L861Q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  <w:vAlign w:val="center"/>
          </w:tcPr>
          <w:p w:rsidR="00BD2AD5" w:rsidRDefault="00BD2AD5" w:rsidP="00CC0307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</w:t>
            </w:r>
            <w:r>
              <w:rPr>
                <w:rFonts w:ascii="맑은 고딕" w:eastAsia="맑은 고딕" w:hAnsi="맑은 고딕"/>
                <w:color w:val="000000"/>
                <w:sz w:val="22"/>
              </w:rPr>
              <w:t>6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134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>
              <w:rPr>
                <w:rFonts w:ascii="맑은 고딕" w:eastAsia="맑은 고딕" w:hAnsi="맑은 고딕" w:hint="eastAsia"/>
                <w:color w:val="000000"/>
                <w:szCs w:val="20"/>
              </w:rPr>
              <w:t>6</w:t>
            </w:r>
            <w:r>
              <w:rPr>
                <w:rFonts w:ascii="맑은 고딕" w:eastAsia="맑은 고딕" w:hAnsi="맑은 고딕"/>
                <w:color w:val="000000"/>
                <w:szCs w:val="20"/>
              </w:rPr>
              <w:t>0’s</w:t>
            </w:r>
          </w:p>
        </w:tc>
        <w:tc>
          <w:tcPr>
            <w:tcW w:w="1702" w:type="dxa"/>
            <w:vAlign w:val="center"/>
          </w:tcPr>
          <w:p w:rsidR="00BD2AD5" w:rsidRPr="00AB64A2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Cs w:val="20"/>
              </w:rPr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19del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  <w:vAlign w:val="center"/>
          </w:tcPr>
          <w:p w:rsidR="00BD2AD5" w:rsidRDefault="00BD2AD5" w:rsidP="00CC0307">
            <w:pPr>
              <w:jc w:val="center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</w:t>
            </w:r>
            <w:r>
              <w:rPr>
                <w:rFonts w:ascii="맑은 고딕" w:eastAsia="맑은 고딕" w:hAnsi="맑은 고딕"/>
                <w:color w:val="000000"/>
                <w:sz w:val="22"/>
              </w:rPr>
              <w:t>2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>
              <w:rPr>
                <w:rFonts w:hint="eastAsia"/>
              </w:rPr>
              <w:t>8</w:t>
            </w:r>
            <w:r>
              <w:t>0’s</w:t>
            </w:r>
          </w:p>
        </w:tc>
        <w:tc>
          <w:tcPr>
            <w:tcW w:w="1702" w:type="dxa"/>
          </w:tcPr>
          <w:p w:rsidR="00BD2AD5" w:rsidRDefault="00BD2AD5" w:rsidP="00CC0307">
            <w:pPr>
              <w:jc w:val="center"/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19del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+)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7</w:t>
            </w:r>
          </w:p>
        </w:tc>
      </w:tr>
      <w:tr w:rsidR="00BD2AD5" w:rsidTr="00CC0307">
        <w:tc>
          <w:tcPr>
            <w:tcW w:w="846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134" w:type="dxa"/>
          </w:tcPr>
          <w:p w:rsidR="00BD2AD5" w:rsidRPr="001E1BB1" w:rsidRDefault="00BD2AD5" w:rsidP="00CC0307">
            <w:pPr>
              <w:jc w:val="center"/>
            </w:pPr>
            <w:r>
              <w:rPr>
                <w:rFonts w:hint="eastAsia"/>
              </w:rPr>
              <w:t>8</w:t>
            </w:r>
            <w:r>
              <w:t>0’s</w:t>
            </w:r>
          </w:p>
        </w:tc>
        <w:tc>
          <w:tcPr>
            <w:tcW w:w="1702" w:type="dxa"/>
          </w:tcPr>
          <w:p w:rsidR="00BD2AD5" w:rsidRDefault="00BD2AD5" w:rsidP="00CC0307">
            <w:pPr>
              <w:jc w:val="center"/>
            </w:pPr>
            <w:r w:rsidRPr="00AB64A2">
              <w:rPr>
                <w:rFonts w:ascii="맑은 고딕" w:eastAsia="맑은 고딕" w:hAnsi="맑은 고딕" w:hint="eastAsia"/>
                <w:color w:val="000000"/>
                <w:szCs w:val="20"/>
              </w:rPr>
              <w:t>19del</w:t>
            </w:r>
          </w:p>
        </w:tc>
        <w:tc>
          <w:tcPr>
            <w:tcW w:w="1814" w:type="dxa"/>
          </w:tcPr>
          <w:p w:rsidR="00BD2AD5" w:rsidRDefault="00BD2AD5" w:rsidP="00CC0307">
            <w:pPr>
              <w:jc w:val="center"/>
            </w:pPr>
            <w:r>
              <w:rPr>
                <w:rFonts w:hint="eastAsia"/>
              </w:rPr>
              <w:t>(</w:t>
            </w:r>
            <w:r>
              <w:t>-)</w:t>
            </w:r>
          </w:p>
        </w:tc>
        <w:tc>
          <w:tcPr>
            <w:tcW w:w="2552" w:type="dxa"/>
          </w:tcPr>
          <w:p w:rsidR="00BD2AD5" w:rsidRPr="005B4ACA" w:rsidRDefault="00BD2AD5" w:rsidP="00CC0307"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</w:tbl>
    <w:p w:rsidR="00440749" w:rsidRDefault="00440749" w:rsidP="00440749">
      <w:pPr>
        <w:rPr>
          <w:color w:val="FF0000"/>
          <w:sz w:val="22"/>
        </w:rPr>
      </w:pPr>
    </w:p>
    <w:p w:rsidR="00440749" w:rsidRDefault="00440749" w:rsidP="00440749">
      <w:pPr>
        <w:rPr>
          <w:color w:val="FF0000"/>
          <w:sz w:val="22"/>
        </w:rPr>
      </w:pPr>
    </w:p>
    <w:p w:rsidR="00692008" w:rsidRPr="00B01119" w:rsidRDefault="00692008" w:rsidP="00093ACF">
      <w:pPr>
        <w:rPr>
          <w:rFonts w:ascii="Arial" w:hAnsi="Arial" w:cs="Arial"/>
          <w:szCs w:val="20"/>
        </w:rPr>
      </w:pPr>
    </w:p>
    <w:sectPr w:rsidR="00692008" w:rsidRPr="00B011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4698" w:rsidRDefault="00964698" w:rsidP="00B01119">
      <w:pPr>
        <w:spacing w:after="0" w:line="240" w:lineRule="auto"/>
      </w:pPr>
      <w:r>
        <w:separator/>
      </w:r>
    </w:p>
  </w:endnote>
  <w:endnote w:type="continuationSeparator" w:id="0">
    <w:p w:rsidR="00964698" w:rsidRDefault="00964698" w:rsidP="00B01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4698" w:rsidRDefault="00964698" w:rsidP="00B01119">
      <w:pPr>
        <w:spacing w:after="0" w:line="240" w:lineRule="auto"/>
      </w:pPr>
      <w:r>
        <w:separator/>
      </w:r>
    </w:p>
  </w:footnote>
  <w:footnote w:type="continuationSeparator" w:id="0">
    <w:p w:rsidR="00964698" w:rsidRDefault="00964698" w:rsidP="00B011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C65409"/>
    <w:multiLevelType w:val="hybridMultilevel"/>
    <w:tmpl w:val="D1204DB8"/>
    <w:lvl w:ilvl="0" w:tplc="A50077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B43"/>
    <w:rsid w:val="00071764"/>
    <w:rsid w:val="00093ACF"/>
    <w:rsid w:val="000C1AE2"/>
    <w:rsid w:val="000C6082"/>
    <w:rsid w:val="00297AF7"/>
    <w:rsid w:val="003D1812"/>
    <w:rsid w:val="00440749"/>
    <w:rsid w:val="004903DD"/>
    <w:rsid w:val="004D5321"/>
    <w:rsid w:val="00502F3C"/>
    <w:rsid w:val="00692008"/>
    <w:rsid w:val="00723597"/>
    <w:rsid w:val="00895A5E"/>
    <w:rsid w:val="00964698"/>
    <w:rsid w:val="009F1B43"/>
    <w:rsid w:val="00A02460"/>
    <w:rsid w:val="00A31F00"/>
    <w:rsid w:val="00B01119"/>
    <w:rsid w:val="00B3477A"/>
    <w:rsid w:val="00B93DFC"/>
    <w:rsid w:val="00BD2AD5"/>
    <w:rsid w:val="00ED6018"/>
    <w:rsid w:val="00EF4296"/>
    <w:rsid w:val="00F4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1574AD-C487-40D1-8B62-23B599FE9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1B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93ACF"/>
    <w:pPr>
      <w:ind w:leftChars="400" w:left="800"/>
    </w:pPr>
  </w:style>
  <w:style w:type="paragraph" w:styleId="2">
    <w:name w:val="Body Text 2"/>
    <w:basedOn w:val="a"/>
    <w:link w:val="2Char"/>
    <w:uiPriority w:val="99"/>
    <w:rsid w:val="00692008"/>
    <w:pPr>
      <w:widowControl/>
      <w:wordWrap/>
      <w:autoSpaceDE/>
      <w:autoSpaceDN/>
      <w:spacing w:after="0" w:line="240" w:lineRule="auto"/>
    </w:pPr>
    <w:rPr>
      <w:rFonts w:ascii="Times New Roman" w:eastAsia="바탕체" w:hAnsi="Times New Roman" w:cs="Times New Roman"/>
      <w:i/>
      <w:noProof/>
      <w:kern w:val="0"/>
      <w:sz w:val="24"/>
      <w:szCs w:val="20"/>
      <w:lang w:val="x-none" w:eastAsia="en-US"/>
    </w:rPr>
  </w:style>
  <w:style w:type="character" w:customStyle="1" w:styleId="2Char">
    <w:name w:val="본문 2 Char"/>
    <w:basedOn w:val="a0"/>
    <w:link w:val="2"/>
    <w:uiPriority w:val="99"/>
    <w:rsid w:val="00692008"/>
    <w:rPr>
      <w:rFonts w:ascii="Times New Roman" w:eastAsia="바탕체" w:hAnsi="Times New Roman" w:cs="Times New Roman"/>
      <w:i/>
      <w:noProof/>
      <w:kern w:val="0"/>
      <w:sz w:val="24"/>
      <w:szCs w:val="20"/>
      <w:lang w:val="x-none" w:eastAsia="en-US"/>
    </w:rPr>
  </w:style>
  <w:style w:type="paragraph" w:styleId="a5">
    <w:name w:val="header"/>
    <w:basedOn w:val="a"/>
    <w:link w:val="Char"/>
    <w:uiPriority w:val="99"/>
    <w:unhideWhenUsed/>
    <w:rsid w:val="00B0111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01119"/>
  </w:style>
  <w:style w:type="paragraph" w:styleId="a6">
    <w:name w:val="footer"/>
    <w:basedOn w:val="a"/>
    <w:link w:val="Char0"/>
    <w:uiPriority w:val="99"/>
    <w:unhideWhenUsed/>
    <w:rsid w:val="00B0111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01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정재욱</dc:creator>
  <cp:keywords/>
  <dc:description/>
  <cp:lastModifiedBy>정 재욱</cp:lastModifiedBy>
  <cp:revision>2</cp:revision>
  <dcterms:created xsi:type="dcterms:W3CDTF">2019-08-23T14:42:00Z</dcterms:created>
  <dcterms:modified xsi:type="dcterms:W3CDTF">2019-08-23T14:42:00Z</dcterms:modified>
</cp:coreProperties>
</file>