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C0D60" w14:textId="77777777" w:rsidR="00DA5EEE" w:rsidRPr="008D6E03" w:rsidRDefault="00DA5EEE" w:rsidP="00DA5E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6E03">
        <w:rPr>
          <w:rFonts w:ascii="Times New Roman" w:hAnsi="Times New Roman" w:cs="Times New Roman"/>
          <w:b/>
          <w:bCs/>
          <w:color w:val="101214"/>
          <w:sz w:val="24"/>
          <w:szCs w:val="24"/>
          <w:shd w:val="clear" w:color="auto" w:fill="FFFFFF"/>
        </w:rPr>
        <w:t>Supplementary Material</w:t>
      </w:r>
    </w:p>
    <w:p w14:paraId="0DE06061" w14:textId="77777777" w:rsidR="00293F75" w:rsidRDefault="00293F75" w:rsidP="00293F75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2167BFA6" w14:textId="77777777" w:rsidR="0039086F" w:rsidRDefault="0039086F" w:rsidP="00293F75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58B178FE" w14:textId="77777777" w:rsidR="0039086F" w:rsidRDefault="0039086F" w:rsidP="0039086F">
      <w:pPr>
        <w:rPr>
          <w:rFonts w:ascii="Times New Roman" w:hAnsi="Times New Roman" w:cs="Times New Roman"/>
        </w:rPr>
      </w:pPr>
    </w:p>
    <w:p w14:paraId="2B7B9A8A" w14:textId="2BD4BC81" w:rsidR="0039086F" w:rsidRDefault="00294012" w:rsidP="00390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5066A0" wp14:editId="7E8A1C9B">
            <wp:extent cx="5274310" cy="3956050"/>
            <wp:effectExtent l="0" t="0" r="2540" b="6350"/>
            <wp:docPr id="13252723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72384" name="图片 13252723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7A0C" w14:textId="6C747596" w:rsidR="0039086F" w:rsidRPr="00D22BA5" w:rsidRDefault="0039086F" w:rsidP="0039086F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22BA5">
        <w:rPr>
          <w:rFonts w:ascii="Times New Roman" w:hAnsi="Times New Roman" w:cs="Times New Roman"/>
          <w:b/>
          <w:bCs/>
          <w:sz w:val="16"/>
          <w:szCs w:val="16"/>
        </w:rPr>
        <w:t xml:space="preserve">Figure </w:t>
      </w:r>
      <w:r w:rsidR="001F1449">
        <w:rPr>
          <w:rFonts w:ascii="Times New Roman" w:hAnsi="Times New Roman" w:cs="Times New Roman" w:hint="eastAsia"/>
          <w:b/>
          <w:bCs/>
          <w:sz w:val="16"/>
          <w:szCs w:val="16"/>
        </w:rPr>
        <w:t>s</w:t>
      </w:r>
      <w:r>
        <w:rPr>
          <w:rFonts w:ascii="Times New Roman" w:hAnsi="Times New Roman" w:cs="Times New Roman"/>
          <w:b/>
          <w:bCs/>
          <w:sz w:val="16"/>
          <w:szCs w:val="16"/>
        </w:rPr>
        <w:t>1</w:t>
      </w:r>
      <w:r w:rsidRPr="00D22BA5">
        <w:rPr>
          <w:rFonts w:ascii="Times New Roman" w:hAnsi="Times New Roman" w:cs="Times New Roman"/>
          <w:b/>
          <w:bCs/>
          <w:sz w:val="16"/>
          <w:szCs w:val="16"/>
        </w:rPr>
        <w:t xml:space="preserve"> Scatter plot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and </w:t>
      </w:r>
      <w:r w:rsidRPr="00D22BA5">
        <w:rPr>
          <w:rFonts w:ascii="Times New Roman" w:hAnsi="Times New Roman" w:cs="Times New Roman"/>
          <w:b/>
          <w:bCs/>
          <w:sz w:val="16"/>
          <w:szCs w:val="16"/>
        </w:rPr>
        <w:t>regression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line between a</w:t>
      </w:r>
      <w:r w:rsidRPr="00D22BA5">
        <w:rPr>
          <w:rFonts w:ascii="Times New Roman" w:hAnsi="Times New Roman" w:cs="Times New Roman"/>
          <w:b/>
          <w:bCs/>
          <w:sz w:val="16"/>
          <w:szCs w:val="16"/>
        </w:rPr>
        <w:t>ge and severity of PU</w:t>
      </w:r>
    </w:p>
    <w:p w14:paraId="124431CD" w14:textId="42586E45" w:rsidR="00293F75" w:rsidRDefault="00A95CFF" w:rsidP="00293F7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558B37B0" wp14:editId="1322918D">
            <wp:extent cx="5274310" cy="3956050"/>
            <wp:effectExtent l="0" t="0" r="2540" b="6350"/>
            <wp:docPr id="18524290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29050" name="图片 18524290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72EAF" w14:textId="4442FF07" w:rsidR="00293F75" w:rsidRDefault="00CA5F8C" w:rsidP="00293F75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="00DA5EE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293F75" w:rsidRPr="00FE0ECB">
        <w:rPr>
          <w:rFonts w:ascii="Times New Roman" w:hAnsi="Times New Roman" w:cs="Times New Roman"/>
          <w:b/>
          <w:bCs/>
          <w:sz w:val="16"/>
          <w:szCs w:val="16"/>
        </w:rPr>
        <w:t xml:space="preserve">Figure </w:t>
      </w:r>
      <w:r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293F75" w:rsidRPr="00FE0ECB">
        <w:rPr>
          <w:rFonts w:ascii="Times New Roman" w:hAnsi="Times New Roman" w:cs="Times New Roman"/>
          <w:b/>
          <w:bCs/>
          <w:sz w:val="16"/>
          <w:szCs w:val="16"/>
        </w:rPr>
        <w:t xml:space="preserve"> The </w:t>
      </w:r>
      <w:r w:rsidR="00293F75">
        <w:rPr>
          <w:rFonts w:ascii="Times New Roman" w:hAnsi="Times New Roman" w:cs="Times New Roman"/>
          <w:b/>
          <w:bCs/>
          <w:sz w:val="16"/>
          <w:szCs w:val="16"/>
        </w:rPr>
        <w:t>heatmaps</w:t>
      </w:r>
      <w:r w:rsidR="00293F75" w:rsidRPr="00FE0ECB">
        <w:rPr>
          <w:rFonts w:ascii="Times New Roman" w:hAnsi="Times New Roman" w:cs="Times New Roman"/>
          <w:b/>
          <w:bCs/>
          <w:sz w:val="16"/>
          <w:szCs w:val="16"/>
        </w:rPr>
        <w:t xml:space="preserve"> of pairwise partial correlation coefficients controlling age in PU group</w:t>
      </w:r>
    </w:p>
    <w:p w14:paraId="2906C5AB" w14:textId="555759F3" w:rsidR="00293F75" w:rsidRDefault="00293F75" w:rsidP="00293F75">
      <w:pPr>
        <w:rPr>
          <w:rFonts w:ascii="Times New Roman" w:hAnsi="Times New Roman" w:cs="Times New Roman"/>
          <w:sz w:val="16"/>
          <w:szCs w:val="16"/>
        </w:rPr>
      </w:pPr>
      <w:r w:rsidRPr="00FE0ECB">
        <w:rPr>
          <w:rFonts w:ascii="Times New Roman" w:hAnsi="Times New Roman" w:cs="Times New Roman"/>
          <w:sz w:val="16"/>
          <w:szCs w:val="16"/>
        </w:rPr>
        <w:t>Notes:</w:t>
      </w:r>
      <w:r w:rsidRPr="00D4060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PUTS: the total score of PUTS; </w:t>
      </w:r>
      <w:proofErr w:type="spellStart"/>
      <w:r w:rsidR="00A95CFF">
        <w:rPr>
          <w:rFonts w:ascii="Times New Roman" w:hAnsi="Times New Roman" w:cs="Times New Roman" w:hint="eastAsia"/>
          <w:sz w:val="16"/>
          <w:szCs w:val="16"/>
        </w:rPr>
        <w:t>motor</w:t>
      </w:r>
      <w:r>
        <w:rPr>
          <w:rFonts w:ascii="Times New Roman" w:hAnsi="Times New Roman" w:cs="Times New Roman"/>
          <w:sz w:val="16"/>
          <w:szCs w:val="16"/>
        </w:rPr>
        <w:t>_</w:t>
      </w:r>
      <w:r w:rsidR="00A95CFF">
        <w:rPr>
          <w:rFonts w:ascii="Times New Roman" w:hAnsi="Times New Roman" w:cs="Times New Roman" w:hint="eastAsia"/>
          <w:sz w:val="16"/>
          <w:szCs w:val="16"/>
        </w:rPr>
        <w:t>tic</w:t>
      </w:r>
      <w:proofErr w:type="spellEnd"/>
      <w:r w:rsidRPr="00D4060D">
        <w:rPr>
          <w:rFonts w:ascii="Times New Roman" w:hAnsi="Times New Roman" w:cs="Times New Roman"/>
          <w:sz w:val="16"/>
          <w:szCs w:val="16"/>
        </w:rPr>
        <w:t xml:space="preserve">: motor tic subscale of YGTSS; </w:t>
      </w:r>
      <w:proofErr w:type="spellStart"/>
      <w:r w:rsidR="00A95CFF">
        <w:rPr>
          <w:rFonts w:ascii="Times New Roman" w:hAnsi="Times New Roman" w:cs="Times New Roman" w:hint="eastAsia"/>
          <w:sz w:val="16"/>
          <w:szCs w:val="16"/>
        </w:rPr>
        <w:t>vocal</w:t>
      </w:r>
      <w:r>
        <w:rPr>
          <w:rFonts w:ascii="Times New Roman" w:hAnsi="Times New Roman" w:cs="Times New Roman"/>
          <w:sz w:val="16"/>
          <w:szCs w:val="16"/>
        </w:rPr>
        <w:t>_</w:t>
      </w:r>
      <w:r w:rsidR="00A95CFF">
        <w:rPr>
          <w:rFonts w:ascii="Times New Roman" w:hAnsi="Times New Roman" w:cs="Times New Roman" w:hint="eastAsia"/>
          <w:sz w:val="16"/>
          <w:szCs w:val="16"/>
        </w:rPr>
        <w:t>tic</w:t>
      </w:r>
      <w:proofErr w:type="spellEnd"/>
      <w:r w:rsidRPr="00D4060D">
        <w:rPr>
          <w:rFonts w:ascii="Times New Roman" w:hAnsi="Times New Roman" w:cs="Times New Roman"/>
          <w:sz w:val="16"/>
          <w:szCs w:val="16"/>
        </w:rPr>
        <w:t xml:space="preserve">: vocal tic subscale of YGTSS; </w:t>
      </w:r>
      <w:r w:rsidR="00A95CFF" w:rsidRPr="00D4060D">
        <w:rPr>
          <w:rFonts w:ascii="Times New Roman" w:hAnsi="Times New Roman" w:cs="Times New Roman"/>
          <w:sz w:val="16"/>
          <w:szCs w:val="16"/>
        </w:rPr>
        <w:t>impairment</w:t>
      </w:r>
      <w:r w:rsidR="00A95CF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</w:t>
      </w:r>
      <w:r w:rsidR="00A95CFF">
        <w:rPr>
          <w:rFonts w:ascii="Times New Roman" w:hAnsi="Times New Roman" w:cs="Times New Roman" w:hint="eastAsia"/>
          <w:sz w:val="16"/>
          <w:szCs w:val="16"/>
        </w:rPr>
        <w:t>tic</w:t>
      </w:r>
      <w:r w:rsidRPr="00D4060D">
        <w:rPr>
          <w:rFonts w:ascii="Times New Roman" w:hAnsi="Times New Roman" w:cs="Times New Roman"/>
          <w:sz w:val="16"/>
          <w:szCs w:val="16"/>
        </w:rPr>
        <w:t xml:space="preserve">: impairment of tic in YGTSS score; </w:t>
      </w:r>
      <w:r w:rsidR="00A95CFF" w:rsidRPr="00D4060D">
        <w:rPr>
          <w:rFonts w:ascii="Times New Roman" w:hAnsi="Times New Roman" w:cs="Times New Roman"/>
          <w:sz w:val="16"/>
          <w:szCs w:val="16"/>
        </w:rPr>
        <w:t>YGTSS</w:t>
      </w:r>
      <w:r w:rsidRPr="00D4060D">
        <w:rPr>
          <w:rFonts w:ascii="Times New Roman" w:hAnsi="Times New Roman" w:cs="Times New Roman"/>
          <w:sz w:val="16"/>
          <w:szCs w:val="16"/>
        </w:rPr>
        <w:t>: total score of YGTSS; QOL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D4060D">
        <w:rPr>
          <w:rFonts w:ascii="Times New Roman" w:hAnsi="Times New Roman" w:cs="Times New Roman"/>
          <w:sz w:val="16"/>
          <w:szCs w:val="16"/>
        </w:rPr>
        <w:t>C: cognitive factor score of GTS-QOL; QOL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D4060D">
        <w:rPr>
          <w:rFonts w:ascii="Times New Roman" w:hAnsi="Times New Roman" w:cs="Times New Roman"/>
          <w:sz w:val="16"/>
          <w:szCs w:val="16"/>
        </w:rPr>
        <w:t xml:space="preserve">O: obsessive-compulsive factor score of GTS-QOL; </w:t>
      </w:r>
      <w:proofErr w:type="spellStart"/>
      <w:r w:rsidRPr="00D4060D">
        <w:rPr>
          <w:rFonts w:ascii="Times New Roman" w:hAnsi="Times New Roman" w:cs="Times New Roman"/>
          <w:sz w:val="16"/>
          <w:szCs w:val="16"/>
        </w:rPr>
        <w:t>QOL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D4060D">
        <w:rPr>
          <w:rFonts w:ascii="Times New Roman" w:hAnsi="Times New Roman" w:cs="Times New Roman"/>
          <w:sz w:val="16"/>
          <w:szCs w:val="16"/>
        </w:rPr>
        <w:t>Ph</w:t>
      </w:r>
      <w:proofErr w:type="spellEnd"/>
      <w:r w:rsidRPr="00D4060D">
        <w:rPr>
          <w:rFonts w:ascii="Times New Roman" w:hAnsi="Times New Roman" w:cs="Times New Roman"/>
          <w:sz w:val="16"/>
          <w:szCs w:val="16"/>
        </w:rPr>
        <w:t>: Physical/Activities of Daily Living factor score of GTS-QOL; QOL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D4060D">
        <w:rPr>
          <w:rFonts w:ascii="Times New Roman" w:hAnsi="Times New Roman" w:cs="Times New Roman"/>
          <w:sz w:val="16"/>
          <w:szCs w:val="16"/>
        </w:rPr>
        <w:t xml:space="preserve">Ps: Psychological factor of GTS-QOL; </w:t>
      </w:r>
      <w:r w:rsidR="00A95CFF" w:rsidRPr="00D4060D">
        <w:rPr>
          <w:rFonts w:ascii="Times New Roman" w:hAnsi="Times New Roman" w:cs="Times New Roman"/>
          <w:sz w:val="16"/>
          <w:szCs w:val="16"/>
        </w:rPr>
        <w:t>GTS-QOL</w:t>
      </w:r>
      <w:r w:rsidRPr="00D4060D">
        <w:rPr>
          <w:rFonts w:ascii="Times New Roman" w:hAnsi="Times New Roman" w:cs="Times New Roman"/>
          <w:sz w:val="16"/>
          <w:szCs w:val="16"/>
        </w:rPr>
        <w:t>: total score of GTS-QOL;</w:t>
      </w:r>
      <w:r>
        <w:rPr>
          <w:rFonts w:ascii="Times New Roman" w:hAnsi="Times New Roman" w:cs="Times New Roman"/>
          <w:sz w:val="16"/>
          <w:szCs w:val="16"/>
        </w:rPr>
        <w:t xml:space="preserve"> *</w:t>
      </w:r>
      <w:r w:rsidRPr="00FE0ECB">
        <w:rPr>
          <w:rFonts w:ascii="Times New Roman" w:hAnsi="Times New Roman" w:cs="Times New Roman" w:hint="eastAsia"/>
          <w:i/>
          <w:iCs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>&lt;0.05; **</w:t>
      </w:r>
      <w:r w:rsidRPr="00FE0ECB">
        <w:rPr>
          <w:rFonts w:ascii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>&lt;0.01</w:t>
      </w:r>
    </w:p>
    <w:p w14:paraId="42EFBC64" w14:textId="77777777" w:rsidR="00242502" w:rsidRDefault="00242502" w:rsidP="00293F75"/>
    <w:p w14:paraId="5CA0DA21" w14:textId="77777777" w:rsidR="00E96FAB" w:rsidRDefault="00E96FAB" w:rsidP="00E96FAB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ACFF121" w14:textId="72C3CD1E" w:rsidR="001F1449" w:rsidRPr="00E96FAB" w:rsidRDefault="001F1449" w:rsidP="00E96FAB">
      <w:pPr>
        <w:jc w:val="center"/>
        <w:rPr>
          <w:rFonts w:cs="Times New Roman"/>
          <w:sz w:val="16"/>
          <w:szCs w:val="16"/>
        </w:rPr>
      </w:pPr>
      <w:r w:rsidRPr="00E96FAB">
        <w:rPr>
          <w:rFonts w:ascii="Times New Roman" w:hAnsi="Times New Roman" w:cs="Times New Roman"/>
          <w:sz w:val="16"/>
          <w:szCs w:val="16"/>
        </w:rPr>
        <w:t xml:space="preserve">Table </w:t>
      </w:r>
      <w:r w:rsidRPr="00E96FAB">
        <w:rPr>
          <w:rFonts w:ascii="Times New Roman" w:hAnsi="Times New Roman" w:cs="Times New Roman" w:hint="eastAsia"/>
          <w:sz w:val="16"/>
          <w:szCs w:val="16"/>
        </w:rPr>
        <w:t>s</w:t>
      </w:r>
      <w:r w:rsidRPr="00E96FAB">
        <w:rPr>
          <w:rFonts w:ascii="Times New Roman" w:hAnsi="Times New Roman" w:cs="Times New Roman"/>
          <w:sz w:val="16"/>
          <w:szCs w:val="16"/>
        </w:rPr>
        <w:t xml:space="preserve">1 </w:t>
      </w:r>
      <w:r w:rsidRPr="00E96FAB">
        <w:rPr>
          <w:sz w:val="16"/>
          <w:szCs w:val="16"/>
        </w:rPr>
        <w:t>Clinical rating scales</w:t>
      </w:r>
    </w:p>
    <w:tbl>
      <w:tblPr>
        <w:tblStyle w:val="a7"/>
        <w:tblW w:w="8931" w:type="dxa"/>
        <w:tblInd w:w="-1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263"/>
        <w:gridCol w:w="1509"/>
        <w:gridCol w:w="3182"/>
      </w:tblGrid>
      <w:tr w:rsidR="001F1449" w:rsidRPr="004A1D56" w14:paraId="587BECA9" w14:textId="77777777" w:rsidTr="00974561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625FB9" w14:textId="77777777" w:rsidR="001F1449" w:rsidRPr="004A1D56" w:rsidRDefault="001F1449" w:rsidP="009745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Scale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FF02CB" w14:textId="77777777" w:rsidR="001F1449" w:rsidRPr="004A1D56" w:rsidRDefault="001F1449" w:rsidP="009745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Number of scale items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201ADD45" w14:textId="77777777" w:rsidR="001F1449" w:rsidRPr="004A1D56" w:rsidRDefault="001F1449" w:rsidP="009745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Score range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41A76A65" w14:textId="77777777" w:rsidR="001F1449" w:rsidRPr="004A1D56" w:rsidRDefault="001F1449" w:rsidP="009745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Scale interpretation</w:t>
            </w: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14:paraId="4EA985B9" w14:textId="77777777" w:rsidR="001F1449" w:rsidRPr="004A1D56" w:rsidRDefault="001F1449" w:rsidP="009745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Additional notes on scale properties</w:t>
            </w:r>
          </w:p>
        </w:tc>
      </w:tr>
      <w:tr w:rsidR="001F1449" w:rsidRPr="004A1D56" w14:paraId="4DC45F2E" w14:textId="77777777" w:rsidTr="00974561">
        <w:tc>
          <w:tcPr>
            <w:tcW w:w="1843" w:type="dxa"/>
            <w:tcBorders>
              <w:top w:val="single" w:sz="4" w:space="0" w:color="auto"/>
            </w:tcBorders>
          </w:tcPr>
          <w:p w14:paraId="25330329" w14:textId="7F4AD23D" w:rsidR="001F1449" w:rsidRPr="004A1D56" w:rsidRDefault="001F1449" w:rsidP="00974561">
            <w:pPr>
              <w:rPr>
                <w:rStyle w:val="fontstyle01"/>
                <w:rFonts w:ascii="Times New Roman" w:hAnsi="Times New Roman" w:cs="Times New Roman" w:hint="eastAsia"/>
                <w:b/>
                <w:bCs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Yale Global Tic Severity Scale (</w:t>
            </w:r>
            <w:r w:rsidRPr="004A1D56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 xml:space="preserve">GTSS) </w:t>
            </w:r>
            <w:r>
              <w:rPr>
                <w:rStyle w:val="fontstyle01"/>
                <w:rFonts w:ascii="Times New Roman" w:hAnsi="Times New Roman" w:hint="eastAsia"/>
                <w:noProof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0D07B9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5BEE1727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-100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57FB0FEE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Higher score indicates more</w:t>
            </w: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br/>
              <w:t>severe tics</w:t>
            </w: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559EF25B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Gold-standard, semi-structured clinician-administered interview for rating tic severity. The scale is composed of 3 subscales: motor tic scale (0–25), vocal tic scale (0–25) and impairment of tic scale (0-50).</w:t>
            </w:r>
          </w:p>
        </w:tc>
      </w:tr>
      <w:tr w:rsidR="001F1449" w:rsidRPr="004A1D56" w14:paraId="77D5EE11" w14:textId="77777777" w:rsidTr="00974561">
        <w:tc>
          <w:tcPr>
            <w:tcW w:w="1843" w:type="dxa"/>
          </w:tcPr>
          <w:p w14:paraId="0184448D" w14:textId="467B94E2" w:rsidR="001F1449" w:rsidRPr="004A1D56" w:rsidRDefault="001F1449" w:rsidP="00974561">
            <w:pPr>
              <w:rPr>
                <w:rStyle w:val="fontstyle01"/>
                <w:rFonts w:ascii="Times New Roman" w:hAnsi="Times New Roman" w:cs="Times New Roman" w:hint="eastAsia"/>
                <w:b/>
                <w:bCs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Premonitory Urge to Tic Scale (</w:t>
            </w:r>
            <w:r w:rsidRPr="004A1D56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UTS)</w:t>
            </w:r>
            <w:r>
              <w:rPr>
                <w:rStyle w:val="fontstyle01"/>
                <w:rFonts w:ascii="Times New Roman" w:hAnsi="Times New Roman" w:hint="eastAsia"/>
                <w:noProof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4A468AB9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63" w:type="dxa"/>
          </w:tcPr>
          <w:p w14:paraId="0F44A936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-36</w:t>
            </w:r>
          </w:p>
        </w:tc>
        <w:tc>
          <w:tcPr>
            <w:tcW w:w="1509" w:type="dxa"/>
          </w:tcPr>
          <w:p w14:paraId="581C3EED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Higher score indicates more severe premonitory urge</w:t>
            </w:r>
          </w:p>
        </w:tc>
        <w:tc>
          <w:tcPr>
            <w:tcW w:w="3182" w:type="dxa"/>
          </w:tcPr>
          <w:p w14:paraId="4EA700C9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Scale item 10 concerns tic suppressibility and is not included in total score as it measures a separate construct from the other scale items</w:t>
            </w:r>
          </w:p>
        </w:tc>
      </w:tr>
      <w:tr w:rsidR="001F1449" w:rsidRPr="004A1D56" w14:paraId="25CCAE3A" w14:textId="77777777" w:rsidTr="00974561">
        <w:tc>
          <w:tcPr>
            <w:tcW w:w="1843" w:type="dxa"/>
          </w:tcPr>
          <w:p w14:paraId="651AF437" w14:textId="28657001" w:rsidR="001F1449" w:rsidRPr="004A1D56" w:rsidRDefault="001F1449" w:rsidP="00974561">
            <w:pPr>
              <w:rPr>
                <w:rStyle w:val="fontstyle01"/>
                <w:rFonts w:ascii="Times New Roman" w:hAnsi="Times New Roman" w:cs="Times New Roman" w:hint="eastAsia"/>
                <w:b/>
                <w:bCs/>
                <w:sz w:val="16"/>
                <w:szCs w:val="16"/>
              </w:rPr>
            </w:pP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Gilles de la Tourette Syndrome-Quality of Life Scale (</w:t>
            </w:r>
            <w:r w:rsidRPr="004A1D56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Pr="004A1D56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 xml:space="preserve">TS-QOL) </w:t>
            </w:r>
            <w:r>
              <w:rPr>
                <w:rStyle w:val="fontstyle01"/>
                <w:rFonts w:ascii="Times New Roman" w:hAnsi="Times New Roman" w:cs="Times New Roman" w:hint="eastAsia"/>
                <w:noProof/>
                <w:sz w:val="16"/>
                <w:szCs w:val="16"/>
                <w:vertAlign w:val="superscript"/>
              </w:rPr>
              <w:t>3</w:t>
            </w:r>
            <w:r w:rsidRPr="00A85219">
              <w:rPr>
                <w:rStyle w:val="fontstyle01"/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 xml:space="preserve">, </w:t>
            </w:r>
            <w:r>
              <w:rPr>
                <w:rStyle w:val="fontstyle01"/>
                <w:rFonts w:ascii="Times New Roman" w:hAnsi="Times New Roman" w:cs="Times New Roman" w:hint="eastAsia"/>
                <w:noProof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</w:tcPr>
          <w:p w14:paraId="5617CD80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63" w:type="dxa"/>
          </w:tcPr>
          <w:p w14:paraId="6A339A70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-100</w:t>
            </w:r>
          </w:p>
        </w:tc>
        <w:tc>
          <w:tcPr>
            <w:tcW w:w="1509" w:type="dxa"/>
          </w:tcPr>
          <w:p w14:paraId="58B8ACF4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Higher score indicates worse quality of life.</w:t>
            </w:r>
          </w:p>
        </w:tc>
        <w:tc>
          <w:tcPr>
            <w:tcW w:w="3182" w:type="dxa"/>
          </w:tcPr>
          <w:p w14:paraId="3FCFE68E" w14:textId="77777777" w:rsidR="001F1449" w:rsidRPr="00D77D71" w:rsidRDefault="001F1449" w:rsidP="00974561">
            <w:pPr>
              <w:rPr>
                <w:rStyle w:val="fontstyle01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7D71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The scale comprises 4 sub-scales: psychological, physical/ADL, obsessive-compulsive, and cognitive. Raw scores are normalized to 100</w:t>
            </w:r>
          </w:p>
        </w:tc>
      </w:tr>
    </w:tbl>
    <w:p w14:paraId="18F0AA69" w14:textId="77777777" w:rsidR="001F1449" w:rsidRPr="004B1F0D" w:rsidRDefault="001F1449" w:rsidP="001F1449">
      <w:pPr>
        <w:pStyle w:val="EndNoteBibliography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1.</w:t>
      </w:r>
      <w:r w:rsidRPr="004B1F0D">
        <w:rPr>
          <w:sz w:val="21"/>
          <w:szCs w:val="21"/>
        </w:rPr>
        <w:tab/>
        <w:t>Leckman JF, Riddle MA, Hardin MT, Ort SI, Swartz KL, Stevenson J, Cohen DJ. The Yale Global Tic Severity Scale: initial testing of a clinician-rated scale of tic severity. Journal of the American Academy of Child and Adolescent Psychiatry. 1989;28(4):566–73.</w:t>
      </w:r>
    </w:p>
    <w:p w14:paraId="63C638A9" w14:textId="77777777" w:rsidR="001F1449" w:rsidRPr="004B1F0D" w:rsidRDefault="001F1449" w:rsidP="001F1449">
      <w:pPr>
        <w:pStyle w:val="EndNoteBibliography"/>
        <w:rPr>
          <w:sz w:val="21"/>
          <w:szCs w:val="21"/>
        </w:rPr>
      </w:pPr>
      <w:r>
        <w:rPr>
          <w:rFonts w:hint="eastAsia"/>
          <w:sz w:val="21"/>
          <w:szCs w:val="21"/>
        </w:rPr>
        <w:t>2.</w:t>
      </w:r>
      <w:r w:rsidRPr="004B1F0D">
        <w:rPr>
          <w:sz w:val="21"/>
          <w:szCs w:val="21"/>
        </w:rPr>
        <w:tab/>
        <w:t>Woods DW, Piacentini J, Himle MB, Chang S. Premonitory Urge for Tics Scale (PUTS): initial psychometric results and examination of the premonitory urge phenomenon in youths with Tic disorders. Journal of developmental and behavioral pediatrics : JDBP. 2005;26(6):397-403.</w:t>
      </w:r>
    </w:p>
    <w:p w14:paraId="3FFA2435" w14:textId="0317E6A2" w:rsidR="001F1449" w:rsidRPr="004B1F0D" w:rsidRDefault="001F1449" w:rsidP="001F1449">
      <w:pPr>
        <w:pStyle w:val="EndNoteBibliography"/>
        <w:rPr>
          <w:sz w:val="21"/>
          <w:szCs w:val="21"/>
        </w:rPr>
      </w:pPr>
      <w:r>
        <w:rPr>
          <w:rFonts w:hint="eastAsia"/>
          <w:sz w:val="21"/>
          <w:szCs w:val="21"/>
        </w:rPr>
        <w:t>3</w:t>
      </w:r>
      <w:r w:rsidRPr="004B1F0D">
        <w:rPr>
          <w:sz w:val="21"/>
          <w:szCs w:val="21"/>
        </w:rPr>
        <w:t>.</w:t>
      </w:r>
      <w:r w:rsidRPr="004B1F0D">
        <w:rPr>
          <w:sz w:val="21"/>
          <w:szCs w:val="21"/>
        </w:rPr>
        <w:tab/>
        <w:t>Cavanna AE, Schrag A, Morley D, Orth M, Robertson MM, Joyce E, Critchley HD, Selai C. The Gilles de la Tourette syndrome-quality of life scale (GTS-QOL): development and validation. Neurology. 2008;71(18):1410–6.</w:t>
      </w:r>
    </w:p>
    <w:p w14:paraId="7A4BCD7B" w14:textId="227AA194" w:rsidR="001F1449" w:rsidRPr="004B1F0D" w:rsidRDefault="001F1449" w:rsidP="001F1449">
      <w:pPr>
        <w:pStyle w:val="EndNoteBibliography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4B1F0D">
        <w:rPr>
          <w:sz w:val="21"/>
          <w:szCs w:val="21"/>
        </w:rPr>
        <w:t>.</w:t>
      </w:r>
      <w:r w:rsidRPr="004B1F0D">
        <w:rPr>
          <w:sz w:val="21"/>
          <w:szCs w:val="21"/>
        </w:rPr>
        <w:tab/>
        <w:t>Goto R, Matsuda N, Nonaka M, Hamamoto Y, Eriguchi Y, Fujiwara M, Suzuki A, Yokoyama Y, Kano Y. The Gilles de la Tourette Syndrome-Quality of Life Scale (GTS-QOL): A Validation in Japanese Patients. Front Psychiatry. 2021;12:797037. Epub 2022/01/21. doi: 10.3389/fpsyt.2021.797037. PubMed PMID: 35046856; PMCID: PMC8761978.</w:t>
      </w:r>
    </w:p>
    <w:p w14:paraId="79B09749" w14:textId="77777777" w:rsidR="001F1449" w:rsidRDefault="001F1449" w:rsidP="001F1449">
      <w:pPr>
        <w:rPr>
          <w:rStyle w:val="fontstyle01"/>
          <w:rFonts w:ascii="Times New Roman" w:hAnsi="Times New Roman"/>
          <w:sz w:val="16"/>
          <w:szCs w:val="16"/>
        </w:rPr>
      </w:pPr>
    </w:p>
    <w:p w14:paraId="43C38900" w14:textId="77777777" w:rsidR="00DA5EEE" w:rsidRDefault="00DA5EEE" w:rsidP="00293F75"/>
    <w:p w14:paraId="1BC291EC" w14:textId="77777777" w:rsidR="00DA5EEE" w:rsidRDefault="00DA5EEE" w:rsidP="00293F75"/>
    <w:p w14:paraId="54A2033B" w14:textId="77777777" w:rsidR="00DA5EEE" w:rsidRDefault="00DA5EEE" w:rsidP="00293F75"/>
    <w:p w14:paraId="0DD2095B" w14:textId="77777777" w:rsidR="005161DF" w:rsidRDefault="005161DF" w:rsidP="005161DF">
      <w:pPr>
        <w:rPr>
          <w:rFonts w:ascii="Times New Roman" w:hAnsi="Times New Roman" w:cs="Times New Roman"/>
          <w:b/>
          <w:bCs/>
          <w:sz w:val="16"/>
          <w:szCs w:val="16"/>
        </w:rPr>
      </w:pPr>
    </w:p>
    <w:sectPr w:rsidR="00516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CF5F2" w14:textId="77777777" w:rsidR="0018169C" w:rsidRDefault="0018169C" w:rsidP="00293F75">
      <w:r>
        <w:separator/>
      </w:r>
    </w:p>
  </w:endnote>
  <w:endnote w:type="continuationSeparator" w:id="0">
    <w:p w14:paraId="7DC1244D" w14:textId="77777777" w:rsidR="0018169C" w:rsidRDefault="0018169C" w:rsidP="0029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Lt">
    <w:altName w:val="Arial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B1C9B" w14:textId="77777777" w:rsidR="0018169C" w:rsidRDefault="0018169C" w:rsidP="00293F75">
      <w:r>
        <w:separator/>
      </w:r>
    </w:p>
  </w:footnote>
  <w:footnote w:type="continuationSeparator" w:id="0">
    <w:p w14:paraId="701F24C9" w14:textId="77777777" w:rsidR="0018169C" w:rsidRDefault="0018169C" w:rsidP="00293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81"/>
    <w:rsid w:val="000C5A28"/>
    <w:rsid w:val="00101F36"/>
    <w:rsid w:val="0018169C"/>
    <w:rsid w:val="001B6581"/>
    <w:rsid w:val="001F1449"/>
    <w:rsid w:val="00242502"/>
    <w:rsid w:val="002568FD"/>
    <w:rsid w:val="00293F75"/>
    <w:rsid w:val="00294012"/>
    <w:rsid w:val="003622B1"/>
    <w:rsid w:val="0039086F"/>
    <w:rsid w:val="00391C24"/>
    <w:rsid w:val="005161DF"/>
    <w:rsid w:val="00571D4B"/>
    <w:rsid w:val="00572AEC"/>
    <w:rsid w:val="0063500E"/>
    <w:rsid w:val="006C3F39"/>
    <w:rsid w:val="00856A57"/>
    <w:rsid w:val="009175F8"/>
    <w:rsid w:val="00990A69"/>
    <w:rsid w:val="00A00306"/>
    <w:rsid w:val="00A95CFF"/>
    <w:rsid w:val="00BC5399"/>
    <w:rsid w:val="00CA5F8C"/>
    <w:rsid w:val="00DA5EEE"/>
    <w:rsid w:val="00E20B93"/>
    <w:rsid w:val="00E3361A"/>
    <w:rsid w:val="00E9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132D2"/>
  <w15:chartTrackingRefBased/>
  <w15:docId w15:val="{11B87B1C-1188-4235-BBA4-5A0BCB43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F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F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3F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3F75"/>
    <w:rPr>
      <w:sz w:val="18"/>
      <w:szCs w:val="18"/>
    </w:rPr>
  </w:style>
  <w:style w:type="character" w:customStyle="1" w:styleId="fontstyle01">
    <w:name w:val="fontstyle01"/>
    <w:basedOn w:val="a0"/>
    <w:rsid w:val="00293F75"/>
    <w:rPr>
      <w:rFonts w:ascii="HelveticaNeueLTStd-Lt" w:hAnsi="HelveticaNeueLTStd-Lt" w:hint="default"/>
      <w:b w:val="0"/>
      <w:bCs w:val="0"/>
      <w:i w:val="0"/>
      <w:iCs w:val="0"/>
      <w:color w:val="242021"/>
      <w:sz w:val="14"/>
      <w:szCs w:val="14"/>
    </w:rPr>
  </w:style>
  <w:style w:type="table" w:styleId="a7">
    <w:name w:val="Table Grid"/>
    <w:basedOn w:val="a1"/>
    <w:uiPriority w:val="39"/>
    <w:rsid w:val="0029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C3F39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6C3F39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6C3F39"/>
  </w:style>
  <w:style w:type="paragraph" w:styleId="ab">
    <w:name w:val="annotation subject"/>
    <w:basedOn w:val="a9"/>
    <w:next w:val="a9"/>
    <w:link w:val="ac"/>
    <w:uiPriority w:val="99"/>
    <w:semiHidden/>
    <w:unhideWhenUsed/>
    <w:rsid w:val="006C3F39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C3F39"/>
    <w:rPr>
      <w:b/>
      <w:bCs/>
    </w:rPr>
  </w:style>
  <w:style w:type="paragraph" w:customStyle="1" w:styleId="EndNoteBibliography">
    <w:name w:val="EndNote Bibliography"/>
    <w:basedOn w:val="a"/>
    <w:link w:val="EndNoteBibliography0"/>
    <w:rsid w:val="001F1449"/>
    <w:pPr>
      <w:widowControl/>
      <w:jc w:val="left"/>
    </w:pPr>
    <w:rPr>
      <w:rFonts w:ascii="等线" w:eastAsia="等线" w:hAnsi="等线"/>
      <w:noProof/>
      <w:kern w:val="0"/>
      <w:sz w:val="24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1F1449"/>
    <w:rPr>
      <w:rFonts w:ascii="等线" w:eastAsia="等线" w:hAnsi="等线"/>
      <w:noProof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390</Words>
  <Characters>2285</Characters>
  <Application>Microsoft Office Word</Application>
  <DocSecurity>0</DocSecurity>
  <Lines>42</Lines>
  <Paragraphs>24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贤斌</dc:creator>
  <cp:keywords/>
  <dc:description/>
  <cp:lastModifiedBy>Xianbin Wang</cp:lastModifiedBy>
  <cp:revision>12</cp:revision>
  <dcterms:created xsi:type="dcterms:W3CDTF">2023-08-23T10:38:00Z</dcterms:created>
  <dcterms:modified xsi:type="dcterms:W3CDTF">2024-07-03T11:45:00Z</dcterms:modified>
</cp:coreProperties>
</file>