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543DE" w14:textId="633DFA41" w:rsidR="00B579D8" w:rsidRDefault="00C65D44" w:rsidP="00C508E7">
      <w:pPr>
        <w:spacing w:line="480" w:lineRule="auto"/>
        <w:jc w:val="center"/>
        <w:rPr>
          <w:rFonts w:ascii="Times New Roman" w:hAnsi="Times New Roman" w:cs="Times New Roman"/>
          <w:b/>
          <w:bCs/>
        </w:rPr>
      </w:pPr>
      <w:r w:rsidRPr="00C65D44">
        <w:rPr>
          <w:rFonts w:ascii="Times New Roman" w:hAnsi="Times New Roman" w:cs="Times New Roman"/>
          <w:b/>
          <w:bCs/>
        </w:rPr>
        <w:t>Supplementary Methods</w:t>
      </w:r>
    </w:p>
    <w:p w14:paraId="27EC113E" w14:textId="4B69DB2F" w:rsidR="00BD6291" w:rsidRDefault="00BD6291" w:rsidP="00BD6291">
      <w:pPr>
        <w:rPr>
          <w:rFonts w:ascii="Times New Roman" w:hAnsi="Times New Roman" w:cs="Times New Roman"/>
          <w:b/>
          <w:bCs/>
          <w:sz w:val="22"/>
          <w:szCs w:val="22"/>
        </w:rPr>
      </w:pPr>
      <w:r>
        <w:rPr>
          <w:rFonts w:ascii="Times New Roman" w:hAnsi="Times New Roman" w:cs="Times New Roman"/>
          <w:b/>
          <w:bCs/>
          <w:sz w:val="22"/>
          <w:szCs w:val="22"/>
        </w:rPr>
        <w:t>Fluorescence activated cell sorting of genetically labeled cortical interneurons</w:t>
      </w:r>
    </w:p>
    <w:p w14:paraId="6A4EDD4F" w14:textId="484BF7E6" w:rsidR="00935B70" w:rsidRDefault="00BD6291" w:rsidP="00BD6291">
      <w:pPr>
        <w:spacing w:line="480" w:lineRule="auto"/>
        <w:rPr>
          <w:rFonts w:ascii="Times New Roman" w:eastAsia="SimSun" w:hAnsi="Times New Roman" w:cs="Times New Roman"/>
          <w:kern w:val="0"/>
          <w:sz w:val="22"/>
          <w:szCs w:val="22"/>
          <w:lang w:eastAsia="en-US"/>
          <w14:ligatures w14:val="none"/>
        </w:rPr>
      </w:pPr>
      <w:r>
        <w:rPr>
          <w:rFonts w:ascii="Times New Roman" w:eastAsia="SimSun" w:hAnsi="Times New Roman" w:cs="Times New Roman"/>
          <w:kern w:val="0"/>
          <w:sz w:val="22"/>
          <w:szCs w:val="22"/>
          <w:lang w:eastAsia="en-US"/>
          <w14:ligatures w14:val="none"/>
        </w:rPr>
        <w:t xml:space="preserve">Nuclei </w:t>
      </w:r>
      <w:r w:rsidR="00935B70">
        <w:rPr>
          <w:rFonts w:ascii="Times New Roman" w:eastAsia="SimSun" w:hAnsi="Times New Roman" w:cs="Times New Roman"/>
          <w:kern w:val="0"/>
          <w:sz w:val="22"/>
          <w:szCs w:val="22"/>
          <w:lang w:eastAsia="en-US"/>
          <w14:ligatures w14:val="none"/>
        </w:rPr>
        <w:t>were</w:t>
      </w:r>
      <w:r>
        <w:rPr>
          <w:rFonts w:ascii="Times New Roman" w:eastAsia="SimSun" w:hAnsi="Times New Roman" w:cs="Times New Roman"/>
          <w:kern w:val="0"/>
          <w:sz w:val="22"/>
          <w:szCs w:val="22"/>
          <w:lang w:eastAsia="en-US"/>
          <w14:ligatures w14:val="none"/>
        </w:rPr>
        <w:t xml:space="preserve"> first gated </w:t>
      </w:r>
      <w:r w:rsidR="00935B70">
        <w:rPr>
          <w:rFonts w:ascii="Times New Roman" w:eastAsia="SimSun" w:hAnsi="Times New Roman" w:cs="Times New Roman"/>
          <w:kern w:val="0"/>
          <w:sz w:val="22"/>
          <w:szCs w:val="22"/>
          <w:lang w:eastAsia="en-US"/>
          <w14:ligatures w14:val="none"/>
        </w:rPr>
        <w:t>by DRAQ5+ signal, on the peak representing single nuclei. Nuclei expressing fluorescent proteins were then selected as GFP+ single nuclei. An example of the gating strategy is shown in Fig. S1.</w:t>
      </w:r>
    </w:p>
    <w:p w14:paraId="0B487FBE" w14:textId="58ED4C15" w:rsidR="00DA7669" w:rsidRDefault="00081063" w:rsidP="00DA7669">
      <w:pPr>
        <w:spacing w:line="480" w:lineRule="auto"/>
        <w:jc w:val="center"/>
        <w:rPr>
          <w:rFonts w:ascii="Times New Roman" w:eastAsia="SimSun" w:hAnsi="Times New Roman" w:cs="Times New Roman"/>
          <w:kern w:val="0"/>
          <w:sz w:val="22"/>
          <w:szCs w:val="22"/>
          <w:lang w:eastAsia="en-US"/>
          <w14:ligatures w14:val="none"/>
        </w:rPr>
      </w:pPr>
      <w:r w:rsidRPr="00081063">
        <w:rPr>
          <w:rFonts w:ascii="Times New Roman" w:hAnsi="Times New Roman" w:cs="Times New Roman"/>
          <w:noProof/>
          <w:sz w:val="22"/>
          <w:szCs w:val="22"/>
        </w:rPr>
        <mc:AlternateContent>
          <mc:Choice Requires="wps">
            <w:drawing>
              <wp:anchor distT="45720" distB="45720" distL="114300" distR="114300" simplePos="0" relativeHeight="251659264" behindDoc="0" locked="0" layoutInCell="1" allowOverlap="1" wp14:anchorId="07DE8C5A" wp14:editId="5BF9761E">
                <wp:simplePos x="0" y="0"/>
                <wp:positionH relativeFrom="column">
                  <wp:posOffset>201295</wp:posOffset>
                </wp:positionH>
                <wp:positionV relativeFrom="paragraph">
                  <wp:posOffset>3185795</wp:posOffset>
                </wp:positionV>
                <wp:extent cx="5578475" cy="140462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8475" cy="1404620"/>
                        </a:xfrm>
                        <a:prstGeom prst="rect">
                          <a:avLst/>
                        </a:prstGeom>
                        <a:solidFill>
                          <a:srgbClr val="FFFFFF"/>
                        </a:solidFill>
                        <a:ln w="9525">
                          <a:noFill/>
                          <a:miter lim="800000"/>
                          <a:headEnd/>
                          <a:tailEnd/>
                        </a:ln>
                      </wps:spPr>
                      <wps:txbx>
                        <w:txbxContent>
                          <w:p w14:paraId="4F223440" w14:textId="57636523" w:rsidR="00081063" w:rsidRDefault="00081063" w:rsidP="00081063">
                            <w:pPr>
                              <w:rPr>
                                <w:rFonts w:ascii="Times New Roman" w:hAnsi="Times New Roman" w:cs="Times New Roman"/>
                                <w:sz w:val="22"/>
                                <w:szCs w:val="22"/>
                              </w:rPr>
                            </w:pPr>
                            <w:r w:rsidRPr="00081063">
                              <w:rPr>
                                <w:rFonts w:ascii="Times New Roman" w:hAnsi="Times New Roman" w:cs="Times New Roman"/>
                                <w:sz w:val="22"/>
                                <w:szCs w:val="22"/>
                              </w:rPr>
                              <w:t>Fig. S1</w:t>
                            </w:r>
                            <w:r>
                              <w:rPr>
                                <w:rFonts w:ascii="Times New Roman" w:hAnsi="Times New Roman" w:cs="Times New Roman"/>
                                <w:sz w:val="22"/>
                                <w:szCs w:val="22"/>
                              </w:rPr>
                              <w:t xml:space="preserve"> Example of FACS gating strategy</w:t>
                            </w:r>
                          </w:p>
                          <w:p w14:paraId="01D326C0" w14:textId="32E8C6B1" w:rsidR="00081063" w:rsidRPr="00081063" w:rsidRDefault="00F070F9">
                            <w:pPr>
                              <w:rPr>
                                <w:rFonts w:ascii="Times New Roman" w:hAnsi="Times New Roman" w:cs="Times New Roman"/>
                                <w:sz w:val="22"/>
                                <w:szCs w:val="22"/>
                              </w:rPr>
                            </w:pPr>
                            <w:r>
                              <w:rPr>
                                <w:rFonts w:ascii="Times New Roman" w:hAnsi="Times New Roman" w:cs="Times New Roman"/>
                                <w:sz w:val="22"/>
                                <w:szCs w:val="22"/>
                              </w:rPr>
                              <w:t>This example shows FACS of</w:t>
                            </w:r>
                            <w:r w:rsidR="00A70304">
                              <w:rPr>
                                <w:rFonts w:ascii="Times New Roman" w:hAnsi="Times New Roman" w:cs="Times New Roman"/>
                                <w:sz w:val="22"/>
                                <w:szCs w:val="22"/>
                              </w:rPr>
                              <w:t xml:space="preserve"> genetically labeled interneurons from</w:t>
                            </w:r>
                            <w:r>
                              <w:rPr>
                                <w:rFonts w:ascii="Times New Roman" w:hAnsi="Times New Roman" w:cs="Times New Roman"/>
                                <w:sz w:val="22"/>
                                <w:szCs w:val="22"/>
                              </w:rPr>
                              <w:t xml:space="preserve"> </w:t>
                            </w:r>
                            <w:r w:rsidR="00A70304">
                              <w:rPr>
                                <w:rFonts w:ascii="Times New Roman" w:hAnsi="Times New Roman" w:cs="Times New Roman"/>
                                <w:sz w:val="22"/>
                                <w:szCs w:val="22"/>
                              </w:rPr>
                              <w:t xml:space="preserve">a </w:t>
                            </w:r>
                            <w:r w:rsidRPr="00A70304">
                              <w:rPr>
                                <w:rFonts w:ascii="Times New Roman" w:hAnsi="Times New Roman" w:cs="Times New Roman"/>
                                <w:sz w:val="22"/>
                                <w:szCs w:val="22"/>
                              </w:rPr>
                              <w:t xml:space="preserve">P14 </w:t>
                            </w:r>
                            <w:r w:rsidR="00A70304" w:rsidRPr="00A70304">
                              <w:rPr>
                                <w:rFonts w:ascii="Times New Roman" w:hAnsi="Times New Roman" w:cs="Times New Roman"/>
                                <w:i/>
                                <w:iCs/>
                                <w:sz w:val="22"/>
                                <w:szCs w:val="22"/>
                              </w:rPr>
                              <w:t>Nkx2.1-</w:t>
                            </w:r>
                            <w:proofErr w:type="gramStart"/>
                            <w:r w:rsidR="00A70304" w:rsidRPr="00A70304">
                              <w:rPr>
                                <w:rFonts w:ascii="Times New Roman" w:hAnsi="Times New Roman" w:cs="Times New Roman"/>
                                <w:i/>
                                <w:iCs/>
                                <w:sz w:val="22"/>
                                <w:szCs w:val="22"/>
                              </w:rPr>
                              <w:t>Cre;Bax</w:t>
                            </w:r>
                            <w:r w:rsidR="00A70304" w:rsidRPr="00A70304">
                              <w:rPr>
                                <w:rFonts w:ascii="Times New Roman" w:hAnsi="Times New Roman" w:cs="Times New Roman"/>
                                <w:i/>
                                <w:iCs/>
                                <w:sz w:val="22"/>
                                <w:szCs w:val="22"/>
                                <w:vertAlign w:val="superscript"/>
                              </w:rPr>
                              <w:t>fl</w:t>
                            </w:r>
                            <w:proofErr w:type="gramEnd"/>
                            <w:r w:rsidR="00A70304" w:rsidRPr="00A70304">
                              <w:rPr>
                                <w:rFonts w:ascii="Times New Roman" w:hAnsi="Times New Roman" w:cs="Times New Roman"/>
                                <w:i/>
                                <w:iCs/>
                                <w:sz w:val="22"/>
                                <w:szCs w:val="22"/>
                                <w:vertAlign w:val="superscript"/>
                              </w:rPr>
                              <w:t>/+</w:t>
                            </w:r>
                            <w:r w:rsidR="00A70304" w:rsidRPr="00A70304">
                              <w:rPr>
                                <w:rFonts w:ascii="Times New Roman" w:hAnsi="Times New Roman" w:cs="Times New Roman"/>
                                <w:i/>
                                <w:iCs/>
                                <w:sz w:val="22"/>
                                <w:szCs w:val="22"/>
                              </w:rPr>
                              <w:t>;Rosa26</w:t>
                            </w:r>
                            <w:r w:rsidR="00A70304" w:rsidRPr="00A70304">
                              <w:rPr>
                                <w:rFonts w:ascii="Times New Roman" w:hAnsi="Times New Roman" w:cs="Times New Roman"/>
                                <w:i/>
                                <w:iCs/>
                                <w:sz w:val="22"/>
                                <w:szCs w:val="22"/>
                                <w:vertAlign w:val="superscript"/>
                              </w:rPr>
                              <w:t>LSL-h2b-GFP</w:t>
                            </w:r>
                            <w:r w:rsidR="00A70304">
                              <w:rPr>
                                <w:rFonts w:ascii="Times New Roman" w:hAnsi="Times New Roman" w:cs="Times New Roman"/>
                                <w:sz w:val="22"/>
                                <w:szCs w:val="22"/>
                              </w:rPr>
                              <w:t xml:space="preserve"> mouse.</w:t>
                            </w:r>
                            <w:r>
                              <w:rPr>
                                <w:rFonts w:ascii="Times New Roman" w:hAnsi="Times New Roman" w:cs="Times New Roman"/>
                                <w:sz w:val="22"/>
                                <w:szCs w:val="22"/>
                              </w:rPr>
                              <w:t xml:space="preserve"> </w:t>
                            </w:r>
                            <w:proofErr w:type="gramStart"/>
                            <w:r w:rsidR="00081063" w:rsidRPr="00A70304">
                              <w:rPr>
                                <w:rFonts w:ascii="Times New Roman" w:hAnsi="Times New Roman" w:cs="Times New Roman"/>
                                <w:b/>
                                <w:bCs/>
                                <w:sz w:val="22"/>
                                <w:szCs w:val="22"/>
                              </w:rPr>
                              <w:t>a,</w:t>
                            </w:r>
                            <w:proofErr w:type="gramEnd"/>
                            <w:r w:rsidR="00081063" w:rsidRPr="00081063">
                              <w:rPr>
                                <w:rFonts w:ascii="Times New Roman" w:hAnsi="Times New Roman" w:cs="Times New Roman"/>
                                <w:sz w:val="22"/>
                                <w:szCs w:val="22"/>
                              </w:rPr>
                              <w:t xml:space="preserve"> </w:t>
                            </w:r>
                            <w:r>
                              <w:rPr>
                                <w:rFonts w:ascii="Times New Roman" w:hAnsi="Times New Roman" w:cs="Times New Roman"/>
                                <w:sz w:val="22"/>
                                <w:szCs w:val="22"/>
                              </w:rPr>
                              <w:t>Density plots created by Cell Sorter Software (Sony) showing backward scatter area (BSC-A) versus forward scatter area (FSC-A) distributions for the majority of nuclei</w:t>
                            </w:r>
                            <w:r w:rsidR="00A70304">
                              <w:rPr>
                                <w:rFonts w:ascii="Times New Roman" w:hAnsi="Times New Roman" w:cs="Times New Roman"/>
                                <w:sz w:val="22"/>
                                <w:szCs w:val="22"/>
                              </w:rPr>
                              <w:t xml:space="preserve">, circled in </w:t>
                            </w:r>
                            <w:r>
                              <w:rPr>
                                <w:rFonts w:ascii="Times New Roman" w:hAnsi="Times New Roman" w:cs="Times New Roman"/>
                                <w:sz w:val="22"/>
                                <w:szCs w:val="22"/>
                              </w:rPr>
                              <w:t xml:space="preserve">A. </w:t>
                            </w:r>
                            <w:r w:rsidRPr="00A70304">
                              <w:rPr>
                                <w:rFonts w:ascii="Times New Roman" w:hAnsi="Times New Roman" w:cs="Times New Roman"/>
                                <w:b/>
                                <w:bCs/>
                                <w:sz w:val="22"/>
                                <w:szCs w:val="22"/>
                              </w:rPr>
                              <w:t>b,</w:t>
                            </w:r>
                            <w:r>
                              <w:rPr>
                                <w:rFonts w:ascii="Times New Roman" w:hAnsi="Times New Roman" w:cs="Times New Roman"/>
                                <w:sz w:val="22"/>
                                <w:szCs w:val="22"/>
                              </w:rPr>
                              <w:t xml:space="preserve"> Histogram of DRAQ5 signal. A gate (B) was created around the peak representing single nuclei. </w:t>
                            </w:r>
                            <w:r w:rsidRPr="00A70304">
                              <w:rPr>
                                <w:rFonts w:ascii="Times New Roman" w:hAnsi="Times New Roman" w:cs="Times New Roman"/>
                                <w:b/>
                                <w:bCs/>
                                <w:sz w:val="22"/>
                                <w:szCs w:val="22"/>
                              </w:rPr>
                              <w:t>c,</w:t>
                            </w:r>
                            <w:r>
                              <w:rPr>
                                <w:rFonts w:ascii="Times New Roman" w:hAnsi="Times New Roman" w:cs="Times New Roman"/>
                                <w:sz w:val="22"/>
                                <w:szCs w:val="22"/>
                              </w:rPr>
                              <w:t xml:space="preserve"> </w:t>
                            </w:r>
                            <w:proofErr w:type="gramStart"/>
                            <w:r>
                              <w:rPr>
                                <w:rFonts w:ascii="Times New Roman" w:hAnsi="Times New Roman" w:cs="Times New Roman"/>
                                <w:sz w:val="22"/>
                                <w:szCs w:val="22"/>
                              </w:rPr>
                              <w:t>The</w:t>
                            </w:r>
                            <w:proofErr w:type="gramEnd"/>
                            <w:r>
                              <w:rPr>
                                <w:rFonts w:ascii="Times New Roman" w:hAnsi="Times New Roman" w:cs="Times New Roman"/>
                                <w:sz w:val="22"/>
                                <w:szCs w:val="22"/>
                              </w:rPr>
                              <w:t xml:space="preserve"> level of GFP signal was used to gate for genetically labeled interneurons (D). </w:t>
                            </w:r>
                            <w:r w:rsidRPr="00A70304">
                              <w:rPr>
                                <w:rFonts w:ascii="Times New Roman" w:hAnsi="Times New Roman" w:cs="Times New Roman"/>
                                <w:b/>
                                <w:bCs/>
                                <w:sz w:val="22"/>
                                <w:szCs w:val="22"/>
                              </w:rPr>
                              <w:t>d,</w:t>
                            </w:r>
                            <w:r>
                              <w:rPr>
                                <w:rFonts w:ascii="Times New Roman" w:hAnsi="Times New Roman" w:cs="Times New Roman"/>
                                <w:sz w:val="22"/>
                                <w:szCs w:val="22"/>
                              </w:rPr>
                              <w:t xml:space="preserve"> The Gating hierarchy and sorting statistics is provided in th</w:t>
                            </w:r>
                            <w:r w:rsidR="00996D71">
                              <w:rPr>
                                <w:rFonts w:ascii="Times New Roman" w:hAnsi="Times New Roman" w:cs="Times New Roman"/>
                                <w:sz w:val="22"/>
                                <w:szCs w:val="22"/>
                              </w:rPr>
                              <w:t>is</w:t>
                            </w:r>
                            <w:r>
                              <w:rPr>
                                <w:rFonts w:ascii="Times New Roman" w:hAnsi="Times New Roman" w:cs="Times New Roman"/>
                                <w:sz w:val="22"/>
                                <w:szCs w:val="22"/>
                              </w:rPr>
                              <w:t xml:space="preserve"> table.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DE8C5A" id="_x0000_t202" coordsize="21600,21600" o:spt="202" path="m,l,21600r21600,l21600,xe">
                <v:stroke joinstyle="miter"/>
                <v:path gradientshapeok="t" o:connecttype="rect"/>
              </v:shapetype>
              <v:shape id="Text Box 2" o:spid="_x0000_s1026" type="#_x0000_t202" style="position:absolute;left:0;text-align:left;margin-left:15.85pt;margin-top:250.85pt;width:43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" stroked="f">
                <v:textbox style="mso-fit-shape-to-text:t">
                  <w:txbxContent>
                    <w:p w14:paraId="4F223440" w14:textId="57636523" w:rsidR="00081063" w:rsidRDefault="00081063" w:rsidP="00081063">
                      <w:pPr>
                        <w:rPr>
                          <w:rFonts w:ascii="Times New Roman" w:hAnsi="Times New Roman" w:cs="Times New Roman"/>
                          <w:sz w:val="22"/>
                          <w:szCs w:val="22"/>
                        </w:rPr>
                      </w:pPr>
                      <w:r w:rsidRPr="00081063">
                        <w:rPr>
                          <w:rFonts w:ascii="Times New Roman" w:hAnsi="Times New Roman" w:cs="Times New Roman"/>
                          <w:sz w:val="22"/>
                          <w:szCs w:val="22"/>
                        </w:rPr>
                        <w:t>Fig. S1</w:t>
                      </w:r>
                      <w:r>
                        <w:rPr>
                          <w:rFonts w:ascii="Times New Roman" w:hAnsi="Times New Roman" w:cs="Times New Roman"/>
                          <w:sz w:val="22"/>
                          <w:szCs w:val="22"/>
                        </w:rPr>
                        <w:t xml:space="preserve"> Example of FACS gating strategy</w:t>
                      </w:r>
                    </w:p>
                    <w:p w14:paraId="01D326C0" w14:textId="32E8C6B1" w:rsidR="00081063" w:rsidRPr="00081063" w:rsidRDefault="00F070F9">
                      <w:pPr>
                        <w:rPr>
                          <w:rFonts w:ascii="Times New Roman" w:hAnsi="Times New Roman" w:cs="Times New Roman"/>
                          <w:sz w:val="22"/>
                          <w:szCs w:val="22"/>
                        </w:rPr>
                      </w:pPr>
                      <w:r>
                        <w:rPr>
                          <w:rFonts w:ascii="Times New Roman" w:hAnsi="Times New Roman" w:cs="Times New Roman"/>
                          <w:sz w:val="22"/>
                          <w:szCs w:val="22"/>
                        </w:rPr>
                        <w:t>This example shows FACS of</w:t>
                      </w:r>
                      <w:r w:rsidR="00A70304">
                        <w:rPr>
                          <w:rFonts w:ascii="Times New Roman" w:hAnsi="Times New Roman" w:cs="Times New Roman"/>
                          <w:sz w:val="22"/>
                          <w:szCs w:val="22"/>
                        </w:rPr>
                        <w:t xml:space="preserve"> genetically labeled interneurons from</w:t>
                      </w:r>
                      <w:r>
                        <w:rPr>
                          <w:rFonts w:ascii="Times New Roman" w:hAnsi="Times New Roman" w:cs="Times New Roman"/>
                          <w:sz w:val="22"/>
                          <w:szCs w:val="22"/>
                        </w:rPr>
                        <w:t xml:space="preserve"> </w:t>
                      </w:r>
                      <w:r w:rsidR="00A70304">
                        <w:rPr>
                          <w:rFonts w:ascii="Times New Roman" w:hAnsi="Times New Roman" w:cs="Times New Roman"/>
                          <w:sz w:val="22"/>
                          <w:szCs w:val="22"/>
                        </w:rPr>
                        <w:t xml:space="preserve">a </w:t>
                      </w:r>
                      <w:r w:rsidRPr="00A70304">
                        <w:rPr>
                          <w:rFonts w:ascii="Times New Roman" w:hAnsi="Times New Roman" w:cs="Times New Roman"/>
                          <w:sz w:val="22"/>
                          <w:szCs w:val="22"/>
                        </w:rPr>
                        <w:t xml:space="preserve">P14 </w:t>
                      </w:r>
                      <w:r w:rsidR="00A70304" w:rsidRPr="00A70304">
                        <w:rPr>
                          <w:rFonts w:ascii="Times New Roman" w:hAnsi="Times New Roman" w:cs="Times New Roman"/>
                          <w:i/>
                          <w:iCs/>
                          <w:sz w:val="22"/>
                          <w:szCs w:val="22"/>
                        </w:rPr>
                        <w:t>Nkx2.1-</w:t>
                      </w:r>
                      <w:proofErr w:type="gramStart"/>
                      <w:r w:rsidR="00A70304" w:rsidRPr="00A70304">
                        <w:rPr>
                          <w:rFonts w:ascii="Times New Roman" w:hAnsi="Times New Roman" w:cs="Times New Roman"/>
                          <w:i/>
                          <w:iCs/>
                          <w:sz w:val="22"/>
                          <w:szCs w:val="22"/>
                        </w:rPr>
                        <w:t>Cre;Bax</w:t>
                      </w:r>
                      <w:r w:rsidR="00A70304" w:rsidRPr="00A70304">
                        <w:rPr>
                          <w:rFonts w:ascii="Times New Roman" w:hAnsi="Times New Roman" w:cs="Times New Roman"/>
                          <w:i/>
                          <w:iCs/>
                          <w:sz w:val="22"/>
                          <w:szCs w:val="22"/>
                          <w:vertAlign w:val="superscript"/>
                        </w:rPr>
                        <w:t>fl</w:t>
                      </w:r>
                      <w:proofErr w:type="gramEnd"/>
                      <w:r w:rsidR="00A70304" w:rsidRPr="00A70304">
                        <w:rPr>
                          <w:rFonts w:ascii="Times New Roman" w:hAnsi="Times New Roman" w:cs="Times New Roman"/>
                          <w:i/>
                          <w:iCs/>
                          <w:sz w:val="22"/>
                          <w:szCs w:val="22"/>
                          <w:vertAlign w:val="superscript"/>
                        </w:rPr>
                        <w:t>/+</w:t>
                      </w:r>
                      <w:r w:rsidR="00A70304" w:rsidRPr="00A70304">
                        <w:rPr>
                          <w:rFonts w:ascii="Times New Roman" w:hAnsi="Times New Roman" w:cs="Times New Roman"/>
                          <w:i/>
                          <w:iCs/>
                          <w:sz w:val="22"/>
                          <w:szCs w:val="22"/>
                        </w:rPr>
                        <w:t>;Rosa26</w:t>
                      </w:r>
                      <w:r w:rsidR="00A70304" w:rsidRPr="00A70304">
                        <w:rPr>
                          <w:rFonts w:ascii="Times New Roman" w:hAnsi="Times New Roman" w:cs="Times New Roman"/>
                          <w:i/>
                          <w:iCs/>
                          <w:sz w:val="22"/>
                          <w:szCs w:val="22"/>
                          <w:vertAlign w:val="superscript"/>
                        </w:rPr>
                        <w:t>LSL-h2b-GFP</w:t>
                      </w:r>
                      <w:r w:rsidR="00A70304">
                        <w:rPr>
                          <w:rFonts w:ascii="Times New Roman" w:hAnsi="Times New Roman" w:cs="Times New Roman"/>
                          <w:sz w:val="22"/>
                          <w:szCs w:val="22"/>
                        </w:rPr>
                        <w:t xml:space="preserve"> mouse.</w:t>
                      </w:r>
                      <w:r>
                        <w:rPr>
                          <w:rFonts w:ascii="Times New Roman" w:hAnsi="Times New Roman" w:cs="Times New Roman"/>
                          <w:sz w:val="22"/>
                          <w:szCs w:val="22"/>
                        </w:rPr>
                        <w:t xml:space="preserve"> </w:t>
                      </w:r>
                      <w:proofErr w:type="gramStart"/>
                      <w:r w:rsidR="00081063" w:rsidRPr="00A70304">
                        <w:rPr>
                          <w:rFonts w:ascii="Times New Roman" w:hAnsi="Times New Roman" w:cs="Times New Roman"/>
                          <w:b/>
                          <w:bCs/>
                          <w:sz w:val="22"/>
                          <w:szCs w:val="22"/>
                        </w:rPr>
                        <w:t>a,</w:t>
                      </w:r>
                      <w:proofErr w:type="gramEnd"/>
                      <w:r w:rsidR="00081063" w:rsidRPr="00081063">
                        <w:rPr>
                          <w:rFonts w:ascii="Times New Roman" w:hAnsi="Times New Roman" w:cs="Times New Roman"/>
                          <w:sz w:val="22"/>
                          <w:szCs w:val="22"/>
                        </w:rPr>
                        <w:t xml:space="preserve"> </w:t>
                      </w:r>
                      <w:r>
                        <w:rPr>
                          <w:rFonts w:ascii="Times New Roman" w:hAnsi="Times New Roman" w:cs="Times New Roman"/>
                          <w:sz w:val="22"/>
                          <w:szCs w:val="22"/>
                        </w:rPr>
                        <w:t>Density plots created by Cell Sorter Software (Sony) showing backward scatter area (BSC-A) versus forward scatter area (FSC-A) distributions for the majority of nuclei</w:t>
                      </w:r>
                      <w:r w:rsidR="00A70304">
                        <w:rPr>
                          <w:rFonts w:ascii="Times New Roman" w:hAnsi="Times New Roman" w:cs="Times New Roman"/>
                          <w:sz w:val="22"/>
                          <w:szCs w:val="22"/>
                        </w:rPr>
                        <w:t xml:space="preserve">, circled in </w:t>
                      </w:r>
                      <w:r>
                        <w:rPr>
                          <w:rFonts w:ascii="Times New Roman" w:hAnsi="Times New Roman" w:cs="Times New Roman"/>
                          <w:sz w:val="22"/>
                          <w:szCs w:val="22"/>
                        </w:rPr>
                        <w:t xml:space="preserve">A. </w:t>
                      </w:r>
                      <w:r w:rsidRPr="00A70304">
                        <w:rPr>
                          <w:rFonts w:ascii="Times New Roman" w:hAnsi="Times New Roman" w:cs="Times New Roman"/>
                          <w:b/>
                          <w:bCs/>
                          <w:sz w:val="22"/>
                          <w:szCs w:val="22"/>
                        </w:rPr>
                        <w:t>b,</w:t>
                      </w:r>
                      <w:r>
                        <w:rPr>
                          <w:rFonts w:ascii="Times New Roman" w:hAnsi="Times New Roman" w:cs="Times New Roman"/>
                          <w:sz w:val="22"/>
                          <w:szCs w:val="22"/>
                        </w:rPr>
                        <w:t xml:space="preserve"> Histogram of DRAQ5 signal. A gate (B) was created around the peak representing single nuclei. </w:t>
                      </w:r>
                      <w:r w:rsidRPr="00A70304">
                        <w:rPr>
                          <w:rFonts w:ascii="Times New Roman" w:hAnsi="Times New Roman" w:cs="Times New Roman"/>
                          <w:b/>
                          <w:bCs/>
                          <w:sz w:val="22"/>
                          <w:szCs w:val="22"/>
                        </w:rPr>
                        <w:t>c,</w:t>
                      </w:r>
                      <w:r>
                        <w:rPr>
                          <w:rFonts w:ascii="Times New Roman" w:hAnsi="Times New Roman" w:cs="Times New Roman"/>
                          <w:sz w:val="22"/>
                          <w:szCs w:val="22"/>
                        </w:rPr>
                        <w:t xml:space="preserve"> </w:t>
                      </w:r>
                      <w:proofErr w:type="gramStart"/>
                      <w:r>
                        <w:rPr>
                          <w:rFonts w:ascii="Times New Roman" w:hAnsi="Times New Roman" w:cs="Times New Roman"/>
                          <w:sz w:val="22"/>
                          <w:szCs w:val="22"/>
                        </w:rPr>
                        <w:t>The</w:t>
                      </w:r>
                      <w:proofErr w:type="gramEnd"/>
                      <w:r>
                        <w:rPr>
                          <w:rFonts w:ascii="Times New Roman" w:hAnsi="Times New Roman" w:cs="Times New Roman"/>
                          <w:sz w:val="22"/>
                          <w:szCs w:val="22"/>
                        </w:rPr>
                        <w:t xml:space="preserve"> level of GFP signal was used to gate for genetically labeled interneurons (D). </w:t>
                      </w:r>
                      <w:r w:rsidRPr="00A70304">
                        <w:rPr>
                          <w:rFonts w:ascii="Times New Roman" w:hAnsi="Times New Roman" w:cs="Times New Roman"/>
                          <w:b/>
                          <w:bCs/>
                          <w:sz w:val="22"/>
                          <w:szCs w:val="22"/>
                        </w:rPr>
                        <w:t>d,</w:t>
                      </w:r>
                      <w:r>
                        <w:rPr>
                          <w:rFonts w:ascii="Times New Roman" w:hAnsi="Times New Roman" w:cs="Times New Roman"/>
                          <w:sz w:val="22"/>
                          <w:szCs w:val="22"/>
                        </w:rPr>
                        <w:t xml:space="preserve"> The Gating hierarchy and sorting statistics is provided in th</w:t>
                      </w:r>
                      <w:r w:rsidR="00996D71">
                        <w:rPr>
                          <w:rFonts w:ascii="Times New Roman" w:hAnsi="Times New Roman" w:cs="Times New Roman"/>
                          <w:sz w:val="22"/>
                          <w:szCs w:val="22"/>
                        </w:rPr>
                        <w:t>is</w:t>
                      </w:r>
                      <w:r>
                        <w:rPr>
                          <w:rFonts w:ascii="Times New Roman" w:hAnsi="Times New Roman" w:cs="Times New Roman"/>
                          <w:sz w:val="22"/>
                          <w:szCs w:val="22"/>
                        </w:rPr>
                        <w:t xml:space="preserve"> table.</w:t>
                      </w:r>
                    </w:p>
                  </w:txbxContent>
                </v:textbox>
                <w10:wrap type="square"/>
              </v:shape>
            </w:pict>
          </mc:Fallback>
        </mc:AlternateContent>
      </w:r>
      <w:r w:rsidR="00DA7669">
        <w:rPr>
          <w:rFonts w:ascii="Times New Roman" w:eastAsia="SimSun" w:hAnsi="Times New Roman" w:cs="Times New Roman"/>
          <w:noProof/>
          <w:kern w:val="0"/>
          <w:sz w:val="22"/>
          <w:szCs w:val="22"/>
          <w:lang w:eastAsia="en-US"/>
        </w:rPr>
        <w:drawing>
          <wp:inline distT="0" distB="0" distL="0" distR="0" wp14:anchorId="4CCE2239" wp14:editId="06857B68">
            <wp:extent cx="5550419" cy="3023622"/>
            <wp:effectExtent l="0" t="0" r="0" b="5715"/>
            <wp:docPr id="767346036"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46036" name="Picture 1" descr="A screenshot of a graph&#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50419" cy="3023622"/>
                    </a:xfrm>
                    <a:prstGeom prst="rect">
                      <a:avLst/>
                    </a:prstGeom>
                  </pic:spPr>
                </pic:pic>
              </a:graphicData>
            </a:graphic>
          </wp:inline>
        </w:drawing>
      </w:r>
    </w:p>
    <w:p w14:paraId="4FF94C0B" w14:textId="4E16BA13" w:rsidR="00081063" w:rsidRPr="00081063" w:rsidRDefault="00081063" w:rsidP="00BD6291">
      <w:pPr>
        <w:rPr>
          <w:rFonts w:ascii="Times New Roman" w:hAnsi="Times New Roman" w:cs="Times New Roman"/>
          <w:sz w:val="22"/>
          <w:szCs w:val="22"/>
        </w:rPr>
      </w:pPr>
    </w:p>
    <w:p w14:paraId="681F3766" w14:textId="265E4826" w:rsidR="00BD6291" w:rsidRPr="00BD6291" w:rsidRDefault="00BD6291" w:rsidP="00BD6291">
      <w:pPr>
        <w:rPr>
          <w:rFonts w:ascii="Times New Roman" w:hAnsi="Times New Roman" w:cs="Times New Roman"/>
          <w:b/>
          <w:bCs/>
          <w:sz w:val="22"/>
          <w:szCs w:val="22"/>
        </w:rPr>
      </w:pPr>
      <w:r w:rsidRPr="00BD6291">
        <w:rPr>
          <w:rFonts w:ascii="Times New Roman" w:hAnsi="Times New Roman" w:cs="Times New Roman"/>
          <w:b/>
          <w:bCs/>
          <w:sz w:val="22"/>
          <w:szCs w:val="22"/>
        </w:rPr>
        <w:t>Immunohistochemistry</w:t>
      </w:r>
    </w:p>
    <w:p w14:paraId="109D2996" w14:textId="77777777" w:rsidR="00BD6291" w:rsidRDefault="00BD6291" w:rsidP="00BD6291">
      <w:pPr>
        <w:pStyle w:val="NormalWeb"/>
        <w:rPr>
          <w:sz w:val="22"/>
          <w:szCs w:val="22"/>
        </w:rPr>
      </w:pPr>
      <w:r>
        <w:rPr>
          <w:sz w:val="22"/>
          <w:szCs w:val="22"/>
        </w:rPr>
        <w:t xml:space="preserve">Immunohistochemistry experiments were performed to amplify the fluorescent signal of genetic or viral labeled interneurons, or to label PVALB interneurons. For all histological experiments, mice were deeply anesthetized with sodium pentobarbital (Euthasol) by intraperitoneal injection and </w:t>
      </w:r>
      <w:proofErr w:type="spellStart"/>
      <w:r>
        <w:rPr>
          <w:sz w:val="22"/>
          <w:szCs w:val="22"/>
        </w:rPr>
        <w:t>transcardially</w:t>
      </w:r>
      <w:proofErr w:type="spellEnd"/>
      <w:r>
        <w:rPr>
          <w:sz w:val="22"/>
          <w:szCs w:val="22"/>
        </w:rPr>
        <w:t xml:space="preserve"> perfused </w:t>
      </w:r>
      <w:r>
        <w:rPr>
          <w:sz w:val="22"/>
          <w:szCs w:val="22"/>
        </w:rPr>
        <w:lastRenderedPageBreak/>
        <w:t xml:space="preserve">with 1X PBS followed by 4% paraformaldehyde (PFA) in 1X PBS. Brains were dissected out and post-fixed overnight at 4°C. Brain slices ranging from 40-150 µm were obtained from sectioning using a vibratome (Leica VT 1200S) or using a microtome (Leica SM2010 R) after cryopreservation. Brain slices may be stored in Storage Buffer at -80 °C before further processing. Free-floating brain sections were incubated in primary antibodies diluted in antibody incubation solution (5% normal donkey serum, 0.25% Triton X-100 in 1X PBS) in </w:t>
      </w:r>
      <w:proofErr w:type="spellStart"/>
      <w:r>
        <w:rPr>
          <w:sz w:val="22"/>
          <w:szCs w:val="22"/>
        </w:rPr>
        <w:t>coldroom</w:t>
      </w:r>
      <w:proofErr w:type="spellEnd"/>
      <w:r>
        <w:rPr>
          <w:sz w:val="22"/>
          <w:szCs w:val="22"/>
        </w:rPr>
        <w:t xml:space="preserve"> overnight or up to three days. Secondary antibodies were diluted in antibody incubation solution at RT for 1-3 hrs, or in </w:t>
      </w:r>
      <w:proofErr w:type="spellStart"/>
      <w:r>
        <w:rPr>
          <w:sz w:val="22"/>
          <w:szCs w:val="22"/>
        </w:rPr>
        <w:t>coldroom</w:t>
      </w:r>
      <w:proofErr w:type="spellEnd"/>
      <w:r>
        <w:rPr>
          <w:sz w:val="22"/>
          <w:szCs w:val="22"/>
        </w:rPr>
        <w:t xml:space="preserve"> overnight. Primary antibodies used targeted: GFP (</w:t>
      </w:r>
      <w:proofErr w:type="spellStart"/>
      <w:r>
        <w:rPr>
          <w:sz w:val="22"/>
          <w:szCs w:val="22"/>
        </w:rPr>
        <w:t>Sicgen</w:t>
      </w:r>
      <w:proofErr w:type="spellEnd"/>
      <w:r>
        <w:rPr>
          <w:sz w:val="22"/>
          <w:szCs w:val="22"/>
        </w:rPr>
        <w:t xml:space="preserve"> AB0020-200), </w:t>
      </w:r>
      <w:proofErr w:type="spellStart"/>
      <w:r>
        <w:rPr>
          <w:sz w:val="22"/>
          <w:szCs w:val="22"/>
        </w:rPr>
        <w:t>DsRed</w:t>
      </w:r>
      <w:proofErr w:type="spellEnd"/>
      <w:r>
        <w:rPr>
          <w:sz w:val="22"/>
          <w:szCs w:val="22"/>
        </w:rPr>
        <w:t xml:space="preserve"> (</w:t>
      </w:r>
      <w:proofErr w:type="spellStart"/>
      <w:r>
        <w:rPr>
          <w:sz w:val="22"/>
          <w:szCs w:val="22"/>
        </w:rPr>
        <w:t>Clontech</w:t>
      </w:r>
      <w:proofErr w:type="spellEnd"/>
      <w:r>
        <w:rPr>
          <w:sz w:val="22"/>
          <w:szCs w:val="22"/>
        </w:rPr>
        <w:t xml:space="preserve"> #632496), PV (Swant PV27). Secondary antibodies used include Alexa 488 donkey anti-goat (</w:t>
      </w:r>
      <w:proofErr w:type="spellStart"/>
      <w:r>
        <w:rPr>
          <w:sz w:val="22"/>
          <w:szCs w:val="22"/>
        </w:rPr>
        <w:t>Thermo</w:t>
      </w:r>
      <w:proofErr w:type="spellEnd"/>
      <w:r>
        <w:rPr>
          <w:sz w:val="22"/>
          <w:szCs w:val="22"/>
        </w:rPr>
        <w:t xml:space="preserve"> Fisher Scientific A-11055) and Alexa 594 donkey anti-rabbit (</w:t>
      </w:r>
      <w:proofErr w:type="spellStart"/>
      <w:r>
        <w:rPr>
          <w:sz w:val="22"/>
          <w:szCs w:val="22"/>
        </w:rPr>
        <w:t>Thermo</w:t>
      </w:r>
      <w:proofErr w:type="spellEnd"/>
      <w:r>
        <w:rPr>
          <w:sz w:val="22"/>
          <w:szCs w:val="22"/>
        </w:rPr>
        <w:t xml:space="preserve"> Fisher Scientific A-21207).</w:t>
      </w:r>
    </w:p>
    <w:p w14:paraId="18C6F717" w14:textId="77777777" w:rsidR="00BD6291" w:rsidRDefault="00BD6291" w:rsidP="00BD6291">
      <w:pPr>
        <w:pStyle w:val="NormalWeb"/>
      </w:pPr>
    </w:p>
    <w:p w14:paraId="2401FD4E" w14:textId="77777777" w:rsidR="00BD6291" w:rsidRPr="00BD6291" w:rsidRDefault="00BD6291" w:rsidP="00BD6291">
      <w:pPr>
        <w:rPr>
          <w:rFonts w:ascii="Times New Roman" w:hAnsi="Times New Roman" w:cs="Times New Roman"/>
          <w:b/>
          <w:bCs/>
          <w:sz w:val="22"/>
          <w:szCs w:val="22"/>
        </w:rPr>
      </w:pPr>
      <w:r w:rsidRPr="00BD6291">
        <w:rPr>
          <w:rFonts w:ascii="Times New Roman" w:hAnsi="Times New Roman" w:cs="Times New Roman"/>
          <w:b/>
          <w:bCs/>
          <w:sz w:val="22"/>
          <w:szCs w:val="22"/>
        </w:rPr>
        <w:t>Stereotaxic AAV injection</w:t>
      </w:r>
    </w:p>
    <w:p w14:paraId="7B5F6BE7" w14:textId="77777777" w:rsidR="00BD6291" w:rsidRDefault="00BD6291" w:rsidP="00BD6291">
      <w:pPr>
        <w:pStyle w:val="NormalWeb"/>
        <w:rPr>
          <w:sz w:val="22"/>
          <w:szCs w:val="22"/>
        </w:rPr>
      </w:pPr>
      <w:r>
        <w:rPr>
          <w:sz w:val="22"/>
          <w:szCs w:val="22"/>
          <w:lang w:val="en-US"/>
        </w:rPr>
        <w:t>AAV-</w:t>
      </w:r>
      <w:proofErr w:type="spellStart"/>
      <w:r>
        <w:rPr>
          <w:sz w:val="22"/>
          <w:szCs w:val="22"/>
          <w:lang w:val="en-US"/>
        </w:rPr>
        <w:t>PHP.eB</w:t>
      </w:r>
      <w:proofErr w:type="spellEnd"/>
      <w:r>
        <w:rPr>
          <w:sz w:val="22"/>
          <w:szCs w:val="22"/>
          <w:lang w:val="en-US"/>
        </w:rPr>
        <w:t>-</w:t>
      </w:r>
      <w:r>
        <w:rPr>
          <w:sz w:val="22"/>
          <w:szCs w:val="22"/>
        </w:rPr>
        <w:t xml:space="preserve">hDlx-DIO-ChR2-mCherry were produced by </w:t>
      </w:r>
      <w:proofErr w:type="spellStart"/>
      <w:r>
        <w:rPr>
          <w:sz w:val="22"/>
          <w:szCs w:val="22"/>
        </w:rPr>
        <w:t>Neurotools</w:t>
      </w:r>
      <w:proofErr w:type="spellEnd"/>
      <w:r>
        <w:rPr>
          <w:sz w:val="22"/>
          <w:szCs w:val="22"/>
        </w:rPr>
        <w:t xml:space="preserve"> (University of Carolina at Chapel Hill) from user supplied plasmid preparation. To label SST-</w:t>
      </w:r>
      <w:proofErr w:type="spellStart"/>
      <w:r>
        <w:rPr>
          <w:sz w:val="22"/>
          <w:szCs w:val="22"/>
        </w:rPr>
        <w:t>Hpse</w:t>
      </w:r>
      <w:proofErr w:type="spellEnd"/>
      <w:r>
        <w:rPr>
          <w:sz w:val="22"/>
          <w:szCs w:val="22"/>
        </w:rPr>
        <w:t xml:space="preserve"> and SST-Crhr2 in control and </w:t>
      </w:r>
      <w:r w:rsidRPr="003278C9">
        <w:rPr>
          <w:i/>
          <w:iCs/>
          <w:sz w:val="22"/>
          <w:szCs w:val="22"/>
        </w:rPr>
        <w:t>Fezf2</w:t>
      </w:r>
      <w:r>
        <w:rPr>
          <w:sz w:val="22"/>
          <w:szCs w:val="22"/>
        </w:rPr>
        <w:t xml:space="preserve"> KO conditions, 100 </w:t>
      </w:r>
      <w:proofErr w:type="spellStart"/>
      <w:r>
        <w:rPr>
          <w:sz w:val="22"/>
          <w:szCs w:val="22"/>
        </w:rPr>
        <w:t>nL</w:t>
      </w:r>
      <w:proofErr w:type="spellEnd"/>
      <w:r>
        <w:rPr>
          <w:sz w:val="22"/>
          <w:szCs w:val="22"/>
        </w:rPr>
        <w:t xml:space="preserve"> of this AAV (diluted to titer: E+12 vg/ml) is injected in S1 region using a </w:t>
      </w:r>
      <w:proofErr w:type="spellStart"/>
      <w:r>
        <w:rPr>
          <w:sz w:val="22"/>
          <w:szCs w:val="22"/>
        </w:rPr>
        <w:t>Nanoject</w:t>
      </w:r>
      <w:proofErr w:type="spellEnd"/>
      <w:r>
        <w:rPr>
          <w:sz w:val="22"/>
          <w:szCs w:val="22"/>
        </w:rPr>
        <w:t xml:space="preserve"> III at 6-8 weeks age. The labeling pattern was examined approximately two weeks after injection.</w:t>
      </w:r>
    </w:p>
    <w:p w14:paraId="16BB8391" w14:textId="77777777" w:rsidR="00BD6291" w:rsidRDefault="00BD6291" w:rsidP="00BD6291">
      <w:pPr>
        <w:pStyle w:val="NormalWeb"/>
      </w:pPr>
    </w:p>
    <w:p w14:paraId="32B314E3" w14:textId="198E5CDE" w:rsidR="00BD6291" w:rsidRDefault="00BD6291" w:rsidP="00BD6291">
      <w:pPr>
        <w:pStyle w:val="NormalWeb"/>
        <w:rPr>
          <w:b/>
          <w:bCs/>
          <w:sz w:val="22"/>
          <w:szCs w:val="22"/>
        </w:rPr>
      </w:pPr>
      <w:r>
        <w:rPr>
          <w:b/>
          <w:bCs/>
          <w:sz w:val="22"/>
          <w:szCs w:val="22"/>
        </w:rPr>
        <w:t xml:space="preserve">Tamoxifen </w:t>
      </w:r>
      <w:r w:rsidR="00DE20C0">
        <w:rPr>
          <w:b/>
          <w:bCs/>
          <w:sz w:val="22"/>
          <w:szCs w:val="22"/>
        </w:rPr>
        <w:t>administration</w:t>
      </w:r>
    </w:p>
    <w:p w14:paraId="1B351FAF" w14:textId="77777777" w:rsidR="00BD6291" w:rsidRDefault="00BD6291" w:rsidP="00BD6291">
      <w:pPr>
        <w:pStyle w:val="NormalWeb"/>
        <w:rPr>
          <w:sz w:val="22"/>
          <w:szCs w:val="22"/>
        </w:rPr>
      </w:pPr>
      <w:r>
        <w:rPr>
          <w:sz w:val="22"/>
          <w:szCs w:val="22"/>
        </w:rPr>
        <w:t xml:space="preserve">To label PVALB-Fzd6, a varying dose of tamoxifen, ranging from a single dose of 0.5 mg or two doses of 2 mg, was administrated to </w:t>
      </w:r>
      <w:proofErr w:type="gramStart"/>
      <w:r>
        <w:rPr>
          <w:i/>
          <w:iCs/>
          <w:sz w:val="22"/>
          <w:szCs w:val="22"/>
        </w:rPr>
        <w:t>Pvalb</w:t>
      </w:r>
      <w:r>
        <w:rPr>
          <w:i/>
          <w:iCs/>
          <w:sz w:val="22"/>
          <w:szCs w:val="22"/>
          <w:vertAlign w:val="superscript"/>
        </w:rPr>
        <w:t>FlpO</w:t>
      </w:r>
      <w:r>
        <w:rPr>
          <w:i/>
          <w:iCs/>
          <w:sz w:val="22"/>
          <w:szCs w:val="22"/>
        </w:rPr>
        <w:t>;Tcerg</w:t>
      </w:r>
      <w:proofErr w:type="gramEnd"/>
      <w:r>
        <w:rPr>
          <w:i/>
          <w:iCs/>
          <w:sz w:val="22"/>
          <w:szCs w:val="22"/>
        </w:rPr>
        <w:t>1l</w:t>
      </w:r>
      <w:r>
        <w:rPr>
          <w:i/>
          <w:iCs/>
          <w:sz w:val="22"/>
          <w:szCs w:val="22"/>
          <w:vertAlign w:val="superscript"/>
        </w:rPr>
        <w:t>CreER</w:t>
      </w:r>
      <w:r>
        <w:rPr>
          <w:i/>
          <w:iCs/>
          <w:sz w:val="22"/>
          <w:szCs w:val="22"/>
        </w:rPr>
        <w:t>;Ai65</w:t>
      </w:r>
      <w:r>
        <w:rPr>
          <w:sz w:val="22"/>
          <w:szCs w:val="22"/>
        </w:rPr>
        <w:t xml:space="preserve"> mice of 1-2 month age. Tamoxifen solution was prepared by dissolving Tamoxifen (Sigma-Aldrich, T5648</w:t>
      </w:r>
      <w:r>
        <w:rPr>
          <w:b/>
          <w:bCs/>
          <w:sz w:val="22"/>
          <w:szCs w:val="22"/>
        </w:rPr>
        <w:t xml:space="preserve">) </w:t>
      </w:r>
      <w:r>
        <w:rPr>
          <w:sz w:val="22"/>
          <w:szCs w:val="22"/>
        </w:rPr>
        <w:t xml:space="preserve">in corn oil (Sigma-Aldrich) at 10-20 mg/ml concentration with agitation or sonication. Tamoxifen solution was either stored at RT and used within one week of preparation or stored long-term at −80°C and warmed up prior to injection. Tamoxifen solution was administrated to mice through oral gavage. </w:t>
      </w:r>
    </w:p>
    <w:p w14:paraId="1D4C70D4" w14:textId="3BAD6842" w:rsidR="003B7AC3" w:rsidRDefault="003B7AC3">
      <w:pPr>
        <w:rPr>
          <w:rFonts w:ascii="Times New Roman" w:hAnsi="Times New Roman" w:cs="Times New Roman"/>
          <w:sz w:val="22"/>
          <w:szCs w:val="22"/>
        </w:rPr>
      </w:pPr>
    </w:p>
    <w:sectPr w:rsidR="003B7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1NDI3NTU2NzCzMDFR0lEKTi0uzszPAykwqQUAWgTSPSwAAAA="/>
  </w:docVars>
  <w:rsids>
    <w:rsidRoot w:val="00C65D44"/>
    <w:rsid w:val="00081063"/>
    <w:rsid w:val="001442CD"/>
    <w:rsid w:val="003B7AC3"/>
    <w:rsid w:val="006275D9"/>
    <w:rsid w:val="007D073B"/>
    <w:rsid w:val="00817871"/>
    <w:rsid w:val="008C4B13"/>
    <w:rsid w:val="00935B70"/>
    <w:rsid w:val="00982299"/>
    <w:rsid w:val="00996D71"/>
    <w:rsid w:val="009A436A"/>
    <w:rsid w:val="00A70304"/>
    <w:rsid w:val="00B579D8"/>
    <w:rsid w:val="00BD6291"/>
    <w:rsid w:val="00C508E7"/>
    <w:rsid w:val="00C65D44"/>
    <w:rsid w:val="00CF1602"/>
    <w:rsid w:val="00DA74CD"/>
    <w:rsid w:val="00DA7669"/>
    <w:rsid w:val="00DE20C0"/>
    <w:rsid w:val="00F07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81644"/>
  <w15:chartTrackingRefBased/>
  <w15:docId w15:val="{2CD060EE-A80B-4B19-B1F6-1631B2AFB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D44"/>
    <w:rPr>
      <w:rFonts w:eastAsiaTheme="majorEastAsia" w:cstheme="majorBidi"/>
      <w:color w:val="272727" w:themeColor="text1" w:themeTint="D8"/>
    </w:rPr>
  </w:style>
  <w:style w:type="paragraph" w:styleId="Title">
    <w:name w:val="Title"/>
    <w:basedOn w:val="Normal"/>
    <w:next w:val="Normal"/>
    <w:link w:val="TitleChar"/>
    <w:uiPriority w:val="10"/>
    <w:qFormat/>
    <w:rsid w:val="00C65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D44"/>
    <w:pPr>
      <w:spacing w:before="160"/>
      <w:jc w:val="center"/>
    </w:pPr>
    <w:rPr>
      <w:i/>
      <w:iCs/>
      <w:color w:val="404040" w:themeColor="text1" w:themeTint="BF"/>
    </w:rPr>
  </w:style>
  <w:style w:type="character" w:customStyle="1" w:styleId="QuoteChar">
    <w:name w:val="Quote Char"/>
    <w:basedOn w:val="DefaultParagraphFont"/>
    <w:link w:val="Quote"/>
    <w:uiPriority w:val="29"/>
    <w:rsid w:val="00C65D44"/>
    <w:rPr>
      <w:i/>
      <w:iCs/>
      <w:color w:val="404040" w:themeColor="text1" w:themeTint="BF"/>
    </w:rPr>
  </w:style>
  <w:style w:type="paragraph" w:styleId="ListParagraph">
    <w:name w:val="List Paragraph"/>
    <w:basedOn w:val="Normal"/>
    <w:uiPriority w:val="34"/>
    <w:qFormat/>
    <w:rsid w:val="00C65D44"/>
    <w:pPr>
      <w:ind w:left="720"/>
      <w:contextualSpacing/>
    </w:pPr>
  </w:style>
  <w:style w:type="character" w:styleId="IntenseEmphasis">
    <w:name w:val="Intense Emphasis"/>
    <w:basedOn w:val="DefaultParagraphFont"/>
    <w:uiPriority w:val="21"/>
    <w:qFormat/>
    <w:rsid w:val="00C65D44"/>
    <w:rPr>
      <w:i/>
      <w:iCs/>
      <w:color w:val="0F4761" w:themeColor="accent1" w:themeShade="BF"/>
    </w:rPr>
  </w:style>
  <w:style w:type="paragraph" w:styleId="IntenseQuote">
    <w:name w:val="Intense Quote"/>
    <w:basedOn w:val="Normal"/>
    <w:next w:val="Normal"/>
    <w:link w:val="IntenseQuoteChar"/>
    <w:uiPriority w:val="30"/>
    <w:qFormat/>
    <w:rsid w:val="00C65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D44"/>
    <w:rPr>
      <w:i/>
      <w:iCs/>
      <w:color w:val="0F4761" w:themeColor="accent1" w:themeShade="BF"/>
    </w:rPr>
  </w:style>
  <w:style w:type="character" w:styleId="IntenseReference">
    <w:name w:val="Intense Reference"/>
    <w:basedOn w:val="DefaultParagraphFont"/>
    <w:uiPriority w:val="32"/>
    <w:qFormat/>
    <w:rsid w:val="00C65D44"/>
    <w:rPr>
      <w:b/>
      <w:bCs/>
      <w:smallCaps/>
      <w:color w:val="0F4761" w:themeColor="accent1" w:themeShade="BF"/>
      <w:spacing w:val="5"/>
    </w:rPr>
  </w:style>
  <w:style w:type="paragraph" w:styleId="NormalWeb">
    <w:name w:val="Normal (Web)"/>
    <w:basedOn w:val="Normal"/>
    <w:uiPriority w:val="99"/>
    <w:unhideWhenUsed/>
    <w:rsid w:val="00BD6291"/>
    <w:pPr>
      <w:spacing w:after="0" w:line="480" w:lineRule="auto"/>
      <w:jc w:val="both"/>
    </w:pPr>
    <w:rPr>
      <w:rFonts w:ascii="Times New Roman" w:eastAsia="SimSun" w:hAnsi="Times New Roman" w:cs="Times New Roman"/>
      <w:kern w:val="0"/>
      <w:lang w:val="en-CA"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3752B-5EE2-448C-9DF8-A869F213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Jingjing</dc:creator>
  <cp:keywords/>
  <dc:description/>
  <cp:lastModifiedBy>Wu, Jingjing</cp:lastModifiedBy>
  <cp:revision>9</cp:revision>
  <dcterms:created xsi:type="dcterms:W3CDTF">2024-05-30T03:19:00Z</dcterms:created>
  <dcterms:modified xsi:type="dcterms:W3CDTF">2024-07-19T03:14:00Z</dcterms:modified>
</cp:coreProperties>
</file>