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00" w:type="dxa"/>
        <w:tblInd w:w="100" w:type="dxa"/>
        <w:tblLook w:val="04A0"/>
      </w:tblPr>
      <w:tblGrid>
        <w:gridCol w:w="2165"/>
        <w:gridCol w:w="656"/>
        <w:gridCol w:w="5375"/>
        <w:gridCol w:w="1904"/>
      </w:tblGrid>
      <w:tr w:rsidR="00E402B8" w:rsidRPr="00E402B8" w:rsidTr="00E402B8">
        <w:trPr>
          <w:trHeight w:val="460"/>
        </w:trPr>
        <w:tc>
          <w:tcPr>
            <w:tcW w:w="10100" w:type="dxa"/>
            <w:gridSpan w:val="4"/>
            <w:tcBorders>
              <w:top w:val="nil"/>
              <w:left w:val="nil"/>
              <w:bottom w:val="nil"/>
              <w:right w:val="nil"/>
            </w:tcBorders>
            <w:shd w:val="clear" w:color="auto" w:fill="auto"/>
            <w:noWrap/>
            <w:vAlign w:val="center"/>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36"/>
                <w:szCs w:val="36"/>
              </w:rPr>
            </w:pPr>
            <w:r w:rsidRPr="00E402B8">
              <w:rPr>
                <w:rFonts w:ascii="Times New Roman" w:eastAsia="宋体" w:hAnsi="Times New Roman" w:cs="Times New Roman"/>
                <w:color w:val="000000"/>
                <w:kern w:val="0"/>
                <w:sz w:val="36"/>
                <w:szCs w:val="36"/>
              </w:rPr>
              <w:t>CARE Checklist</w:t>
            </w:r>
          </w:p>
        </w:tc>
      </w:tr>
      <w:tr w:rsidR="00E402B8" w:rsidRPr="00E402B8" w:rsidTr="00E402B8">
        <w:trPr>
          <w:trHeight w:val="280"/>
        </w:trPr>
        <w:tc>
          <w:tcPr>
            <w:tcW w:w="2165" w:type="dxa"/>
            <w:tcBorders>
              <w:top w:val="nil"/>
              <w:left w:val="nil"/>
              <w:bottom w:val="nil"/>
              <w:right w:val="nil"/>
            </w:tcBorders>
            <w:shd w:val="clear" w:color="auto" w:fill="auto"/>
            <w:vAlign w:val="center"/>
            <w:hideMark/>
          </w:tcPr>
          <w:p w:rsidR="00E402B8" w:rsidRPr="00E402B8" w:rsidRDefault="00E402B8" w:rsidP="00DB424D">
            <w:pPr>
              <w:widowControl/>
              <w:spacing w:line="480" w:lineRule="auto"/>
              <w:jc w:val="left"/>
              <w:rPr>
                <w:rFonts w:ascii="Times New Roman" w:eastAsia="宋体" w:hAnsi="Times New Roman" w:cs="Times New Roman"/>
                <w:b/>
                <w:bCs/>
                <w:color w:val="000000"/>
                <w:kern w:val="0"/>
                <w:sz w:val="22"/>
              </w:rPr>
            </w:pPr>
            <w:r w:rsidRPr="00E402B8">
              <w:rPr>
                <w:rFonts w:ascii="Times New Roman" w:eastAsia="宋体" w:hAnsi="Times New Roman" w:cs="Times New Roman"/>
                <w:b/>
                <w:bCs/>
                <w:color w:val="000000"/>
                <w:kern w:val="0"/>
                <w:sz w:val="22"/>
              </w:rPr>
              <w:t xml:space="preserve">1.Topic   </w:t>
            </w:r>
          </w:p>
        </w:tc>
        <w:tc>
          <w:tcPr>
            <w:tcW w:w="644" w:type="dxa"/>
            <w:tcBorders>
              <w:top w:val="nil"/>
              <w:left w:val="nil"/>
              <w:bottom w:val="nil"/>
              <w:right w:val="nil"/>
            </w:tcBorders>
            <w:shd w:val="clear" w:color="auto" w:fill="auto"/>
            <w:noWrap/>
            <w:vAlign w:val="center"/>
            <w:hideMark/>
          </w:tcPr>
          <w:p w:rsidR="00E402B8" w:rsidRPr="00E402B8" w:rsidRDefault="00E402B8" w:rsidP="00DB424D">
            <w:pPr>
              <w:widowControl/>
              <w:spacing w:line="480" w:lineRule="auto"/>
              <w:jc w:val="center"/>
              <w:rPr>
                <w:rFonts w:ascii="Times New Roman" w:eastAsia="宋体" w:hAnsi="Times New Roman" w:cs="Times New Roman"/>
                <w:b/>
                <w:bCs/>
                <w:color w:val="000000"/>
                <w:kern w:val="0"/>
                <w:sz w:val="22"/>
              </w:rPr>
            </w:pPr>
            <w:r w:rsidRPr="00E402B8">
              <w:rPr>
                <w:rFonts w:ascii="Times New Roman" w:eastAsia="宋体" w:hAnsi="Times New Roman" w:cs="Times New Roman"/>
                <w:b/>
                <w:bCs/>
                <w:color w:val="000000"/>
                <w:kern w:val="0"/>
                <w:sz w:val="22"/>
              </w:rPr>
              <w:t>Item</w:t>
            </w:r>
          </w:p>
        </w:tc>
        <w:tc>
          <w:tcPr>
            <w:tcW w:w="5375" w:type="dxa"/>
            <w:tcBorders>
              <w:top w:val="nil"/>
              <w:left w:val="nil"/>
              <w:bottom w:val="nil"/>
              <w:right w:val="nil"/>
            </w:tcBorders>
            <w:shd w:val="clear" w:color="auto" w:fill="auto"/>
            <w:vAlign w:val="center"/>
            <w:hideMark/>
          </w:tcPr>
          <w:p w:rsidR="00E402B8" w:rsidRPr="00E402B8" w:rsidRDefault="00E402B8" w:rsidP="00DB424D">
            <w:pPr>
              <w:widowControl/>
              <w:spacing w:line="480" w:lineRule="auto"/>
              <w:jc w:val="left"/>
              <w:rPr>
                <w:rFonts w:ascii="Times New Roman" w:eastAsia="宋体" w:hAnsi="Times New Roman" w:cs="Times New Roman"/>
                <w:b/>
                <w:bCs/>
                <w:color w:val="000000"/>
                <w:kern w:val="0"/>
                <w:sz w:val="22"/>
              </w:rPr>
            </w:pPr>
            <w:r w:rsidRPr="00E402B8">
              <w:rPr>
                <w:rFonts w:ascii="Times New Roman" w:eastAsia="宋体" w:hAnsi="Times New Roman" w:cs="Times New Roman"/>
                <w:b/>
                <w:bCs/>
                <w:color w:val="000000"/>
                <w:kern w:val="0"/>
                <w:sz w:val="22"/>
              </w:rPr>
              <w:t>Checklist item description</w:t>
            </w:r>
          </w:p>
        </w:tc>
        <w:tc>
          <w:tcPr>
            <w:tcW w:w="1916" w:type="dxa"/>
            <w:tcBorders>
              <w:top w:val="nil"/>
              <w:left w:val="nil"/>
              <w:bottom w:val="nil"/>
              <w:right w:val="nil"/>
            </w:tcBorders>
            <w:shd w:val="clear" w:color="auto" w:fill="auto"/>
            <w:vAlign w:val="center"/>
            <w:hideMark/>
          </w:tcPr>
          <w:p w:rsidR="00E402B8" w:rsidRPr="00E402B8" w:rsidRDefault="00E402B8" w:rsidP="00DB424D">
            <w:pPr>
              <w:widowControl/>
              <w:spacing w:line="480" w:lineRule="auto"/>
              <w:jc w:val="left"/>
              <w:rPr>
                <w:rFonts w:ascii="Times New Roman" w:eastAsia="宋体" w:hAnsi="Times New Roman" w:cs="Times New Roman"/>
                <w:b/>
                <w:bCs/>
                <w:color w:val="000000"/>
                <w:kern w:val="0"/>
                <w:sz w:val="22"/>
              </w:rPr>
            </w:pPr>
            <w:r w:rsidRPr="00E402B8">
              <w:rPr>
                <w:rFonts w:ascii="Times New Roman" w:eastAsia="宋体" w:hAnsi="Times New Roman" w:cs="Times New Roman"/>
                <w:b/>
                <w:bCs/>
                <w:color w:val="000000"/>
                <w:kern w:val="0"/>
                <w:sz w:val="22"/>
              </w:rPr>
              <w:t>Reported on Line</w:t>
            </w:r>
          </w:p>
        </w:tc>
      </w:tr>
      <w:tr w:rsidR="00E402B8" w:rsidRPr="00E402B8" w:rsidTr="00E402B8">
        <w:trPr>
          <w:trHeight w:val="670"/>
        </w:trPr>
        <w:tc>
          <w:tcPr>
            <w:tcW w:w="216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1.Title</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Renal cell carcinoma with a pelvicalyceal system tumor thrombus: a case report</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1-2</w:t>
            </w:r>
          </w:p>
        </w:tc>
      </w:tr>
      <w:tr w:rsidR="00E402B8" w:rsidRPr="00E402B8" w:rsidTr="00E402B8">
        <w:trPr>
          <w:trHeight w:val="560"/>
        </w:trPr>
        <w:tc>
          <w:tcPr>
            <w:tcW w:w="216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2.Key Words</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2</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Renal cell carcinoma, Tumor thrombus, pelvicalyceal system, case report</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20</w:t>
            </w:r>
          </w:p>
        </w:tc>
      </w:tr>
      <w:tr w:rsidR="00E402B8" w:rsidRPr="00E402B8" w:rsidTr="00E402B8">
        <w:trPr>
          <w:trHeight w:val="690"/>
        </w:trPr>
        <w:tc>
          <w:tcPr>
            <w:tcW w:w="2165" w:type="dxa"/>
            <w:vMerge w:val="restart"/>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3.Abstract</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3a</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RCC does not normally form tumor thrombus in the pelvicalyceal system</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8</w:t>
            </w:r>
          </w:p>
        </w:tc>
      </w:tr>
      <w:tr w:rsidR="00E402B8" w:rsidRPr="00E402B8" w:rsidTr="00E402B8">
        <w:trPr>
          <w:trHeight w:val="970"/>
        </w:trPr>
        <w:tc>
          <w:tcPr>
            <w:tcW w:w="2165" w:type="dxa"/>
            <w:vMerge/>
            <w:tcBorders>
              <w:top w:val="nil"/>
              <w:left w:val="nil"/>
              <w:bottom w:val="nil"/>
              <w:right w:val="nil"/>
            </w:tcBorders>
            <w:vAlign w:val="center"/>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3b</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In a dynamic CT study, contrast enhancement revealed a tumor suspected to be RCC, but atypical finding as a tumor thrombus that filled the pelvicalyceal system was also observed.</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10-12</w:t>
            </w:r>
          </w:p>
        </w:tc>
      </w:tr>
      <w:tr w:rsidR="00E402B8" w:rsidRPr="00E402B8" w:rsidTr="00E402B8">
        <w:trPr>
          <w:trHeight w:val="840"/>
        </w:trPr>
        <w:tc>
          <w:tcPr>
            <w:tcW w:w="2165" w:type="dxa"/>
            <w:vMerge/>
            <w:tcBorders>
              <w:top w:val="nil"/>
              <w:left w:val="nil"/>
              <w:bottom w:val="nil"/>
              <w:right w:val="nil"/>
            </w:tcBorders>
            <w:vAlign w:val="center"/>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3c</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Nephroureterectomy was performed, and the tumor was diagnosed histopathologically as clear cell RCC and papillary RCC.</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12-13</w:t>
            </w:r>
          </w:p>
        </w:tc>
      </w:tr>
      <w:tr w:rsidR="00E402B8" w:rsidRPr="00E402B8" w:rsidTr="00E402B8">
        <w:trPr>
          <w:trHeight w:val="930"/>
        </w:trPr>
        <w:tc>
          <w:tcPr>
            <w:tcW w:w="2165" w:type="dxa"/>
            <w:vMerge/>
            <w:tcBorders>
              <w:top w:val="nil"/>
              <w:left w:val="nil"/>
              <w:bottom w:val="nil"/>
              <w:right w:val="nil"/>
            </w:tcBorders>
            <w:vAlign w:val="center"/>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3d</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This highlights the signiﬁcance of adding invasion of the pelvicalyceal system as part of the most recent, updated tumor metastases classiﬁcation.</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18-19</w:t>
            </w:r>
          </w:p>
        </w:tc>
      </w:tr>
      <w:tr w:rsidR="00E402B8" w:rsidRPr="00E402B8" w:rsidTr="00E402B8">
        <w:trPr>
          <w:trHeight w:val="3080"/>
        </w:trPr>
        <w:tc>
          <w:tcPr>
            <w:tcW w:w="216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lastRenderedPageBreak/>
              <w:t>4.Introduction</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4</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 xml:space="preserve">Identification of the prognostic factors for RCC is critical for analyzing patient survival as well as for evaluating treatment options. Several studies have revealed that the TNM stage is the most important prognostic factor.Several revisions of the TNM system have been made by UICC and AJCC.RCC with a pelvicalyceal system tumor thrombus is rare.Urinary Collecting System Invasion (UCSI) of RCC including tumor thrombus in the renal pelvis and/or ureter has not been classified in the UICC TNM classification because of less frequency.The role of pelvicalyceal system tumor thrombus in prognosis is still undetermined. </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26-34</w:t>
            </w:r>
          </w:p>
        </w:tc>
      </w:tr>
      <w:tr w:rsidR="00E402B8" w:rsidRPr="00E402B8" w:rsidTr="00E402B8">
        <w:trPr>
          <w:trHeight w:val="280"/>
        </w:trPr>
        <w:tc>
          <w:tcPr>
            <w:tcW w:w="2165" w:type="dxa"/>
            <w:vMerge w:val="restart"/>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5.Patient Information</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5a</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A 56-year-old man</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46</w:t>
            </w:r>
          </w:p>
        </w:tc>
      </w:tr>
      <w:tr w:rsidR="00E402B8" w:rsidRPr="00E402B8" w:rsidTr="00E402B8">
        <w:trPr>
          <w:trHeight w:val="280"/>
        </w:trPr>
        <w:tc>
          <w:tcPr>
            <w:tcW w:w="2165" w:type="dxa"/>
            <w:vMerge/>
            <w:tcBorders>
              <w:top w:val="nil"/>
              <w:left w:val="nil"/>
              <w:bottom w:val="nil"/>
              <w:right w:val="nil"/>
            </w:tcBorders>
            <w:vAlign w:val="center"/>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5b</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asymptomatic gross hematuria</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46</w:t>
            </w:r>
          </w:p>
        </w:tc>
      </w:tr>
      <w:tr w:rsidR="00E402B8" w:rsidRPr="00E402B8" w:rsidTr="00E402B8">
        <w:trPr>
          <w:trHeight w:val="280"/>
        </w:trPr>
        <w:tc>
          <w:tcPr>
            <w:tcW w:w="2165" w:type="dxa"/>
            <w:vMerge/>
            <w:tcBorders>
              <w:top w:val="nil"/>
              <w:left w:val="nil"/>
              <w:bottom w:val="nil"/>
              <w:right w:val="nil"/>
            </w:tcBorders>
            <w:vAlign w:val="center"/>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5c</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without relevant comorbidities</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47</w:t>
            </w:r>
          </w:p>
        </w:tc>
      </w:tr>
      <w:tr w:rsidR="00E402B8" w:rsidRPr="00E402B8" w:rsidTr="00E402B8">
        <w:trPr>
          <w:trHeight w:val="620"/>
        </w:trPr>
        <w:tc>
          <w:tcPr>
            <w:tcW w:w="216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6.Clinical Findings</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6</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Physical examination revealed no abnormality in the chest, the abdomen or the extremities.</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48-49</w:t>
            </w:r>
          </w:p>
        </w:tc>
      </w:tr>
      <w:tr w:rsidR="00E402B8" w:rsidRPr="00E402B8" w:rsidTr="00E402B8">
        <w:trPr>
          <w:trHeight w:val="950"/>
        </w:trPr>
        <w:tc>
          <w:tcPr>
            <w:tcW w:w="216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7.Timeline</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7</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A dynamic CT study revealed a tumor (5.2 × 5.4 cm in diameter) in the lower pole of the left kidney which extended into the left pelvicalyceal system.</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54-56</w:t>
            </w:r>
          </w:p>
        </w:tc>
      </w:tr>
      <w:tr w:rsidR="00E402B8" w:rsidRPr="00E402B8" w:rsidTr="00E402B8">
        <w:trPr>
          <w:trHeight w:val="450"/>
        </w:trPr>
        <w:tc>
          <w:tcPr>
            <w:tcW w:w="2165" w:type="dxa"/>
            <w:vMerge w:val="restart"/>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8.Diagnostic Assessment</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8a</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A dynamic CT study,Cystoscopy</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54,58</w:t>
            </w:r>
          </w:p>
        </w:tc>
      </w:tr>
      <w:tr w:rsidR="00E402B8" w:rsidRPr="00E402B8" w:rsidTr="00E402B8">
        <w:trPr>
          <w:trHeight w:val="420"/>
        </w:trPr>
        <w:tc>
          <w:tcPr>
            <w:tcW w:w="2165" w:type="dxa"/>
            <w:vMerge/>
            <w:tcBorders>
              <w:top w:val="nil"/>
              <w:left w:val="nil"/>
              <w:bottom w:val="nil"/>
              <w:right w:val="nil"/>
            </w:tcBorders>
            <w:vAlign w:val="center"/>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8b</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urothelial carcinoma</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62</w:t>
            </w:r>
          </w:p>
        </w:tc>
      </w:tr>
      <w:tr w:rsidR="00E402B8" w:rsidRPr="00E402B8" w:rsidTr="00E402B8">
        <w:trPr>
          <w:trHeight w:val="720"/>
        </w:trPr>
        <w:tc>
          <w:tcPr>
            <w:tcW w:w="216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lastRenderedPageBreak/>
              <w:t>9.Therapeutic Intervention</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9</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transabdominal laparoscopic radical left nephroureterectomy and hilar lymph node dissection were performed</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59-60</w:t>
            </w:r>
          </w:p>
        </w:tc>
      </w:tr>
      <w:tr w:rsidR="00E402B8" w:rsidRPr="00E402B8" w:rsidTr="00E402B8">
        <w:trPr>
          <w:trHeight w:val="920"/>
        </w:trPr>
        <w:tc>
          <w:tcPr>
            <w:tcW w:w="216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10.Follow-up and Outcomes</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10</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we think that this patient should have access to targeted tyrosine kinase (TKI) or mammalian target of rapamycine (mTOR) inhibitor treatment after operation.</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108-110</w:t>
            </w:r>
          </w:p>
        </w:tc>
      </w:tr>
      <w:tr w:rsidR="00E402B8" w:rsidRPr="00E402B8" w:rsidTr="00E402B8">
        <w:trPr>
          <w:trHeight w:val="1490"/>
        </w:trPr>
        <w:tc>
          <w:tcPr>
            <w:tcW w:w="2165" w:type="dxa"/>
            <w:vMerge w:val="restart"/>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11.Discussion</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11a</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In 2007, Gulati et al. reported the only other case of RCC that directly invaded from the renal pelvis into the ureter and formed a tumor thrombus.          Uzzo et al reported that no case of local involvement of the ureter by tumor was identified in 61 cases with UCSI.</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 xml:space="preserve">line 87-88                     line 95-96  </w:t>
            </w:r>
          </w:p>
        </w:tc>
      </w:tr>
      <w:tr w:rsidR="00E402B8" w:rsidRPr="00E402B8" w:rsidTr="00E402B8">
        <w:trPr>
          <w:trHeight w:val="1120"/>
        </w:trPr>
        <w:tc>
          <w:tcPr>
            <w:tcW w:w="2165" w:type="dxa"/>
            <w:vMerge/>
            <w:tcBorders>
              <w:top w:val="nil"/>
              <w:left w:val="nil"/>
              <w:bottom w:val="nil"/>
              <w:right w:val="nil"/>
            </w:tcBorders>
            <w:vAlign w:val="center"/>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11b</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In this cases, it is very important to make a correct preoperative diagnosis of the tumor type because the operative methods of TCC and RCC are different. Nephroureterectomy is suggested for treatment of TCC while nephrectomy for RCC.</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100-102</w:t>
            </w:r>
          </w:p>
        </w:tc>
      </w:tr>
      <w:tr w:rsidR="00E402B8" w:rsidRPr="00E402B8" w:rsidTr="00E402B8">
        <w:trPr>
          <w:trHeight w:val="840"/>
        </w:trPr>
        <w:tc>
          <w:tcPr>
            <w:tcW w:w="2165" w:type="dxa"/>
            <w:vMerge/>
            <w:tcBorders>
              <w:top w:val="nil"/>
              <w:left w:val="nil"/>
              <w:bottom w:val="nil"/>
              <w:right w:val="nil"/>
            </w:tcBorders>
            <w:vAlign w:val="center"/>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All of the patients with a pelvicalyceal system tumor thrombus were treated with targeted tyrosine kinase or mammalian target of rapamycine inhibitor.</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114-115</w:t>
            </w:r>
          </w:p>
        </w:tc>
      </w:tr>
      <w:tr w:rsidR="00E402B8" w:rsidRPr="00E402B8" w:rsidTr="00E402B8">
        <w:trPr>
          <w:trHeight w:val="840"/>
        </w:trPr>
        <w:tc>
          <w:tcPr>
            <w:tcW w:w="2165" w:type="dxa"/>
            <w:vMerge/>
            <w:tcBorders>
              <w:top w:val="nil"/>
              <w:left w:val="nil"/>
              <w:bottom w:val="nil"/>
              <w:right w:val="nil"/>
            </w:tcBorders>
            <w:vAlign w:val="center"/>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11c</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It should be studied that a revised stage including patients with collecting-system invasion with tumor thrombus might improve its prognostic validity.</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115-117</w:t>
            </w:r>
          </w:p>
        </w:tc>
      </w:tr>
      <w:tr w:rsidR="00E402B8" w:rsidRPr="00E402B8" w:rsidTr="00E402B8">
        <w:trPr>
          <w:trHeight w:val="280"/>
        </w:trPr>
        <w:tc>
          <w:tcPr>
            <w:tcW w:w="2165" w:type="dxa"/>
            <w:vMerge/>
            <w:tcBorders>
              <w:top w:val="nil"/>
              <w:left w:val="nil"/>
              <w:bottom w:val="nil"/>
              <w:right w:val="nil"/>
            </w:tcBorders>
            <w:vAlign w:val="center"/>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left"/>
              <w:rPr>
                <w:rFonts w:ascii="宋体" w:eastAsia="宋体" w:hAnsi="宋体" w:cs="宋体"/>
                <w:color w:val="000000"/>
                <w:kern w:val="0"/>
                <w:sz w:val="22"/>
              </w:rPr>
            </w:pP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宋体" w:eastAsia="宋体" w:hAnsi="宋体" w:cs="宋体"/>
                <w:color w:val="000000"/>
                <w:kern w:val="0"/>
                <w:sz w:val="22"/>
              </w:rPr>
            </w:pPr>
          </w:p>
        </w:tc>
      </w:tr>
      <w:tr w:rsidR="00E402B8" w:rsidRPr="00E402B8" w:rsidTr="00E402B8">
        <w:trPr>
          <w:trHeight w:val="560"/>
        </w:trPr>
        <w:tc>
          <w:tcPr>
            <w:tcW w:w="216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12.Patient Perspective</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12</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no</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p>
        </w:tc>
      </w:tr>
      <w:tr w:rsidR="00E402B8" w:rsidRPr="00E402B8" w:rsidTr="00E402B8">
        <w:trPr>
          <w:trHeight w:val="560"/>
        </w:trPr>
        <w:tc>
          <w:tcPr>
            <w:tcW w:w="216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13.Informed Consent</w:t>
            </w:r>
          </w:p>
        </w:tc>
        <w:tc>
          <w:tcPr>
            <w:tcW w:w="644" w:type="dxa"/>
            <w:tcBorders>
              <w:top w:val="nil"/>
              <w:left w:val="nil"/>
              <w:bottom w:val="nil"/>
              <w:right w:val="nil"/>
            </w:tcBorders>
            <w:shd w:val="clear" w:color="auto" w:fill="auto"/>
            <w:noWrap/>
            <w:hideMark/>
          </w:tcPr>
          <w:p w:rsidR="00E402B8" w:rsidRPr="00E402B8" w:rsidRDefault="00E402B8" w:rsidP="00DB424D">
            <w:pPr>
              <w:widowControl/>
              <w:spacing w:line="480" w:lineRule="auto"/>
              <w:jc w:val="center"/>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13</w:t>
            </w:r>
          </w:p>
        </w:tc>
        <w:tc>
          <w:tcPr>
            <w:tcW w:w="5375"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yes</w:t>
            </w:r>
          </w:p>
        </w:tc>
        <w:tc>
          <w:tcPr>
            <w:tcW w:w="1916" w:type="dxa"/>
            <w:tcBorders>
              <w:top w:val="nil"/>
              <w:left w:val="nil"/>
              <w:bottom w:val="nil"/>
              <w:right w:val="nil"/>
            </w:tcBorders>
            <w:shd w:val="clear" w:color="auto" w:fill="auto"/>
            <w:hideMark/>
          </w:tcPr>
          <w:p w:rsidR="00E402B8" w:rsidRPr="00E402B8" w:rsidRDefault="00E402B8" w:rsidP="00DB424D">
            <w:pPr>
              <w:widowControl/>
              <w:spacing w:line="480" w:lineRule="auto"/>
              <w:jc w:val="left"/>
              <w:rPr>
                <w:rFonts w:ascii="Times New Roman" w:eastAsia="宋体" w:hAnsi="Times New Roman" w:cs="Times New Roman"/>
                <w:color w:val="000000"/>
                <w:kern w:val="0"/>
                <w:sz w:val="22"/>
              </w:rPr>
            </w:pPr>
            <w:r w:rsidRPr="00E402B8">
              <w:rPr>
                <w:rFonts w:ascii="Times New Roman" w:eastAsia="宋体" w:hAnsi="Times New Roman" w:cs="Times New Roman"/>
                <w:color w:val="000000"/>
                <w:kern w:val="0"/>
                <w:sz w:val="22"/>
              </w:rPr>
              <w:t>line 147</w:t>
            </w:r>
          </w:p>
        </w:tc>
      </w:tr>
    </w:tbl>
    <w:p w:rsidR="008F3CCB" w:rsidRPr="00E402B8" w:rsidRDefault="008F3CCB" w:rsidP="00DB424D">
      <w:pPr>
        <w:spacing w:line="480" w:lineRule="auto"/>
      </w:pPr>
    </w:p>
    <w:sectPr w:rsidR="008F3CCB" w:rsidRPr="00E402B8" w:rsidSect="00E402B8">
      <w:pgSz w:w="11906" w:h="16838" w:code="9"/>
      <w:pgMar w:top="1440" w:right="567" w:bottom="1440"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48A" w:rsidRDefault="006F248A" w:rsidP="00281805">
      <w:r>
        <w:separator/>
      </w:r>
    </w:p>
  </w:endnote>
  <w:endnote w:type="continuationSeparator" w:id="1">
    <w:p w:rsidR="006F248A" w:rsidRDefault="006F248A" w:rsidP="002818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48A" w:rsidRDefault="006F248A" w:rsidP="00281805">
      <w:r>
        <w:separator/>
      </w:r>
    </w:p>
  </w:footnote>
  <w:footnote w:type="continuationSeparator" w:id="1">
    <w:p w:rsidR="006F248A" w:rsidRDefault="006F248A" w:rsidP="002818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81805"/>
    <w:rsid w:val="00052A35"/>
    <w:rsid w:val="000628EC"/>
    <w:rsid w:val="000B1980"/>
    <w:rsid w:val="000F69A6"/>
    <w:rsid w:val="001703BC"/>
    <w:rsid w:val="00281805"/>
    <w:rsid w:val="00377FD3"/>
    <w:rsid w:val="0045042E"/>
    <w:rsid w:val="004A354A"/>
    <w:rsid w:val="005F5D9A"/>
    <w:rsid w:val="00630E4B"/>
    <w:rsid w:val="006E4BA2"/>
    <w:rsid w:val="006F248A"/>
    <w:rsid w:val="00754B49"/>
    <w:rsid w:val="007B1353"/>
    <w:rsid w:val="007D709A"/>
    <w:rsid w:val="0083468D"/>
    <w:rsid w:val="008F3CCB"/>
    <w:rsid w:val="009136F0"/>
    <w:rsid w:val="00B635BF"/>
    <w:rsid w:val="00C44897"/>
    <w:rsid w:val="00C679B7"/>
    <w:rsid w:val="00C8635E"/>
    <w:rsid w:val="00D70D8B"/>
    <w:rsid w:val="00DA0316"/>
    <w:rsid w:val="00DB424D"/>
    <w:rsid w:val="00E247BB"/>
    <w:rsid w:val="00E402B8"/>
    <w:rsid w:val="00ED78DD"/>
    <w:rsid w:val="00F10491"/>
    <w:rsid w:val="00F175F3"/>
    <w:rsid w:val="00F73BCE"/>
    <w:rsid w:val="00FA79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980"/>
    <w:pPr>
      <w:widowControl w:val="0"/>
      <w:jc w:val="both"/>
    </w:pPr>
  </w:style>
  <w:style w:type="paragraph" w:styleId="1">
    <w:name w:val="heading 1"/>
    <w:basedOn w:val="a"/>
    <w:link w:val="1Char"/>
    <w:uiPriority w:val="9"/>
    <w:qFormat/>
    <w:rsid w:val="0028180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818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81805"/>
    <w:rPr>
      <w:sz w:val="18"/>
      <w:szCs w:val="18"/>
    </w:rPr>
  </w:style>
  <w:style w:type="paragraph" w:styleId="a4">
    <w:name w:val="footer"/>
    <w:basedOn w:val="a"/>
    <w:link w:val="Char0"/>
    <w:uiPriority w:val="99"/>
    <w:semiHidden/>
    <w:unhideWhenUsed/>
    <w:rsid w:val="0028180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81805"/>
    <w:rPr>
      <w:sz w:val="18"/>
      <w:szCs w:val="18"/>
    </w:rPr>
  </w:style>
  <w:style w:type="character" w:customStyle="1" w:styleId="1Char">
    <w:name w:val="标题 1 Char"/>
    <w:basedOn w:val="a0"/>
    <w:link w:val="1"/>
    <w:uiPriority w:val="9"/>
    <w:rsid w:val="00281805"/>
    <w:rPr>
      <w:rFonts w:ascii="宋体" w:eastAsia="宋体" w:hAnsi="宋体" w:cs="宋体"/>
      <w:b/>
      <w:bCs/>
      <w:kern w:val="36"/>
      <w:sz w:val="48"/>
      <w:szCs w:val="48"/>
    </w:rPr>
  </w:style>
  <w:style w:type="character" w:styleId="a5">
    <w:name w:val="Hyperlink"/>
    <w:basedOn w:val="a0"/>
    <w:uiPriority w:val="99"/>
    <w:semiHidden/>
    <w:unhideWhenUsed/>
    <w:rsid w:val="00281805"/>
    <w:rPr>
      <w:color w:val="0000FF"/>
      <w:u w:val="single"/>
    </w:rPr>
  </w:style>
  <w:style w:type="character" w:customStyle="1" w:styleId="apple-converted-space">
    <w:name w:val="apple-converted-space"/>
    <w:basedOn w:val="a0"/>
    <w:rsid w:val="00281805"/>
  </w:style>
</w:styles>
</file>

<file path=word/webSettings.xml><?xml version="1.0" encoding="utf-8"?>
<w:webSettings xmlns:r="http://schemas.openxmlformats.org/officeDocument/2006/relationships" xmlns:w="http://schemas.openxmlformats.org/wordprocessingml/2006/main">
  <w:divs>
    <w:div w:id="272638484">
      <w:bodyDiv w:val="1"/>
      <w:marLeft w:val="0"/>
      <w:marRight w:val="0"/>
      <w:marTop w:val="0"/>
      <w:marBottom w:val="0"/>
      <w:divBdr>
        <w:top w:val="none" w:sz="0" w:space="0" w:color="auto"/>
        <w:left w:val="none" w:sz="0" w:space="0" w:color="auto"/>
        <w:bottom w:val="none" w:sz="0" w:space="0" w:color="auto"/>
        <w:right w:val="none" w:sz="0" w:space="0" w:color="auto"/>
      </w:divBdr>
      <w:divsChild>
        <w:div w:id="1777795479">
          <w:marLeft w:val="0"/>
          <w:marRight w:val="0"/>
          <w:marTop w:val="0"/>
          <w:marBottom w:val="0"/>
          <w:divBdr>
            <w:top w:val="none" w:sz="0" w:space="0" w:color="auto"/>
            <w:left w:val="none" w:sz="0" w:space="0" w:color="auto"/>
            <w:bottom w:val="none" w:sz="0" w:space="0" w:color="auto"/>
            <w:right w:val="none" w:sz="0" w:space="0" w:color="auto"/>
          </w:divBdr>
        </w:div>
      </w:divsChild>
    </w:div>
    <w:div w:id="803740636">
      <w:bodyDiv w:val="1"/>
      <w:marLeft w:val="0"/>
      <w:marRight w:val="0"/>
      <w:marTop w:val="0"/>
      <w:marBottom w:val="0"/>
      <w:divBdr>
        <w:top w:val="none" w:sz="0" w:space="0" w:color="auto"/>
        <w:left w:val="none" w:sz="0" w:space="0" w:color="auto"/>
        <w:bottom w:val="none" w:sz="0" w:space="0" w:color="auto"/>
        <w:right w:val="none" w:sz="0" w:space="0" w:color="auto"/>
      </w:divBdr>
    </w:div>
    <w:div w:id="168246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apple</cp:lastModifiedBy>
  <cp:revision>24</cp:revision>
  <dcterms:created xsi:type="dcterms:W3CDTF">2020-07-04T01:50:00Z</dcterms:created>
  <dcterms:modified xsi:type="dcterms:W3CDTF">2020-07-09T14:13:00Z</dcterms:modified>
</cp:coreProperties>
</file>