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51171">
      <w:pPr>
        <w:spacing w:line="360" w:lineRule="auto"/>
        <w:jc w:val="left"/>
        <w:rPr>
          <w:rFonts w:ascii="Times New Roman" w:hAnsi="Times New Roman" w:cs="Times New Roman"/>
          <w:b/>
          <w:bCs/>
          <w:sz w:val="24"/>
          <w:szCs w:val="24"/>
        </w:rPr>
      </w:pPr>
      <w:r>
        <w:rPr>
          <w:rFonts w:ascii="Times New Roman" w:hAnsi="Times New Roman" w:cs="Times New Roman"/>
          <w:b/>
          <w:bCs/>
          <w:sz w:val="24"/>
          <w:szCs w:val="24"/>
        </w:rPr>
        <w:t>Supplementary Methods</w:t>
      </w:r>
    </w:p>
    <w:p w14:paraId="7AAB06AC">
      <w:pPr>
        <w:spacing w:line="480" w:lineRule="auto"/>
        <w:rPr>
          <w:rFonts w:ascii="Times New Roman" w:hAnsi="Times New Roman" w:cs="Times New Roman"/>
          <w:b/>
          <w:bCs/>
          <w:szCs w:val="21"/>
        </w:rPr>
      </w:pPr>
      <w:r>
        <w:rPr>
          <w:rFonts w:ascii="Times New Roman" w:hAnsi="Times New Roman" w:cs="Times New Roman"/>
          <w:b/>
          <w:bCs/>
          <w:szCs w:val="21"/>
        </w:rPr>
        <w:t>Supplementary note 1: Customized extraction settings and types of radiomics features</w:t>
      </w:r>
    </w:p>
    <w:p w14:paraId="0E2BE089">
      <w:pPr>
        <w:spacing w:line="480" w:lineRule="auto"/>
        <w:rPr>
          <w:rFonts w:ascii="Times New Roman" w:hAnsi="Times New Roman" w:cs="Times New Roman"/>
          <w:szCs w:val="21"/>
        </w:rPr>
      </w:pPr>
      <w:r>
        <w:rPr>
          <w:rFonts w:ascii="Times New Roman" w:hAnsi="Times New Roman" w:cs="Times New Roman"/>
          <w:szCs w:val="21"/>
        </w:rPr>
        <w:t>The customized extraction settings were as below:</w:t>
      </w:r>
    </w:p>
    <w:p w14:paraId="4451988C">
      <w:pPr>
        <w:spacing w:line="480" w:lineRule="auto"/>
        <w:ind w:firstLine="420"/>
        <w:rPr>
          <w:rFonts w:ascii="Times New Roman" w:hAnsi="Times New Roman" w:cs="Times New Roman"/>
          <w:szCs w:val="21"/>
        </w:rPr>
      </w:pPr>
      <w:r>
        <w:rPr>
          <w:rFonts w:ascii="Times New Roman" w:hAnsi="Times New Roman" w:cs="Times New Roman"/>
          <w:b/>
          <w:bCs/>
          <w:szCs w:val="21"/>
        </w:rPr>
        <w:t xml:space="preserve">i) </w:t>
      </w:r>
      <w:r>
        <w:rPr>
          <w:rFonts w:ascii="Times New Roman" w:hAnsi="Times New Roman" w:cs="Times New Roman"/>
          <w:szCs w:val="21"/>
        </w:rPr>
        <w:t>Image type: ‘Original’, ‘LoG’, ‘Wavelet’</w:t>
      </w:r>
    </w:p>
    <w:p w14:paraId="09561638">
      <w:pPr>
        <w:spacing w:line="480" w:lineRule="auto"/>
        <w:ind w:firstLine="420"/>
        <w:rPr>
          <w:rFonts w:ascii="Times New Roman" w:hAnsi="Times New Roman" w:cs="Times New Roman"/>
          <w:szCs w:val="21"/>
        </w:rPr>
      </w:pPr>
      <w:r>
        <w:rPr>
          <w:rFonts w:ascii="Times New Roman" w:hAnsi="Times New Roman" w:cs="Times New Roman"/>
          <w:szCs w:val="21"/>
        </w:rPr>
        <w:t>For the two kinds of filters, laplacian of gaussian (LoG) filter emphasizes areas of gray level change and defines fine or coarse textures by the size of sigma, where the values of 1 mm, 3 mm, and 5 mm were explored, respectively. Wavelet filter was applied to focus features on the different decomposition and approximation level of the original contoured volumes, and the bin width of which was set as 10.</w:t>
      </w:r>
    </w:p>
    <w:p w14:paraId="469F1046">
      <w:pPr>
        <w:spacing w:line="480" w:lineRule="auto"/>
        <w:ind w:firstLine="420"/>
        <w:rPr>
          <w:rFonts w:ascii="Times New Roman" w:hAnsi="Times New Roman" w:cs="Times New Roman"/>
          <w:szCs w:val="21"/>
        </w:rPr>
      </w:pPr>
      <w:r>
        <w:rPr>
          <w:rFonts w:ascii="Times New Roman" w:hAnsi="Times New Roman" w:cs="Times New Roman"/>
          <w:b/>
          <w:bCs/>
          <w:szCs w:val="21"/>
        </w:rPr>
        <w:t xml:space="preserve">ii) </w:t>
      </w:r>
      <w:r>
        <w:rPr>
          <w:rFonts w:ascii="Times New Roman" w:hAnsi="Times New Roman" w:cs="Times New Roman"/>
          <w:szCs w:val="21"/>
        </w:rPr>
        <w:t xml:space="preserve">Parameter setting: </w:t>
      </w:r>
    </w:p>
    <w:p w14:paraId="5F403488">
      <w:pPr>
        <w:spacing w:line="480" w:lineRule="auto"/>
        <w:ind w:firstLine="420"/>
        <w:rPr>
          <w:rFonts w:ascii="Times New Roman" w:hAnsi="Times New Roman" w:cs="Times New Roman"/>
          <w:szCs w:val="21"/>
        </w:rPr>
      </w:pPr>
      <w:r>
        <w:rPr>
          <w:rFonts w:ascii="Times New Roman" w:hAnsi="Times New Roman" w:cs="Times New Roman"/>
          <w:szCs w:val="21"/>
        </w:rPr>
        <w:t>‘normalize’: True</w:t>
      </w:r>
    </w:p>
    <w:p w14:paraId="3D2C1CD9">
      <w:pPr>
        <w:spacing w:line="480" w:lineRule="auto"/>
        <w:ind w:firstLine="420"/>
        <w:rPr>
          <w:rFonts w:ascii="Times New Roman" w:hAnsi="Times New Roman" w:cs="Times New Roman"/>
          <w:szCs w:val="21"/>
        </w:rPr>
      </w:pPr>
      <w:r>
        <w:rPr>
          <w:rFonts w:ascii="Times New Roman" w:hAnsi="Times New Roman" w:cs="Times New Roman"/>
          <w:szCs w:val="21"/>
        </w:rPr>
        <w:t>‘geometryTolerance’: 1e-4</w:t>
      </w:r>
    </w:p>
    <w:p w14:paraId="605B89B2">
      <w:pPr>
        <w:spacing w:line="480" w:lineRule="auto"/>
        <w:ind w:firstLine="420"/>
        <w:rPr>
          <w:rFonts w:ascii="Times New Roman" w:hAnsi="Times New Roman" w:cs="Times New Roman"/>
          <w:szCs w:val="21"/>
        </w:rPr>
      </w:pPr>
      <w:r>
        <w:rPr>
          <w:rFonts w:ascii="Times New Roman" w:hAnsi="Times New Roman" w:cs="Times New Roman"/>
          <w:szCs w:val="21"/>
        </w:rPr>
        <w:t>‘binWidth’: 25</w:t>
      </w:r>
    </w:p>
    <w:p w14:paraId="32BE5BD7">
      <w:pPr>
        <w:spacing w:line="480" w:lineRule="auto"/>
        <w:ind w:firstLine="420"/>
        <w:rPr>
          <w:rFonts w:ascii="Times New Roman" w:hAnsi="Times New Roman" w:cs="Times New Roman"/>
          <w:szCs w:val="21"/>
        </w:rPr>
      </w:pPr>
      <w:r>
        <w:rPr>
          <w:rFonts w:ascii="Times New Roman" w:hAnsi="Times New Roman" w:cs="Times New Roman"/>
          <w:szCs w:val="21"/>
        </w:rPr>
        <w:t>‘label’: 1</w:t>
      </w:r>
    </w:p>
    <w:p w14:paraId="4BD60957">
      <w:pPr>
        <w:spacing w:line="480" w:lineRule="auto"/>
        <w:ind w:firstLine="420"/>
        <w:rPr>
          <w:rFonts w:ascii="Times New Roman" w:hAnsi="Times New Roman" w:cs="Times New Roman"/>
          <w:szCs w:val="21"/>
        </w:rPr>
      </w:pPr>
      <w:r>
        <w:rPr>
          <w:rFonts w:ascii="Times New Roman" w:hAnsi="Times New Roman" w:cs="Times New Roman"/>
          <w:szCs w:val="21"/>
        </w:rPr>
        <w:t>‘interpolator’: sitkBSpline</w:t>
      </w:r>
    </w:p>
    <w:p w14:paraId="6D313E52">
      <w:pPr>
        <w:spacing w:line="480" w:lineRule="auto"/>
        <w:ind w:firstLine="420"/>
        <w:rPr>
          <w:rFonts w:ascii="Times New Roman" w:hAnsi="Times New Roman" w:cs="Times New Roman"/>
          <w:szCs w:val="21"/>
        </w:rPr>
      </w:pPr>
      <w:r>
        <w:rPr>
          <w:rFonts w:ascii="Times New Roman" w:hAnsi="Times New Roman" w:cs="Times New Roman"/>
          <w:szCs w:val="21"/>
        </w:rPr>
        <w:t>‘resampledPixelSpacing’: 1×1×1 mm</w:t>
      </w:r>
      <w:r>
        <w:rPr>
          <w:rFonts w:ascii="Times New Roman" w:hAnsi="Times New Roman" w:cs="Times New Roman"/>
          <w:szCs w:val="21"/>
          <w:vertAlign w:val="superscript"/>
        </w:rPr>
        <w:t>3</w:t>
      </w:r>
    </w:p>
    <w:p w14:paraId="1530C953">
      <w:pPr>
        <w:spacing w:line="480" w:lineRule="auto"/>
        <w:ind w:firstLine="420"/>
        <w:rPr>
          <w:rFonts w:ascii="Times New Roman" w:hAnsi="Times New Roman" w:cs="Times New Roman"/>
          <w:szCs w:val="21"/>
        </w:rPr>
      </w:pPr>
      <w:r>
        <w:rPr>
          <w:rFonts w:ascii="Times New Roman" w:hAnsi="Times New Roman" w:cs="Times New Roman"/>
          <w:b/>
          <w:bCs/>
          <w:szCs w:val="21"/>
        </w:rPr>
        <w:t xml:space="preserve">iii) </w:t>
      </w:r>
      <w:r>
        <w:rPr>
          <w:rFonts w:ascii="Times New Roman" w:hAnsi="Times New Roman" w:cs="Times New Roman"/>
          <w:szCs w:val="21"/>
        </w:rPr>
        <w:t>Feature Class: ‘shape’, ‘firstorder’, ‘glcm’, ‘glrlm’, ‘glszm’, ‘ngtdm’</w:t>
      </w:r>
    </w:p>
    <w:p w14:paraId="0BA8409C">
      <w:pPr>
        <w:spacing w:line="480" w:lineRule="auto"/>
        <w:ind w:firstLine="420"/>
        <w:rPr>
          <w:rFonts w:ascii="Times New Roman" w:hAnsi="Times New Roman" w:cs="Times New Roman"/>
          <w:szCs w:val="21"/>
        </w:rPr>
      </w:pPr>
      <w:r>
        <w:rPr>
          <w:rFonts w:ascii="Times New Roman" w:hAnsi="Times New Roman" w:cs="Times New Roman"/>
          <w:szCs w:val="21"/>
        </w:rPr>
        <w:t xml:space="preserve">The feature type and name are listed in </w:t>
      </w:r>
      <w:r>
        <w:rPr>
          <w:rFonts w:ascii="Times New Roman" w:hAnsi="Times New Roman" w:cs="Times New Roman"/>
          <w:b/>
          <w:bCs/>
          <w:szCs w:val="21"/>
        </w:rPr>
        <w:t>Table S2</w:t>
      </w:r>
      <w:r>
        <w:rPr>
          <w:rFonts w:ascii="Times New Roman" w:hAnsi="Times New Roman" w:cs="Times New Roman"/>
          <w:szCs w:val="21"/>
        </w:rPr>
        <w:t xml:space="preserve">. See </w:t>
      </w:r>
      <w:r>
        <w:fldChar w:fldCharType="begin"/>
      </w:r>
      <w:r>
        <w:instrText xml:space="preserve"> HYPERLINK "https://pyradiomics.readthedocs.io" </w:instrText>
      </w:r>
      <w:r>
        <w:fldChar w:fldCharType="separate"/>
      </w:r>
      <w:r>
        <w:rPr>
          <w:rStyle w:val="7"/>
          <w:rFonts w:ascii="Times New Roman" w:hAnsi="Times New Roman" w:cs="Times New Roman"/>
          <w:szCs w:val="21"/>
        </w:rPr>
        <w:t>https://pyradiomics.readthedocs.io</w:t>
      </w:r>
      <w:r>
        <w:rPr>
          <w:rStyle w:val="7"/>
          <w:rFonts w:ascii="Times New Roman" w:hAnsi="Times New Roman" w:cs="Times New Roman"/>
          <w:szCs w:val="21"/>
        </w:rPr>
        <w:fldChar w:fldCharType="end"/>
      </w:r>
      <w:r>
        <w:rPr>
          <w:rFonts w:ascii="Times New Roman" w:hAnsi="Times New Roman" w:cs="Times New Roman"/>
          <w:szCs w:val="21"/>
        </w:rPr>
        <w:t xml:space="preserve"> for more detailed descriptions and mathematical formulas for these features.</w:t>
      </w:r>
    </w:p>
    <w:p w14:paraId="50C350C6">
      <w:pPr>
        <w:spacing w:line="480" w:lineRule="auto"/>
        <w:rPr>
          <w:rFonts w:ascii="Times New Roman" w:hAnsi="Times New Roman" w:cs="Times New Roman"/>
          <w:szCs w:val="21"/>
        </w:rPr>
      </w:pPr>
    </w:p>
    <w:p w14:paraId="6FFEAD4B">
      <w:pPr>
        <w:spacing w:line="360" w:lineRule="auto"/>
        <w:jc w:val="left"/>
        <w:rPr>
          <w:rFonts w:ascii="Times New Roman" w:hAnsi="Times New Roman" w:cs="Times New Roman"/>
          <w:b/>
          <w:bCs/>
          <w:szCs w:val="21"/>
        </w:rPr>
      </w:pPr>
    </w:p>
    <w:p w14:paraId="184B0FA2">
      <w:pPr>
        <w:spacing w:line="360" w:lineRule="auto"/>
        <w:jc w:val="left"/>
        <w:rPr>
          <w:rFonts w:ascii="Times New Roman" w:hAnsi="Times New Roman" w:cs="Times New Roman"/>
          <w:szCs w:val="21"/>
        </w:rPr>
      </w:pPr>
    </w:p>
    <w:p w14:paraId="12A37739">
      <w:pPr>
        <w:spacing w:line="360" w:lineRule="auto"/>
        <w:jc w:val="left"/>
        <w:rPr>
          <w:rFonts w:ascii="Times New Roman" w:hAnsi="Times New Roman" w:cs="Times New Roman"/>
          <w:szCs w:val="21"/>
        </w:rPr>
      </w:pPr>
    </w:p>
    <w:p w14:paraId="2421701E">
      <w:pPr>
        <w:spacing w:line="360" w:lineRule="auto"/>
        <w:jc w:val="left"/>
        <w:rPr>
          <w:rFonts w:ascii="Times New Roman" w:hAnsi="Times New Roman" w:cs="Times New Roman"/>
          <w:szCs w:val="21"/>
        </w:rPr>
      </w:pPr>
    </w:p>
    <w:p w14:paraId="31D70165">
      <w:pPr>
        <w:spacing w:line="360" w:lineRule="auto"/>
        <w:jc w:val="left"/>
        <w:rPr>
          <w:rFonts w:ascii="Times New Roman" w:hAnsi="Times New Roman" w:cs="Times New Roman"/>
          <w:szCs w:val="21"/>
        </w:rPr>
      </w:pPr>
    </w:p>
    <w:p w14:paraId="205D5902">
      <w:pPr>
        <w:spacing w:line="360" w:lineRule="auto"/>
        <w:jc w:val="left"/>
        <w:rPr>
          <w:rFonts w:ascii="Times New Roman" w:hAnsi="Times New Roman" w:cs="Times New Roman"/>
          <w:szCs w:val="21"/>
        </w:rPr>
      </w:pPr>
    </w:p>
    <w:p w14:paraId="382C68FC">
      <w:pPr>
        <w:spacing w:line="360" w:lineRule="auto"/>
        <w:jc w:val="left"/>
        <w:rPr>
          <w:rFonts w:ascii="Times New Roman" w:hAnsi="Times New Roman" w:cs="Times New Roman"/>
          <w:szCs w:val="21"/>
        </w:rPr>
      </w:pPr>
    </w:p>
    <w:p w14:paraId="1AC45B6C">
      <w:pPr>
        <w:spacing w:line="360" w:lineRule="auto"/>
        <w:jc w:val="left"/>
        <w:rPr>
          <w:rFonts w:ascii="Times New Roman" w:hAnsi="Times New Roman" w:cs="Times New Roman"/>
          <w:szCs w:val="21"/>
        </w:rPr>
      </w:pPr>
    </w:p>
    <w:p w14:paraId="79F409D5">
      <w:pPr>
        <w:spacing w:line="360" w:lineRule="auto"/>
        <w:jc w:val="left"/>
        <w:rPr>
          <w:rFonts w:ascii="Times New Roman" w:hAnsi="Times New Roman" w:cs="Times New Roman"/>
          <w:szCs w:val="21"/>
        </w:rPr>
      </w:pPr>
    </w:p>
    <w:p w14:paraId="222A3B26">
      <w:pPr>
        <w:spacing w:line="360" w:lineRule="auto"/>
        <w:jc w:val="left"/>
        <w:rPr>
          <w:rFonts w:ascii="Times New Roman" w:hAnsi="Times New Roman" w:cs="Times New Roman"/>
          <w:szCs w:val="21"/>
        </w:rPr>
      </w:pPr>
    </w:p>
    <w:p w14:paraId="492BE391">
      <w:pPr>
        <w:spacing w:line="360" w:lineRule="auto"/>
        <w:jc w:val="left"/>
        <w:rPr>
          <w:rFonts w:ascii="Times New Roman" w:hAnsi="Times New Roman" w:cs="Times New Roman"/>
          <w:szCs w:val="21"/>
        </w:rPr>
      </w:pPr>
    </w:p>
    <w:p w14:paraId="33C60572">
      <w:pPr>
        <w:spacing w:line="360" w:lineRule="auto"/>
        <w:jc w:val="left"/>
        <w:rPr>
          <w:rFonts w:ascii="Times New Roman" w:hAnsi="Times New Roman" w:cs="Times New Roman"/>
          <w:szCs w:val="21"/>
        </w:rPr>
      </w:pPr>
    </w:p>
    <w:p w14:paraId="4ECBC31A">
      <w:pPr>
        <w:spacing w:line="360" w:lineRule="auto"/>
        <w:jc w:val="left"/>
        <w:rPr>
          <w:rFonts w:ascii="Times New Roman" w:hAnsi="Times New Roman" w:cs="Times New Roman"/>
          <w:szCs w:val="21"/>
        </w:rPr>
      </w:pPr>
    </w:p>
    <w:p w14:paraId="7A088A5E">
      <w:pPr>
        <w:spacing w:line="360" w:lineRule="auto"/>
        <w:jc w:val="left"/>
        <w:rPr>
          <w:rFonts w:ascii="Times New Roman" w:hAnsi="Times New Roman" w:cs="Times New Roman"/>
          <w:szCs w:val="21"/>
        </w:rPr>
      </w:pPr>
    </w:p>
    <w:p w14:paraId="34B134C1">
      <w:pPr>
        <w:rPr>
          <w:rFonts w:ascii="Times New Roman" w:hAnsi="Times New Roman" w:cs="Times New Roman"/>
          <w:b/>
          <w:bCs/>
          <w:color w:val="FF0000"/>
          <w:szCs w:val="21"/>
        </w:rPr>
      </w:pPr>
    </w:p>
    <w:p w14:paraId="0D41ACA7">
      <w:pPr>
        <w:rPr>
          <w:rFonts w:ascii="Times New Roman" w:hAnsi="Times New Roman" w:cs="Times New Roman"/>
          <w:b/>
          <w:bCs/>
          <w:color w:val="FF0000"/>
          <w:szCs w:val="21"/>
        </w:rPr>
      </w:pPr>
    </w:p>
    <w:p w14:paraId="2B8942A9">
      <w:pPr>
        <w:rPr>
          <w:rFonts w:ascii="Times New Roman" w:hAnsi="Times New Roman" w:cs="Times New Roman"/>
          <w:b/>
          <w:bCs/>
          <w:color w:val="FF0000"/>
          <w:szCs w:val="21"/>
        </w:rPr>
      </w:pPr>
    </w:p>
    <w:p w14:paraId="4BCF0584">
      <w:pPr>
        <w:rPr>
          <w:rFonts w:ascii="Times New Roman" w:hAnsi="Times New Roman" w:cs="Times New Roman"/>
          <w:b/>
          <w:bCs/>
          <w:color w:val="FF0000"/>
          <w:szCs w:val="21"/>
        </w:rPr>
      </w:pPr>
    </w:p>
    <w:p w14:paraId="601374AA">
      <w:pPr>
        <w:rPr>
          <w:rFonts w:ascii="Times New Roman" w:hAnsi="Times New Roman" w:cs="Times New Roman"/>
          <w:b/>
          <w:bCs/>
          <w:color w:val="FF0000"/>
          <w:szCs w:val="21"/>
        </w:rPr>
      </w:pPr>
    </w:p>
    <w:p w14:paraId="656F842F">
      <w:pPr>
        <w:rPr>
          <w:rFonts w:ascii="Times New Roman" w:hAnsi="Times New Roman" w:cs="Times New Roman"/>
          <w:b/>
          <w:bCs/>
          <w:color w:val="FF0000"/>
          <w:szCs w:val="21"/>
        </w:rPr>
      </w:pPr>
    </w:p>
    <w:p w14:paraId="022EE488">
      <w:pPr>
        <w:rPr>
          <w:rFonts w:ascii="Times New Roman" w:hAnsi="Times New Roman" w:cs="Times New Roman"/>
          <w:b/>
          <w:bCs/>
          <w:color w:val="FF0000"/>
          <w:szCs w:val="21"/>
        </w:rPr>
      </w:pPr>
    </w:p>
    <w:p w14:paraId="5C01E6A2">
      <w:pP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Supplementary Table S1. MR Imaging Acquisition</w:t>
      </w:r>
    </w:p>
    <w:tbl>
      <w:tblPr>
        <w:tblStyle w:val="5"/>
        <w:tblpPr w:leftFromText="180" w:rightFromText="180" w:vertAnchor="text" w:horzAnchor="page" w:tblpX="1061" w:tblpY="305"/>
        <w:tblOverlap w:val="never"/>
        <w:tblW w:w="126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7"/>
        <w:gridCol w:w="1134"/>
        <w:gridCol w:w="992"/>
        <w:gridCol w:w="992"/>
        <w:gridCol w:w="1276"/>
        <w:gridCol w:w="1134"/>
        <w:gridCol w:w="1701"/>
        <w:gridCol w:w="1559"/>
        <w:gridCol w:w="1701"/>
      </w:tblGrid>
      <w:tr w14:paraId="376E1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127" w:type="dxa"/>
            <w:vMerge w:val="restart"/>
            <w:tcBorders>
              <w:top w:val="single" w:color="auto" w:sz="8" w:space="0"/>
              <w:left w:val="nil"/>
              <w:bottom w:val="nil"/>
              <w:right w:val="nil"/>
            </w:tcBorders>
          </w:tcPr>
          <w:p w14:paraId="4FF9BBA8">
            <w:pPr>
              <w:rPr>
                <w:rFonts w:ascii="Times New Roman" w:hAnsi="Times New Roman" w:cs="Times New Roman"/>
                <w:b/>
                <w:bCs/>
                <w:color w:val="000000" w:themeColor="text1"/>
                <w:szCs w:val="21"/>
                <w14:textFill>
                  <w14:solidFill>
                    <w14:schemeClr w14:val="tx1"/>
                  </w14:solidFill>
                </w14:textFill>
              </w:rPr>
            </w:pPr>
            <w:bookmarkStart w:id="0" w:name="_Hlk86781443"/>
            <w:r>
              <w:rPr>
                <w:rFonts w:ascii="Times New Roman" w:hAnsi="Times New Roman" w:cs="Times New Roman"/>
                <w:b/>
                <w:bCs/>
                <w:color w:val="000000" w:themeColor="text1"/>
                <w:szCs w:val="21"/>
                <w14:textFill>
                  <w14:solidFill>
                    <w14:schemeClr w14:val="tx1"/>
                  </w14:solidFill>
                </w14:textFill>
              </w:rPr>
              <w:t>MR scanners</w:t>
            </w:r>
          </w:p>
        </w:tc>
        <w:tc>
          <w:tcPr>
            <w:tcW w:w="1134" w:type="dxa"/>
            <w:vMerge w:val="restart"/>
            <w:tcBorders>
              <w:top w:val="single" w:color="auto" w:sz="8" w:space="0"/>
              <w:left w:val="nil"/>
              <w:bottom w:val="nil"/>
              <w:right w:val="nil"/>
            </w:tcBorders>
          </w:tcPr>
          <w:p w14:paraId="3AA0EE9A">
            <w:pP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Sequence</w:t>
            </w:r>
          </w:p>
        </w:tc>
        <w:tc>
          <w:tcPr>
            <w:tcW w:w="9355" w:type="dxa"/>
            <w:gridSpan w:val="7"/>
            <w:tcBorders>
              <w:top w:val="single" w:color="auto" w:sz="8" w:space="0"/>
              <w:left w:val="nil"/>
              <w:bottom w:val="single" w:color="auto" w:sz="8" w:space="0"/>
              <w:right w:val="nil"/>
            </w:tcBorders>
          </w:tcPr>
          <w:p w14:paraId="4AEE6A3A">
            <w:pPr>
              <w:jc w:val="cente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Parameters</w:t>
            </w:r>
          </w:p>
        </w:tc>
      </w:tr>
      <w:tr w14:paraId="4FEC4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2127" w:type="dxa"/>
            <w:vMerge w:val="continue"/>
            <w:tcBorders>
              <w:top w:val="nil"/>
              <w:left w:val="nil"/>
              <w:bottom w:val="nil"/>
              <w:right w:val="nil"/>
            </w:tcBorders>
          </w:tcPr>
          <w:p w14:paraId="164ADD4A">
            <w:pPr>
              <w:rPr>
                <w:rFonts w:ascii="Times New Roman" w:hAnsi="Times New Roman" w:cs="Times New Roman"/>
                <w:b/>
                <w:bCs/>
                <w:color w:val="000000" w:themeColor="text1"/>
                <w:szCs w:val="21"/>
                <w14:textFill>
                  <w14:solidFill>
                    <w14:schemeClr w14:val="tx1"/>
                  </w14:solidFill>
                </w14:textFill>
              </w:rPr>
            </w:pPr>
          </w:p>
        </w:tc>
        <w:tc>
          <w:tcPr>
            <w:tcW w:w="1134" w:type="dxa"/>
            <w:vMerge w:val="continue"/>
            <w:tcBorders>
              <w:top w:val="nil"/>
              <w:left w:val="nil"/>
              <w:bottom w:val="nil"/>
              <w:right w:val="nil"/>
            </w:tcBorders>
          </w:tcPr>
          <w:p w14:paraId="511827F7">
            <w:pPr>
              <w:rPr>
                <w:rFonts w:ascii="Times New Roman" w:hAnsi="Times New Roman" w:cs="Times New Roman"/>
                <w:b/>
                <w:bCs/>
                <w:color w:val="000000" w:themeColor="text1"/>
                <w:szCs w:val="21"/>
                <w14:textFill>
                  <w14:solidFill>
                    <w14:schemeClr w14:val="tx1"/>
                  </w14:solidFill>
                </w14:textFill>
              </w:rPr>
            </w:pPr>
          </w:p>
        </w:tc>
        <w:tc>
          <w:tcPr>
            <w:tcW w:w="992" w:type="dxa"/>
            <w:tcBorders>
              <w:top w:val="single" w:color="auto" w:sz="8" w:space="0"/>
              <w:left w:val="nil"/>
              <w:bottom w:val="nil"/>
              <w:right w:val="nil"/>
            </w:tcBorders>
          </w:tcPr>
          <w:p w14:paraId="26C1FE88">
            <w:pPr>
              <w:jc w:val="cente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TR (ms)</w:t>
            </w:r>
          </w:p>
        </w:tc>
        <w:tc>
          <w:tcPr>
            <w:tcW w:w="992" w:type="dxa"/>
            <w:tcBorders>
              <w:top w:val="single" w:color="auto" w:sz="8" w:space="0"/>
              <w:left w:val="nil"/>
              <w:bottom w:val="nil"/>
              <w:right w:val="nil"/>
            </w:tcBorders>
          </w:tcPr>
          <w:p w14:paraId="7B4E6C0A">
            <w:pPr>
              <w:jc w:val="cente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TE (ms)</w:t>
            </w:r>
          </w:p>
        </w:tc>
        <w:tc>
          <w:tcPr>
            <w:tcW w:w="1276" w:type="dxa"/>
            <w:tcBorders>
              <w:top w:val="single" w:color="auto" w:sz="8" w:space="0"/>
              <w:left w:val="nil"/>
              <w:bottom w:val="nil"/>
              <w:right w:val="nil"/>
            </w:tcBorders>
          </w:tcPr>
          <w:p w14:paraId="0A93A429">
            <w:pPr>
              <w:jc w:val="cente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FOV (mm)</w:t>
            </w:r>
          </w:p>
        </w:tc>
        <w:tc>
          <w:tcPr>
            <w:tcW w:w="1134" w:type="dxa"/>
            <w:tcBorders>
              <w:top w:val="single" w:color="auto" w:sz="8" w:space="0"/>
              <w:left w:val="nil"/>
              <w:bottom w:val="nil"/>
              <w:right w:val="nil"/>
            </w:tcBorders>
          </w:tcPr>
          <w:p w14:paraId="5D0D7B5B">
            <w:pPr>
              <w:jc w:val="cente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Matrix</w:t>
            </w:r>
          </w:p>
        </w:tc>
        <w:tc>
          <w:tcPr>
            <w:tcW w:w="1701" w:type="dxa"/>
            <w:tcBorders>
              <w:top w:val="single" w:color="auto" w:sz="8" w:space="0"/>
              <w:left w:val="nil"/>
              <w:bottom w:val="nil"/>
              <w:right w:val="nil"/>
            </w:tcBorders>
          </w:tcPr>
          <w:p w14:paraId="69423051">
            <w:pPr>
              <w:jc w:val="cente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Reverse angle (°)</w:t>
            </w:r>
          </w:p>
        </w:tc>
        <w:tc>
          <w:tcPr>
            <w:tcW w:w="1559" w:type="dxa"/>
            <w:tcBorders>
              <w:top w:val="single" w:color="auto" w:sz="8" w:space="0"/>
              <w:left w:val="nil"/>
              <w:bottom w:val="nil"/>
              <w:right w:val="nil"/>
            </w:tcBorders>
          </w:tcPr>
          <w:p w14:paraId="2B448099">
            <w:pPr>
              <w:jc w:val="cente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Band width</w:t>
            </w:r>
          </w:p>
        </w:tc>
        <w:tc>
          <w:tcPr>
            <w:tcW w:w="1701" w:type="dxa"/>
            <w:tcBorders>
              <w:top w:val="single" w:color="auto" w:sz="8" w:space="0"/>
              <w:left w:val="nil"/>
              <w:bottom w:val="nil"/>
              <w:right w:val="nil"/>
            </w:tcBorders>
          </w:tcPr>
          <w:p w14:paraId="7E063A01">
            <w:pPr>
              <w:jc w:val="cente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Thickness (mm)</w:t>
            </w:r>
          </w:p>
        </w:tc>
      </w:tr>
      <w:tr w14:paraId="04695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127" w:type="dxa"/>
            <w:tcBorders>
              <w:top w:val="nil"/>
              <w:left w:val="nil"/>
              <w:bottom w:val="nil"/>
              <w:right w:val="nil"/>
            </w:tcBorders>
          </w:tcPr>
          <w:p w14:paraId="35D55251">
            <w:pP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Institution 1</w:t>
            </w:r>
          </w:p>
        </w:tc>
        <w:tc>
          <w:tcPr>
            <w:tcW w:w="1134" w:type="dxa"/>
            <w:tcBorders>
              <w:top w:val="nil"/>
              <w:left w:val="nil"/>
              <w:bottom w:val="nil"/>
              <w:right w:val="nil"/>
            </w:tcBorders>
          </w:tcPr>
          <w:p w14:paraId="53C3CC49">
            <w:pPr>
              <w:jc w:val="center"/>
              <w:rPr>
                <w:rFonts w:ascii="Times New Roman" w:hAnsi="Times New Roman" w:cs="Times New Roman"/>
                <w:color w:val="000000" w:themeColor="text1"/>
                <w:szCs w:val="21"/>
                <w14:textFill>
                  <w14:solidFill>
                    <w14:schemeClr w14:val="tx1"/>
                  </w14:solidFill>
                </w14:textFill>
              </w:rPr>
            </w:pPr>
          </w:p>
        </w:tc>
        <w:tc>
          <w:tcPr>
            <w:tcW w:w="992" w:type="dxa"/>
            <w:tcBorders>
              <w:top w:val="nil"/>
              <w:left w:val="nil"/>
              <w:bottom w:val="nil"/>
              <w:right w:val="nil"/>
            </w:tcBorders>
          </w:tcPr>
          <w:p w14:paraId="1980E4B6">
            <w:pPr>
              <w:jc w:val="center"/>
              <w:rPr>
                <w:rFonts w:ascii="Times New Roman" w:hAnsi="Times New Roman" w:cs="Times New Roman"/>
                <w:color w:val="000000" w:themeColor="text1"/>
                <w:szCs w:val="21"/>
                <w14:textFill>
                  <w14:solidFill>
                    <w14:schemeClr w14:val="tx1"/>
                  </w14:solidFill>
                </w14:textFill>
              </w:rPr>
            </w:pPr>
          </w:p>
        </w:tc>
        <w:tc>
          <w:tcPr>
            <w:tcW w:w="992" w:type="dxa"/>
            <w:tcBorders>
              <w:top w:val="nil"/>
              <w:left w:val="nil"/>
              <w:bottom w:val="nil"/>
              <w:right w:val="nil"/>
            </w:tcBorders>
          </w:tcPr>
          <w:p w14:paraId="00D2EBF1">
            <w:pPr>
              <w:jc w:val="center"/>
              <w:rPr>
                <w:rFonts w:ascii="Times New Roman" w:hAnsi="Times New Roman" w:cs="Times New Roman"/>
                <w:color w:val="000000" w:themeColor="text1"/>
                <w:szCs w:val="21"/>
                <w14:textFill>
                  <w14:solidFill>
                    <w14:schemeClr w14:val="tx1"/>
                  </w14:solidFill>
                </w14:textFill>
              </w:rPr>
            </w:pPr>
          </w:p>
        </w:tc>
        <w:tc>
          <w:tcPr>
            <w:tcW w:w="1276" w:type="dxa"/>
            <w:tcBorders>
              <w:top w:val="nil"/>
              <w:left w:val="nil"/>
              <w:bottom w:val="nil"/>
              <w:right w:val="nil"/>
            </w:tcBorders>
          </w:tcPr>
          <w:p w14:paraId="36B23D84">
            <w:pPr>
              <w:jc w:val="center"/>
              <w:rPr>
                <w:rFonts w:ascii="Times New Roman" w:hAnsi="Times New Roman" w:cs="Times New Roman"/>
                <w:color w:val="000000" w:themeColor="text1"/>
                <w:szCs w:val="21"/>
                <w14:textFill>
                  <w14:solidFill>
                    <w14:schemeClr w14:val="tx1"/>
                  </w14:solidFill>
                </w14:textFill>
              </w:rPr>
            </w:pPr>
          </w:p>
        </w:tc>
        <w:tc>
          <w:tcPr>
            <w:tcW w:w="1134" w:type="dxa"/>
            <w:tcBorders>
              <w:top w:val="nil"/>
              <w:left w:val="nil"/>
              <w:bottom w:val="nil"/>
              <w:right w:val="nil"/>
            </w:tcBorders>
          </w:tcPr>
          <w:p w14:paraId="6EEEB6EF">
            <w:pPr>
              <w:jc w:val="center"/>
              <w:rPr>
                <w:rFonts w:ascii="Times New Roman" w:hAnsi="Times New Roman" w:cs="Times New Roman"/>
                <w:color w:val="000000" w:themeColor="text1"/>
                <w:szCs w:val="21"/>
                <w14:textFill>
                  <w14:solidFill>
                    <w14:schemeClr w14:val="tx1"/>
                  </w14:solidFill>
                </w14:textFill>
              </w:rPr>
            </w:pPr>
          </w:p>
        </w:tc>
        <w:tc>
          <w:tcPr>
            <w:tcW w:w="1701" w:type="dxa"/>
            <w:tcBorders>
              <w:top w:val="nil"/>
              <w:left w:val="nil"/>
              <w:bottom w:val="nil"/>
              <w:right w:val="nil"/>
            </w:tcBorders>
          </w:tcPr>
          <w:p w14:paraId="56ECED27">
            <w:pPr>
              <w:jc w:val="center"/>
              <w:rPr>
                <w:rFonts w:ascii="Times New Roman" w:hAnsi="Times New Roman" w:cs="Times New Roman"/>
                <w:color w:val="000000" w:themeColor="text1"/>
                <w:szCs w:val="21"/>
                <w14:textFill>
                  <w14:solidFill>
                    <w14:schemeClr w14:val="tx1"/>
                  </w14:solidFill>
                </w14:textFill>
              </w:rPr>
            </w:pPr>
          </w:p>
        </w:tc>
        <w:tc>
          <w:tcPr>
            <w:tcW w:w="1559" w:type="dxa"/>
            <w:tcBorders>
              <w:top w:val="nil"/>
              <w:left w:val="nil"/>
              <w:bottom w:val="nil"/>
              <w:right w:val="nil"/>
            </w:tcBorders>
          </w:tcPr>
          <w:p w14:paraId="5A52D499">
            <w:pPr>
              <w:jc w:val="center"/>
              <w:rPr>
                <w:rFonts w:ascii="Times New Roman" w:hAnsi="Times New Roman" w:cs="Times New Roman"/>
                <w:color w:val="000000" w:themeColor="text1"/>
                <w:szCs w:val="21"/>
                <w14:textFill>
                  <w14:solidFill>
                    <w14:schemeClr w14:val="tx1"/>
                  </w14:solidFill>
                </w14:textFill>
              </w:rPr>
            </w:pPr>
          </w:p>
        </w:tc>
        <w:tc>
          <w:tcPr>
            <w:tcW w:w="1701" w:type="dxa"/>
            <w:tcBorders>
              <w:top w:val="nil"/>
              <w:left w:val="nil"/>
              <w:bottom w:val="nil"/>
              <w:right w:val="nil"/>
            </w:tcBorders>
          </w:tcPr>
          <w:p w14:paraId="36B2CCD8">
            <w:pPr>
              <w:jc w:val="center"/>
              <w:rPr>
                <w:rFonts w:ascii="Times New Roman" w:hAnsi="Times New Roman" w:cs="Times New Roman"/>
                <w:color w:val="000000" w:themeColor="text1"/>
                <w:szCs w:val="21"/>
                <w14:textFill>
                  <w14:solidFill>
                    <w14:schemeClr w14:val="tx1"/>
                  </w14:solidFill>
                </w14:textFill>
              </w:rPr>
            </w:pPr>
          </w:p>
        </w:tc>
      </w:tr>
      <w:tr w14:paraId="25A48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127" w:type="dxa"/>
            <w:vMerge w:val="restart"/>
            <w:tcBorders>
              <w:top w:val="nil"/>
              <w:left w:val="nil"/>
              <w:right w:val="nil"/>
            </w:tcBorders>
          </w:tcPr>
          <w:p w14:paraId="5932DC98">
            <w:pP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GE Discovery 750</w:t>
            </w:r>
          </w:p>
        </w:tc>
        <w:tc>
          <w:tcPr>
            <w:tcW w:w="1134" w:type="dxa"/>
            <w:tcBorders>
              <w:top w:val="nil"/>
              <w:left w:val="nil"/>
              <w:bottom w:val="nil"/>
              <w:right w:val="nil"/>
            </w:tcBorders>
          </w:tcPr>
          <w:p w14:paraId="0F458891">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WI</w:t>
            </w:r>
          </w:p>
        </w:tc>
        <w:tc>
          <w:tcPr>
            <w:tcW w:w="992" w:type="dxa"/>
            <w:tcBorders>
              <w:top w:val="nil"/>
              <w:left w:val="nil"/>
              <w:bottom w:val="nil"/>
              <w:right w:val="nil"/>
            </w:tcBorders>
          </w:tcPr>
          <w:p w14:paraId="7994D1E1">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3000</w:t>
            </w:r>
          </w:p>
        </w:tc>
        <w:tc>
          <w:tcPr>
            <w:tcW w:w="992" w:type="dxa"/>
            <w:tcBorders>
              <w:top w:val="nil"/>
              <w:left w:val="nil"/>
              <w:bottom w:val="nil"/>
              <w:right w:val="nil"/>
            </w:tcBorders>
          </w:tcPr>
          <w:p w14:paraId="5D448F36">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60</w:t>
            </w:r>
          </w:p>
        </w:tc>
        <w:tc>
          <w:tcPr>
            <w:tcW w:w="1276" w:type="dxa"/>
            <w:tcBorders>
              <w:top w:val="nil"/>
              <w:left w:val="nil"/>
              <w:bottom w:val="nil"/>
              <w:right w:val="nil"/>
            </w:tcBorders>
          </w:tcPr>
          <w:p w14:paraId="2A36E8CE">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400×400</w:t>
            </w:r>
          </w:p>
        </w:tc>
        <w:tc>
          <w:tcPr>
            <w:tcW w:w="1134" w:type="dxa"/>
            <w:tcBorders>
              <w:top w:val="nil"/>
              <w:left w:val="nil"/>
              <w:bottom w:val="nil"/>
              <w:right w:val="nil"/>
            </w:tcBorders>
          </w:tcPr>
          <w:p w14:paraId="178DE6AD">
            <w:pPr>
              <w:jc w:val="center"/>
              <w:rPr>
                <w:rFonts w:ascii="Times New Roman" w:hAnsi="Times New Roman" w:cs="Times New Roman"/>
                <w:szCs w:val="21"/>
              </w:rPr>
            </w:pPr>
            <w:r>
              <w:rPr>
                <w:rFonts w:hint="eastAsia" w:ascii="Times New Roman" w:hAnsi="Times New Roman" w:cs="Times New Roman"/>
                <w:szCs w:val="21"/>
              </w:rPr>
              <w:t>310×310</w:t>
            </w:r>
          </w:p>
        </w:tc>
        <w:tc>
          <w:tcPr>
            <w:tcW w:w="1701" w:type="dxa"/>
            <w:tcBorders>
              <w:top w:val="nil"/>
              <w:left w:val="nil"/>
              <w:bottom w:val="nil"/>
              <w:right w:val="nil"/>
            </w:tcBorders>
          </w:tcPr>
          <w:p w14:paraId="39D74B65">
            <w:pPr>
              <w:jc w:val="center"/>
              <w:rPr>
                <w:rFonts w:ascii="Times New Roman" w:hAnsi="Times New Roman" w:cs="Times New Roman"/>
                <w:szCs w:val="21"/>
              </w:rPr>
            </w:pPr>
            <w:r>
              <w:rPr>
                <w:rFonts w:hint="eastAsia" w:ascii="Times New Roman" w:hAnsi="Times New Roman" w:cs="Times New Roman"/>
                <w:szCs w:val="21"/>
              </w:rPr>
              <w:t>15</w:t>
            </w:r>
          </w:p>
        </w:tc>
        <w:tc>
          <w:tcPr>
            <w:tcW w:w="1559" w:type="dxa"/>
            <w:tcBorders>
              <w:top w:val="nil"/>
              <w:left w:val="nil"/>
              <w:bottom w:val="nil"/>
              <w:right w:val="nil"/>
            </w:tcBorders>
          </w:tcPr>
          <w:p w14:paraId="137445A6">
            <w:pPr>
              <w:jc w:val="center"/>
              <w:rPr>
                <w:rFonts w:ascii="Times New Roman" w:hAnsi="Times New Roman" w:cs="Times New Roman"/>
                <w:szCs w:val="21"/>
              </w:rPr>
            </w:pPr>
            <w:r>
              <w:rPr>
                <w:rFonts w:hint="eastAsia" w:ascii="Times New Roman" w:hAnsi="Times New Roman" w:cs="Times New Roman"/>
                <w:szCs w:val="21"/>
              </w:rPr>
              <w:t>250</w:t>
            </w:r>
          </w:p>
        </w:tc>
        <w:tc>
          <w:tcPr>
            <w:tcW w:w="1701" w:type="dxa"/>
            <w:tcBorders>
              <w:top w:val="nil"/>
              <w:left w:val="nil"/>
              <w:bottom w:val="nil"/>
              <w:right w:val="nil"/>
            </w:tcBorders>
          </w:tcPr>
          <w:p w14:paraId="6EA0B09E">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5</w:t>
            </w:r>
          </w:p>
        </w:tc>
      </w:tr>
      <w:tr w14:paraId="79094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127" w:type="dxa"/>
            <w:vMerge w:val="continue"/>
            <w:tcBorders>
              <w:left w:val="nil"/>
              <w:right w:val="nil"/>
            </w:tcBorders>
          </w:tcPr>
          <w:p w14:paraId="344AF0A2">
            <w:pPr>
              <w:rPr>
                <w:rFonts w:ascii="Times New Roman" w:hAnsi="Times New Roman" w:cs="Times New Roman"/>
                <w:b/>
                <w:bCs/>
                <w:color w:val="000000" w:themeColor="text1"/>
                <w:szCs w:val="21"/>
                <w14:textFill>
                  <w14:solidFill>
                    <w14:schemeClr w14:val="tx1"/>
                  </w14:solidFill>
                </w14:textFill>
              </w:rPr>
            </w:pPr>
          </w:p>
        </w:tc>
        <w:tc>
          <w:tcPr>
            <w:tcW w:w="1134" w:type="dxa"/>
            <w:tcBorders>
              <w:top w:val="nil"/>
              <w:left w:val="nil"/>
              <w:bottom w:val="nil"/>
              <w:right w:val="nil"/>
            </w:tcBorders>
          </w:tcPr>
          <w:p w14:paraId="39FE338B">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T</w:t>
            </w:r>
            <w:r>
              <w:rPr>
                <w:rFonts w:ascii="Times New Roman" w:hAnsi="Times New Roman" w:cs="Times New Roman"/>
                <w:color w:val="000000" w:themeColor="text1"/>
                <w:szCs w:val="21"/>
                <w14:textFill>
                  <w14:solidFill>
                    <w14:schemeClr w14:val="tx1"/>
                  </w14:solidFill>
                </w14:textFill>
              </w:rPr>
              <w:t>2WI</w:t>
            </w:r>
          </w:p>
        </w:tc>
        <w:tc>
          <w:tcPr>
            <w:tcW w:w="992" w:type="dxa"/>
            <w:tcBorders>
              <w:top w:val="nil"/>
              <w:left w:val="nil"/>
              <w:bottom w:val="nil"/>
              <w:right w:val="nil"/>
            </w:tcBorders>
          </w:tcPr>
          <w:p w14:paraId="680C3A47">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4765</w:t>
            </w:r>
          </w:p>
        </w:tc>
        <w:tc>
          <w:tcPr>
            <w:tcW w:w="992" w:type="dxa"/>
            <w:tcBorders>
              <w:top w:val="nil"/>
              <w:left w:val="nil"/>
              <w:bottom w:val="nil"/>
              <w:right w:val="nil"/>
            </w:tcBorders>
          </w:tcPr>
          <w:p w14:paraId="3824AD61">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58</w:t>
            </w:r>
          </w:p>
        </w:tc>
        <w:tc>
          <w:tcPr>
            <w:tcW w:w="1276" w:type="dxa"/>
            <w:tcBorders>
              <w:top w:val="nil"/>
              <w:left w:val="nil"/>
              <w:bottom w:val="nil"/>
              <w:right w:val="nil"/>
            </w:tcBorders>
          </w:tcPr>
          <w:p w14:paraId="721C382E">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400×400</w:t>
            </w:r>
          </w:p>
        </w:tc>
        <w:tc>
          <w:tcPr>
            <w:tcW w:w="1134" w:type="dxa"/>
            <w:tcBorders>
              <w:top w:val="nil"/>
              <w:left w:val="nil"/>
              <w:bottom w:val="nil"/>
              <w:right w:val="nil"/>
            </w:tcBorders>
          </w:tcPr>
          <w:p w14:paraId="3FA423AA">
            <w:pPr>
              <w:jc w:val="center"/>
              <w:rPr>
                <w:rFonts w:ascii="Times New Roman" w:hAnsi="Times New Roman" w:cs="Times New Roman"/>
                <w:szCs w:val="21"/>
              </w:rPr>
            </w:pPr>
            <w:r>
              <w:rPr>
                <w:rFonts w:hint="eastAsia" w:ascii="Times New Roman" w:hAnsi="Times New Roman" w:cs="Times New Roman"/>
                <w:szCs w:val="21"/>
              </w:rPr>
              <w:t>310×310</w:t>
            </w:r>
          </w:p>
        </w:tc>
        <w:tc>
          <w:tcPr>
            <w:tcW w:w="1701" w:type="dxa"/>
            <w:tcBorders>
              <w:top w:val="nil"/>
              <w:left w:val="nil"/>
              <w:bottom w:val="nil"/>
              <w:right w:val="nil"/>
            </w:tcBorders>
          </w:tcPr>
          <w:p w14:paraId="16F8FA6A">
            <w:pPr>
              <w:jc w:val="center"/>
              <w:rPr>
                <w:rFonts w:ascii="Times New Roman" w:hAnsi="Times New Roman" w:cs="Times New Roman"/>
                <w:szCs w:val="21"/>
              </w:rPr>
            </w:pPr>
            <w:r>
              <w:rPr>
                <w:rFonts w:hint="eastAsia" w:ascii="Times New Roman" w:hAnsi="Times New Roman" w:cs="Times New Roman"/>
                <w:szCs w:val="21"/>
              </w:rPr>
              <w:t>111</w:t>
            </w:r>
          </w:p>
        </w:tc>
        <w:tc>
          <w:tcPr>
            <w:tcW w:w="1559" w:type="dxa"/>
            <w:tcBorders>
              <w:top w:val="nil"/>
              <w:left w:val="nil"/>
              <w:bottom w:val="nil"/>
              <w:right w:val="nil"/>
            </w:tcBorders>
          </w:tcPr>
          <w:p w14:paraId="68AB7D30">
            <w:pPr>
              <w:jc w:val="center"/>
              <w:rPr>
                <w:rFonts w:ascii="Times New Roman" w:hAnsi="Times New Roman" w:cs="Times New Roman"/>
                <w:szCs w:val="21"/>
              </w:rPr>
            </w:pPr>
            <w:r>
              <w:rPr>
                <w:rFonts w:hint="eastAsia" w:ascii="Times New Roman" w:hAnsi="Times New Roman" w:cs="Times New Roman"/>
                <w:szCs w:val="21"/>
              </w:rPr>
              <w:t>217</w:t>
            </w:r>
          </w:p>
        </w:tc>
        <w:tc>
          <w:tcPr>
            <w:tcW w:w="1701" w:type="dxa"/>
            <w:tcBorders>
              <w:top w:val="nil"/>
              <w:left w:val="nil"/>
              <w:bottom w:val="nil"/>
              <w:right w:val="nil"/>
            </w:tcBorders>
          </w:tcPr>
          <w:p w14:paraId="15EE7B9F">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5</w:t>
            </w:r>
          </w:p>
        </w:tc>
      </w:tr>
      <w:tr w14:paraId="6ECDE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127" w:type="dxa"/>
            <w:vMerge w:val="continue"/>
            <w:tcBorders>
              <w:left w:val="nil"/>
              <w:bottom w:val="nil"/>
              <w:right w:val="nil"/>
            </w:tcBorders>
          </w:tcPr>
          <w:p w14:paraId="74D3CCE7">
            <w:pPr>
              <w:rPr>
                <w:rFonts w:ascii="Times New Roman" w:hAnsi="Times New Roman" w:cs="Times New Roman"/>
                <w:b/>
                <w:bCs/>
                <w:color w:val="000000" w:themeColor="text1"/>
                <w:szCs w:val="21"/>
                <w14:textFill>
                  <w14:solidFill>
                    <w14:schemeClr w14:val="tx1"/>
                  </w14:solidFill>
                </w14:textFill>
              </w:rPr>
            </w:pPr>
          </w:p>
        </w:tc>
        <w:tc>
          <w:tcPr>
            <w:tcW w:w="1134" w:type="dxa"/>
            <w:tcBorders>
              <w:top w:val="nil"/>
              <w:left w:val="nil"/>
              <w:bottom w:val="nil"/>
              <w:right w:val="nil"/>
            </w:tcBorders>
          </w:tcPr>
          <w:p w14:paraId="7C68ACEE">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T</w:t>
            </w:r>
            <w:r>
              <w:rPr>
                <w:rFonts w:ascii="Times New Roman" w:hAnsi="Times New Roman" w:cs="Times New Roman"/>
                <w:color w:val="000000" w:themeColor="text1"/>
                <w:szCs w:val="21"/>
                <w14:textFill>
                  <w14:solidFill>
                    <w14:schemeClr w14:val="tx1"/>
                  </w14:solidFill>
                </w14:textFill>
              </w:rPr>
              <w:t>1WI+C</w:t>
            </w:r>
          </w:p>
        </w:tc>
        <w:tc>
          <w:tcPr>
            <w:tcW w:w="992" w:type="dxa"/>
            <w:tcBorders>
              <w:top w:val="nil"/>
              <w:left w:val="nil"/>
              <w:bottom w:val="nil"/>
              <w:right w:val="nil"/>
            </w:tcBorders>
          </w:tcPr>
          <w:p w14:paraId="56BF1FC5">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4.6</w:t>
            </w:r>
          </w:p>
        </w:tc>
        <w:tc>
          <w:tcPr>
            <w:tcW w:w="992" w:type="dxa"/>
            <w:tcBorders>
              <w:top w:val="nil"/>
              <w:left w:val="nil"/>
              <w:bottom w:val="nil"/>
              <w:right w:val="nil"/>
            </w:tcBorders>
          </w:tcPr>
          <w:p w14:paraId="7D32A566">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1.4</w:t>
            </w:r>
          </w:p>
        </w:tc>
        <w:tc>
          <w:tcPr>
            <w:tcW w:w="1276" w:type="dxa"/>
            <w:tcBorders>
              <w:top w:val="nil"/>
              <w:left w:val="nil"/>
              <w:bottom w:val="nil"/>
              <w:right w:val="nil"/>
            </w:tcBorders>
          </w:tcPr>
          <w:p w14:paraId="1B003C48">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380×380</w:t>
            </w:r>
          </w:p>
        </w:tc>
        <w:tc>
          <w:tcPr>
            <w:tcW w:w="1134" w:type="dxa"/>
            <w:tcBorders>
              <w:top w:val="nil"/>
              <w:left w:val="nil"/>
              <w:bottom w:val="nil"/>
              <w:right w:val="nil"/>
            </w:tcBorders>
          </w:tcPr>
          <w:p w14:paraId="7315644E">
            <w:pPr>
              <w:jc w:val="center"/>
              <w:rPr>
                <w:rFonts w:ascii="Times New Roman" w:hAnsi="Times New Roman" w:cs="Times New Roman"/>
                <w:szCs w:val="21"/>
              </w:rPr>
            </w:pPr>
            <w:r>
              <w:rPr>
                <w:rFonts w:hint="eastAsia" w:ascii="Times New Roman" w:hAnsi="Times New Roman" w:cs="Times New Roman"/>
                <w:szCs w:val="21"/>
              </w:rPr>
              <w:t>130×150</w:t>
            </w:r>
          </w:p>
        </w:tc>
        <w:tc>
          <w:tcPr>
            <w:tcW w:w="1701" w:type="dxa"/>
            <w:tcBorders>
              <w:top w:val="nil"/>
              <w:left w:val="nil"/>
              <w:bottom w:val="nil"/>
              <w:right w:val="nil"/>
            </w:tcBorders>
          </w:tcPr>
          <w:p w14:paraId="16B5EF7C">
            <w:pPr>
              <w:jc w:val="center"/>
              <w:rPr>
                <w:rFonts w:ascii="Times New Roman" w:hAnsi="Times New Roman" w:cs="Times New Roman"/>
                <w:szCs w:val="21"/>
              </w:rPr>
            </w:pPr>
            <w:r>
              <w:rPr>
                <w:rFonts w:hint="eastAsia" w:ascii="Times New Roman" w:hAnsi="Times New Roman" w:cs="Times New Roman"/>
                <w:szCs w:val="21"/>
              </w:rPr>
              <w:t>12</w:t>
            </w:r>
          </w:p>
        </w:tc>
        <w:tc>
          <w:tcPr>
            <w:tcW w:w="1559" w:type="dxa"/>
            <w:tcBorders>
              <w:top w:val="nil"/>
              <w:left w:val="nil"/>
              <w:bottom w:val="nil"/>
              <w:right w:val="nil"/>
            </w:tcBorders>
          </w:tcPr>
          <w:p w14:paraId="5CB1384B">
            <w:pPr>
              <w:jc w:val="center"/>
              <w:rPr>
                <w:rFonts w:ascii="Times New Roman" w:hAnsi="Times New Roman" w:cs="Times New Roman"/>
                <w:szCs w:val="21"/>
              </w:rPr>
            </w:pPr>
            <w:r>
              <w:rPr>
                <w:rFonts w:hint="eastAsia" w:ascii="Times New Roman" w:hAnsi="Times New Roman" w:cs="Times New Roman"/>
                <w:szCs w:val="21"/>
              </w:rPr>
              <w:t>142</w:t>
            </w:r>
          </w:p>
        </w:tc>
        <w:tc>
          <w:tcPr>
            <w:tcW w:w="1701" w:type="dxa"/>
            <w:tcBorders>
              <w:top w:val="nil"/>
              <w:left w:val="nil"/>
              <w:bottom w:val="nil"/>
              <w:right w:val="nil"/>
            </w:tcBorders>
          </w:tcPr>
          <w:p w14:paraId="15C983B1">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w:t>
            </w:r>
          </w:p>
        </w:tc>
      </w:tr>
      <w:tr w14:paraId="13B66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127" w:type="dxa"/>
            <w:tcBorders>
              <w:top w:val="nil"/>
              <w:left w:val="nil"/>
              <w:bottom w:val="nil"/>
              <w:right w:val="nil"/>
            </w:tcBorders>
          </w:tcPr>
          <w:p w14:paraId="6D0DC314">
            <w:pP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Institution 2</w:t>
            </w:r>
          </w:p>
        </w:tc>
        <w:tc>
          <w:tcPr>
            <w:tcW w:w="1134" w:type="dxa"/>
            <w:tcBorders>
              <w:top w:val="nil"/>
              <w:left w:val="nil"/>
              <w:bottom w:val="nil"/>
              <w:right w:val="nil"/>
            </w:tcBorders>
          </w:tcPr>
          <w:p w14:paraId="4401BECA">
            <w:pPr>
              <w:jc w:val="center"/>
              <w:rPr>
                <w:rFonts w:ascii="Times New Roman" w:hAnsi="Times New Roman" w:cs="Times New Roman"/>
                <w:color w:val="000000" w:themeColor="text1"/>
                <w:szCs w:val="21"/>
                <w14:textFill>
                  <w14:solidFill>
                    <w14:schemeClr w14:val="tx1"/>
                  </w14:solidFill>
                </w14:textFill>
              </w:rPr>
            </w:pPr>
          </w:p>
        </w:tc>
        <w:tc>
          <w:tcPr>
            <w:tcW w:w="992" w:type="dxa"/>
            <w:tcBorders>
              <w:top w:val="nil"/>
              <w:left w:val="nil"/>
              <w:bottom w:val="nil"/>
              <w:right w:val="nil"/>
            </w:tcBorders>
          </w:tcPr>
          <w:p w14:paraId="12013436">
            <w:pPr>
              <w:jc w:val="center"/>
              <w:rPr>
                <w:rFonts w:ascii="Times New Roman" w:hAnsi="Times New Roman" w:cs="Times New Roman"/>
                <w:color w:val="000000" w:themeColor="text1"/>
                <w:szCs w:val="21"/>
                <w14:textFill>
                  <w14:solidFill>
                    <w14:schemeClr w14:val="tx1"/>
                  </w14:solidFill>
                </w14:textFill>
              </w:rPr>
            </w:pPr>
          </w:p>
        </w:tc>
        <w:tc>
          <w:tcPr>
            <w:tcW w:w="992" w:type="dxa"/>
            <w:tcBorders>
              <w:top w:val="nil"/>
              <w:left w:val="nil"/>
              <w:bottom w:val="nil"/>
              <w:right w:val="nil"/>
            </w:tcBorders>
          </w:tcPr>
          <w:p w14:paraId="533CB383">
            <w:pPr>
              <w:jc w:val="center"/>
              <w:rPr>
                <w:rFonts w:ascii="Times New Roman" w:hAnsi="Times New Roman" w:cs="Times New Roman"/>
                <w:color w:val="000000" w:themeColor="text1"/>
                <w:szCs w:val="21"/>
                <w14:textFill>
                  <w14:solidFill>
                    <w14:schemeClr w14:val="tx1"/>
                  </w14:solidFill>
                </w14:textFill>
              </w:rPr>
            </w:pPr>
          </w:p>
        </w:tc>
        <w:tc>
          <w:tcPr>
            <w:tcW w:w="1276" w:type="dxa"/>
            <w:tcBorders>
              <w:top w:val="nil"/>
              <w:left w:val="nil"/>
              <w:bottom w:val="nil"/>
              <w:right w:val="nil"/>
            </w:tcBorders>
          </w:tcPr>
          <w:p w14:paraId="5ABF95C2">
            <w:pPr>
              <w:jc w:val="center"/>
              <w:rPr>
                <w:rFonts w:ascii="Times New Roman" w:hAnsi="Times New Roman" w:cs="Times New Roman"/>
                <w:color w:val="000000" w:themeColor="text1"/>
                <w:szCs w:val="21"/>
                <w14:textFill>
                  <w14:solidFill>
                    <w14:schemeClr w14:val="tx1"/>
                  </w14:solidFill>
                </w14:textFill>
              </w:rPr>
            </w:pPr>
          </w:p>
        </w:tc>
        <w:tc>
          <w:tcPr>
            <w:tcW w:w="1134" w:type="dxa"/>
            <w:tcBorders>
              <w:top w:val="nil"/>
              <w:left w:val="nil"/>
              <w:bottom w:val="nil"/>
              <w:right w:val="nil"/>
            </w:tcBorders>
          </w:tcPr>
          <w:p w14:paraId="02E12645">
            <w:pPr>
              <w:jc w:val="center"/>
              <w:rPr>
                <w:rFonts w:ascii="Times New Roman" w:hAnsi="Times New Roman" w:cs="Times New Roman"/>
                <w:szCs w:val="21"/>
              </w:rPr>
            </w:pPr>
          </w:p>
        </w:tc>
        <w:tc>
          <w:tcPr>
            <w:tcW w:w="1701" w:type="dxa"/>
            <w:tcBorders>
              <w:top w:val="nil"/>
              <w:left w:val="nil"/>
              <w:bottom w:val="nil"/>
              <w:right w:val="nil"/>
            </w:tcBorders>
          </w:tcPr>
          <w:p w14:paraId="1285E309">
            <w:pPr>
              <w:jc w:val="center"/>
              <w:rPr>
                <w:rFonts w:ascii="Times New Roman" w:hAnsi="Times New Roman" w:cs="Times New Roman"/>
                <w:szCs w:val="21"/>
              </w:rPr>
            </w:pPr>
          </w:p>
        </w:tc>
        <w:tc>
          <w:tcPr>
            <w:tcW w:w="1559" w:type="dxa"/>
            <w:tcBorders>
              <w:top w:val="nil"/>
              <w:left w:val="nil"/>
              <w:bottom w:val="nil"/>
              <w:right w:val="nil"/>
            </w:tcBorders>
          </w:tcPr>
          <w:p w14:paraId="35638C11">
            <w:pPr>
              <w:jc w:val="center"/>
              <w:rPr>
                <w:rFonts w:ascii="Times New Roman" w:hAnsi="Times New Roman" w:cs="Times New Roman"/>
                <w:szCs w:val="21"/>
              </w:rPr>
            </w:pPr>
          </w:p>
        </w:tc>
        <w:tc>
          <w:tcPr>
            <w:tcW w:w="1701" w:type="dxa"/>
            <w:tcBorders>
              <w:top w:val="nil"/>
              <w:left w:val="nil"/>
              <w:bottom w:val="nil"/>
              <w:right w:val="nil"/>
            </w:tcBorders>
          </w:tcPr>
          <w:p w14:paraId="470130B5">
            <w:pPr>
              <w:jc w:val="center"/>
              <w:rPr>
                <w:rFonts w:ascii="Times New Roman" w:hAnsi="Times New Roman" w:cs="Times New Roman"/>
                <w:color w:val="000000" w:themeColor="text1"/>
                <w:szCs w:val="21"/>
                <w14:textFill>
                  <w14:solidFill>
                    <w14:schemeClr w14:val="tx1"/>
                  </w14:solidFill>
                </w14:textFill>
              </w:rPr>
            </w:pPr>
          </w:p>
        </w:tc>
      </w:tr>
      <w:tr w14:paraId="0BA0A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127" w:type="dxa"/>
            <w:vMerge w:val="restart"/>
            <w:tcBorders>
              <w:top w:val="nil"/>
              <w:left w:val="nil"/>
              <w:right w:val="nil"/>
            </w:tcBorders>
          </w:tcPr>
          <w:p w14:paraId="5700C945">
            <w:pP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GE Discovery 750</w:t>
            </w:r>
          </w:p>
          <w:p w14:paraId="543646D7">
            <w:pPr>
              <w:rPr>
                <w:rFonts w:ascii="Times New Roman" w:hAnsi="Times New Roman" w:cs="Times New Roman"/>
                <w:color w:val="000000" w:themeColor="text1"/>
                <w:szCs w:val="21"/>
                <w14:textFill>
                  <w14:solidFill>
                    <w14:schemeClr w14:val="tx1"/>
                  </w14:solidFill>
                </w14:textFill>
              </w:rPr>
            </w:pPr>
          </w:p>
        </w:tc>
        <w:tc>
          <w:tcPr>
            <w:tcW w:w="1134" w:type="dxa"/>
            <w:tcBorders>
              <w:top w:val="nil"/>
              <w:left w:val="nil"/>
              <w:bottom w:val="nil"/>
              <w:right w:val="nil"/>
            </w:tcBorders>
          </w:tcPr>
          <w:p w14:paraId="414879BA">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DWI</w:t>
            </w:r>
          </w:p>
        </w:tc>
        <w:tc>
          <w:tcPr>
            <w:tcW w:w="992" w:type="dxa"/>
            <w:tcBorders>
              <w:top w:val="nil"/>
              <w:left w:val="nil"/>
              <w:bottom w:val="nil"/>
              <w:right w:val="nil"/>
            </w:tcBorders>
          </w:tcPr>
          <w:p w14:paraId="1472A353">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4800</w:t>
            </w:r>
          </w:p>
        </w:tc>
        <w:tc>
          <w:tcPr>
            <w:tcW w:w="992" w:type="dxa"/>
            <w:tcBorders>
              <w:top w:val="nil"/>
              <w:left w:val="nil"/>
              <w:bottom w:val="nil"/>
              <w:right w:val="nil"/>
            </w:tcBorders>
          </w:tcPr>
          <w:p w14:paraId="0CF056F6">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75</w:t>
            </w:r>
          </w:p>
        </w:tc>
        <w:tc>
          <w:tcPr>
            <w:tcW w:w="1276" w:type="dxa"/>
            <w:tcBorders>
              <w:top w:val="nil"/>
              <w:left w:val="nil"/>
              <w:bottom w:val="nil"/>
              <w:right w:val="nil"/>
            </w:tcBorders>
          </w:tcPr>
          <w:p w14:paraId="7B44CA7E">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240</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200</w:t>
            </w:r>
          </w:p>
        </w:tc>
        <w:tc>
          <w:tcPr>
            <w:tcW w:w="1134" w:type="dxa"/>
            <w:tcBorders>
              <w:top w:val="nil"/>
              <w:left w:val="nil"/>
              <w:bottom w:val="nil"/>
              <w:right w:val="nil"/>
            </w:tcBorders>
          </w:tcPr>
          <w:p w14:paraId="19194DA5">
            <w:pPr>
              <w:jc w:val="center"/>
              <w:rPr>
                <w:rFonts w:ascii="Times New Roman" w:hAnsi="Times New Roman" w:cs="Times New Roman"/>
                <w:szCs w:val="21"/>
              </w:rPr>
            </w:pPr>
            <w:r>
              <w:rPr>
                <w:rFonts w:ascii="Times New Roman" w:hAnsi="Times New Roman" w:cs="Times New Roman"/>
                <w:szCs w:val="21"/>
              </w:rPr>
              <w:t>160×112</w:t>
            </w:r>
          </w:p>
        </w:tc>
        <w:tc>
          <w:tcPr>
            <w:tcW w:w="1701" w:type="dxa"/>
            <w:tcBorders>
              <w:top w:val="nil"/>
              <w:left w:val="nil"/>
              <w:bottom w:val="nil"/>
              <w:right w:val="nil"/>
            </w:tcBorders>
          </w:tcPr>
          <w:p w14:paraId="7AC46ECE">
            <w:pPr>
              <w:jc w:val="center"/>
              <w:rPr>
                <w:rFonts w:ascii="Times New Roman" w:hAnsi="Times New Roman" w:cs="Times New Roman"/>
                <w:szCs w:val="21"/>
              </w:rPr>
            </w:pPr>
            <w:r>
              <w:rPr>
                <w:rFonts w:ascii="Times New Roman" w:hAnsi="Times New Roman" w:cs="Times New Roman"/>
                <w:szCs w:val="21"/>
              </w:rPr>
              <w:t>15</w:t>
            </w:r>
          </w:p>
        </w:tc>
        <w:tc>
          <w:tcPr>
            <w:tcW w:w="1559" w:type="dxa"/>
            <w:tcBorders>
              <w:top w:val="nil"/>
              <w:left w:val="nil"/>
              <w:bottom w:val="nil"/>
              <w:right w:val="nil"/>
            </w:tcBorders>
          </w:tcPr>
          <w:p w14:paraId="5CDBDA0F">
            <w:pPr>
              <w:jc w:val="center"/>
              <w:rPr>
                <w:rFonts w:ascii="Times New Roman" w:hAnsi="Times New Roman" w:cs="Times New Roman"/>
                <w:szCs w:val="21"/>
              </w:rPr>
            </w:pPr>
            <w:r>
              <w:rPr>
                <w:rFonts w:ascii="Times New Roman" w:hAnsi="Times New Roman" w:cs="Times New Roman"/>
                <w:szCs w:val="21"/>
              </w:rPr>
              <w:t>558</w:t>
            </w:r>
          </w:p>
        </w:tc>
        <w:tc>
          <w:tcPr>
            <w:tcW w:w="1701" w:type="dxa"/>
            <w:tcBorders>
              <w:top w:val="nil"/>
              <w:left w:val="nil"/>
              <w:bottom w:val="nil"/>
              <w:right w:val="nil"/>
            </w:tcBorders>
          </w:tcPr>
          <w:p w14:paraId="794949C9">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w:t>
            </w:r>
          </w:p>
        </w:tc>
      </w:tr>
      <w:tr w14:paraId="3ED0D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2127" w:type="dxa"/>
            <w:vMerge w:val="continue"/>
            <w:tcBorders>
              <w:top w:val="dashed" w:color="auto" w:sz="4" w:space="0"/>
              <w:left w:val="nil"/>
              <w:right w:val="nil"/>
            </w:tcBorders>
          </w:tcPr>
          <w:p w14:paraId="2DAC0650">
            <w:pPr>
              <w:rPr>
                <w:rFonts w:ascii="Times New Roman" w:hAnsi="Times New Roman" w:cs="Times New Roman"/>
                <w:color w:val="000000" w:themeColor="text1"/>
                <w:szCs w:val="21"/>
                <w14:textFill>
                  <w14:solidFill>
                    <w14:schemeClr w14:val="tx1"/>
                  </w14:solidFill>
                </w14:textFill>
              </w:rPr>
            </w:pPr>
          </w:p>
        </w:tc>
        <w:tc>
          <w:tcPr>
            <w:tcW w:w="1134" w:type="dxa"/>
            <w:tcBorders>
              <w:top w:val="nil"/>
              <w:left w:val="nil"/>
              <w:bottom w:val="nil"/>
              <w:right w:val="nil"/>
            </w:tcBorders>
          </w:tcPr>
          <w:p w14:paraId="3B7AFFBB">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T2WI</w:t>
            </w:r>
          </w:p>
        </w:tc>
        <w:tc>
          <w:tcPr>
            <w:tcW w:w="992" w:type="dxa"/>
            <w:tcBorders>
              <w:top w:val="nil"/>
              <w:left w:val="nil"/>
              <w:bottom w:val="nil"/>
              <w:right w:val="nil"/>
            </w:tcBorders>
          </w:tcPr>
          <w:p w14:paraId="78B18C83">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3966</w:t>
            </w:r>
          </w:p>
        </w:tc>
        <w:tc>
          <w:tcPr>
            <w:tcW w:w="992" w:type="dxa"/>
            <w:tcBorders>
              <w:top w:val="nil"/>
              <w:left w:val="nil"/>
              <w:bottom w:val="nil"/>
              <w:right w:val="nil"/>
            </w:tcBorders>
          </w:tcPr>
          <w:p w14:paraId="4E6866CA">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86</w:t>
            </w:r>
          </w:p>
        </w:tc>
        <w:tc>
          <w:tcPr>
            <w:tcW w:w="1276" w:type="dxa"/>
            <w:tcBorders>
              <w:top w:val="nil"/>
              <w:left w:val="nil"/>
              <w:bottom w:val="nil"/>
              <w:right w:val="nil"/>
            </w:tcBorders>
          </w:tcPr>
          <w:p w14:paraId="163C2E20">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360×360</w:t>
            </w:r>
          </w:p>
        </w:tc>
        <w:tc>
          <w:tcPr>
            <w:tcW w:w="1134" w:type="dxa"/>
            <w:tcBorders>
              <w:top w:val="nil"/>
              <w:left w:val="nil"/>
              <w:bottom w:val="nil"/>
              <w:right w:val="nil"/>
            </w:tcBorders>
          </w:tcPr>
          <w:p w14:paraId="1DC233D4">
            <w:pPr>
              <w:jc w:val="center"/>
              <w:rPr>
                <w:rFonts w:ascii="Times New Roman" w:hAnsi="Times New Roman" w:cs="Times New Roman"/>
                <w:szCs w:val="21"/>
              </w:rPr>
            </w:pPr>
            <w:r>
              <w:rPr>
                <w:rFonts w:ascii="Times New Roman" w:hAnsi="Times New Roman" w:cs="Times New Roman"/>
                <w:szCs w:val="21"/>
              </w:rPr>
              <w:t>320×320</w:t>
            </w:r>
          </w:p>
        </w:tc>
        <w:tc>
          <w:tcPr>
            <w:tcW w:w="1701" w:type="dxa"/>
            <w:tcBorders>
              <w:top w:val="nil"/>
              <w:left w:val="nil"/>
              <w:bottom w:val="nil"/>
              <w:right w:val="nil"/>
            </w:tcBorders>
          </w:tcPr>
          <w:p w14:paraId="3E4B1A51">
            <w:pPr>
              <w:jc w:val="center"/>
              <w:rPr>
                <w:rFonts w:ascii="Times New Roman" w:hAnsi="Times New Roman" w:cs="Times New Roman"/>
                <w:szCs w:val="21"/>
              </w:rPr>
            </w:pPr>
            <w:r>
              <w:rPr>
                <w:rFonts w:ascii="Times New Roman" w:hAnsi="Times New Roman" w:cs="Times New Roman"/>
                <w:szCs w:val="21"/>
              </w:rPr>
              <w:t>142</w:t>
            </w:r>
          </w:p>
        </w:tc>
        <w:tc>
          <w:tcPr>
            <w:tcW w:w="1559" w:type="dxa"/>
            <w:tcBorders>
              <w:top w:val="nil"/>
              <w:left w:val="nil"/>
              <w:bottom w:val="nil"/>
              <w:right w:val="nil"/>
            </w:tcBorders>
          </w:tcPr>
          <w:p w14:paraId="623D6825">
            <w:pPr>
              <w:jc w:val="center"/>
              <w:rPr>
                <w:rFonts w:ascii="Times New Roman" w:hAnsi="Times New Roman" w:cs="Times New Roman"/>
                <w:szCs w:val="21"/>
              </w:rPr>
            </w:pPr>
            <w:r>
              <w:rPr>
                <w:rFonts w:ascii="Times New Roman" w:hAnsi="Times New Roman" w:cs="Times New Roman"/>
                <w:szCs w:val="21"/>
              </w:rPr>
              <w:t>326</w:t>
            </w:r>
          </w:p>
        </w:tc>
        <w:tc>
          <w:tcPr>
            <w:tcW w:w="1701" w:type="dxa"/>
            <w:tcBorders>
              <w:top w:val="nil"/>
              <w:left w:val="nil"/>
              <w:bottom w:val="nil"/>
              <w:right w:val="nil"/>
            </w:tcBorders>
          </w:tcPr>
          <w:p w14:paraId="68D141A9">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5</w:t>
            </w:r>
          </w:p>
        </w:tc>
      </w:tr>
      <w:tr w14:paraId="616A8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2127" w:type="dxa"/>
            <w:vMerge w:val="continue"/>
            <w:tcBorders>
              <w:left w:val="nil"/>
              <w:bottom w:val="nil"/>
              <w:right w:val="nil"/>
            </w:tcBorders>
          </w:tcPr>
          <w:p w14:paraId="6C07C4AA">
            <w:pPr>
              <w:rPr>
                <w:rFonts w:ascii="Times New Roman" w:hAnsi="Times New Roman" w:cs="Times New Roman"/>
                <w:color w:val="000000" w:themeColor="text1"/>
                <w:szCs w:val="21"/>
                <w14:textFill>
                  <w14:solidFill>
                    <w14:schemeClr w14:val="tx1"/>
                  </w14:solidFill>
                </w14:textFill>
              </w:rPr>
            </w:pPr>
          </w:p>
        </w:tc>
        <w:tc>
          <w:tcPr>
            <w:tcW w:w="1134" w:type="dxa"/>
            <w:tcBorders>
              <w:top w:val="nil"/>
              <w:left w:val="nil"/>
              <w:bottom w:val="nil"/>
              <w:right w:val="nil"/>
            </w:tcBorders>
          </w:tcPr>
          <w:p w14:paraId="0110952A">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T1WI + C</w:t>
            </w:r>
          </w:p>
        </w:tc>
        <w:tc>
          <w:tcPr>
            <w:tcW w:w="992" w:type="dxa"/>
            <w:tcBorders>
              <w:top w:val="nil"/>
              <w:left w:val="nil"/>
              <w:bottom w:val="nil"/>
              <w:right w:val="nil"/>
            </w:tcBorders>
          </w:tcPr>
          <w:p w14:paraId="743712D8">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5</w:t>
            </w:r>
            <w:r>
              <w:rPr>
                <w:rFonts w:ascii="Times New Roman" w:hAnsi="Times New Roman" w:cs="Times New Roman"/>
                <w:color w:val="000000" w:themeColor="text1"/>
                <w:szCs w:val="21"/>
                <w14:textFill>
                  <w14:solidFill>
                    <w14:schemeClr w14:val="tx1"/>
                  </w14:solidFill>
                </w14:textFill>
              </w:rPr>
              <w:t>.25</w:t>
            </w:r>
          </w:p>
        </w:tc>
        <w:tc>
          <w:tcPr>
            <w:tcW w:w="992" w:type="dxa"/>
            <w:tcBorders>
              <w:top w:val="nil"/>
              <w:left w:val="nil"/>
              <w:bottom w:val="nil"/>
              <w:right w:val="nil"/>
            </w:tcBorders>
          </w:tcPr>
          <w:p w14:paraId="7FDAD736">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1.82</w:t>
            </w:r>
          </w:p>
        </w:tc>
        <w:tc>
          <w:tcPr>
            <w:tcW w:w="1276" w:type="dxa"/>
            <w:tcBorders>
              <w:top w:val="nil"/>
              <w:left w:val="nil"/>
              <w:bottom w:val="nil"/>
              <w:right w:val="nil"/>
            </w:tcBorders>
          </w:tcPr>
          <w:p w14:paraId="097F29D5">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280×280</w:t>
            </w:r>
          </w:p>
        </w:tc>
        <w:tc>
          <w:tcPr>
            <w:tcW w:w="1134" w:type="dxa"/>
            <w:tcBorders>
              <w:top w:val="nil"/>
              <w:left w:val="nil"/>
              <w:bottom w:val="nil"/>
              <w:right w:val="nil"/>
            </w:tcBorders>
          </w:tcPr>
          <w:p w14:paraId="6E74838D">
            <w:pPr>
              <w:jc w:val="center"/>
              <w:rPr>
                <w:rFonts w:ascii="Times New Roman" w:hAnsi="Times New Roman" w:cs="Times New Roman"/>
                <w:szCs w:val="21"/>
              </w:rPr>
            </w:pPr>
            <w:r>
              <w:rPr>
                <w:rFonts w:ascii="Times New Roman" w:hAnsi="Times New Roman" w:cs="Times New Roman"/>
                <w:szCs w:val="21"/>
              </w:rPr>
              <w:t>288×208</w:t>
            </w:r>
          </w:p>
        </w:tc>
        <w:tc>
          <w:tcPr>
            <w:tcW w:w="1701" w:type="dxa"/>
            <w:tcBorders>
              <w:top w:val="nil"/>
              <w:left w:val="nil"/>
              <w:bottom w:val="nil"/>
              <w:right w:val="nil"/>
            </w:tcBorders>
          </w:tcPr>
          <w:p w14:paraId="06E7BAC0">
            <w:pPr>
              <w:jc w:val="center"/>
              <w:rPr>
                <w:rFonts w:ascii="Times New Roman" w:hAnsi="Times New Roman" w:cs="Times New Roman"/>
                <w:szCs w:val="21"/>
              </w:rPr>
            </w:pPr>
            <w:r>
              <w:rPr>
                <w:rFonts w:ascii="Times New Roman" w:hAnsi="Times New Roman" w:cs="Times New Roman"/>
                <w:szCs w:val="21"/>
              </w:rPr>
              <w:t>15</w:t>
            </w:r>
          </w:p>
        </w:tc>
        <w:tc>
          <w:tcPr>
            <w:tcW w:w="1559" w:type="dxa"/>
            <w:tcBorders>
              <w:top w:val="nil"/>
              <w:left w:val="nil"/>
              <w:bottom w:val="nil"/>
              <w:right w:val="nil"/>
            </w:tcBorders>
          </w:tcPr>
          <w:p w14:paraId="02F41B6A">
            <w:pPr>
              <w:jc w:val="center"/>
              <w:rPr>
                <w:rFonts w:ascii="Times New Roman" w:hAnsi="Times New Roman" w:cs="Times New Roman"/>
                <w:szCs w:val="21"/>
              </w:rPr>
            </w:pPr>
            <w:r>
              <w:rPr>
                <w:rFonts w:ascii="Times New Roman" w:hAnsi="Times New Roman" w:cs="Times New Roman"/>
                <w:szCs w:val="21"/>
              </w:rPr>
              <w:t>326</w:t>
            </w:r>
          </w:p>
        </w:tc>
        <w:tc>
          <w:tcPr>
            <w:tcW w:w="1701" w:type="dxa"/>
            <w:tcBorders>
              <w:top w:val="nil"/>
              <w:left w:val="nil"/>
              <w:bottom w:val="nil"/>
              <w:right w:val="nil"/>
            </w:tcBorders>
          </w:tcPr>
          <w:p w14:paraId="69CC65CE">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w:t>
            </w:r>
          </w:p>
        </w:tc>
      </w:tr>
      <w:tr w14:paraId="4121E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127" w:type="dxa"/>
            <w:vMerge w:val="restart"/>
            <w:tcBorders>
              <w:top w:val="nil"/>
              <w:left w:val="nil"/>
              <w:right w:val="nil"/>
            </w:tcBorders>
          </w:tcPr>
          <w:p w14:paraId="4EE88688">
            <w:pP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GE Signa </w:t>
            </w:r>
          </w:p>
        </w:tc>
        <w:tc>
          <w:tcPr>
            <w:tcW w:w="1134" w:type="dxa"/>
            <w:tcBorders>
              <w:top w:val="nil"/>
              <w:left w:val="nil"/>
              <w:bottom w:val="nil"/>
              <w:right w:val="nil"/>
            </w:tcBorders>
          </w:tcPr>
          <w:p w14:paraId="497DFF0D">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WI</w:t>
            </w:r>
          </w:p>
        </w:tc>
        <w:tc>
          <w:tcPr>
            <w:tcW w:w="992" w:type="dxa"/>
            <w:tcBorders>
              <w:top w:val="nil"/>
              <w:left w:val="nil"/>
              <w:bottom w:val="nil"/>
              <w:right w:val="nil"/>
            </w:tcBorders>
          </w:tcPr>
          <w:p w14:paraId="01AE61EE">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4721</w:t>
            </w:r>
          </w:p>
        </w:tc>
        <w:tc>
          <w:tcPr>
            <w:tcW w:w="992" w:type="dxa"/>
            <w:tcBorders>
              <w:top w:val="nil"/>
              <w:left w:val="nil"/>
              <w:bottom w:val="nil"/>
              <w:right w:val="nil"/>
            </w:tcBorders>
          </w:tcPr>
          <w:p w14:paraId="19EF9086">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8</w:t>
            </w:r>
            <w:r>
              <w:rPr>
                <w:rFonts w:ascii="Times New Roman" w:hAnsi="Times New Roman" w:cs="Times New Roman"/>
                <w:color w:val="000000" w:themeColor="text1"/>
                <w:szCs w:val="21"/>
                <w14:textFill>
                  <w14:solidFill>
                    <w14:schemeClr w14:val="tx1"/>
                  </w14:solidFill>
                </w14:textFill>
              </w:rPr>
              <w:t>7</w:t>
            </w:r>
          </w:p>
        </w:tc>
        <w:tc>
          <w:tcPr>
            <w:tcW w:w="1276" w:type="dxa"/>
            <w:tcBorders>
              <w:top w:val="nil"/>
              <w:left w:val="nil"/>
              <w:bottom w:val="nil"/>
              <w:right w:val="nil"/>
            </w:tcBorders>
          </w:tcPr>
          <w:p w14:paraId="16882CD7">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260×220</w:t>
            </w:r>
          </w:p>
        </w:tc>
        <w:tc>
          <w:tcPr>
            <w:tcW w:w="1134" w:type="dxa"/>
            <w:tcBorders>
              <w:top w:val="nil"/>
              <w:left w:val="nil"/>
              <w:bottom w:val="nil"/>
              <w:right w:val="nil"/>
            </w:tcBorders>
          </w:tcPr>
          <w:p w14:paraId="012CFB84">
            <w:pPr>
              <w:jc w:val="center"/>
              <w:rPr>
                <w:rFonts w:ascii="Times New Roman" w:hAnsi="Times New Roman" w:cs="Times New Roman"/>
                <w:szCs w:val="21"/>
              </w:rPr>
            </w:pPr>
            <w:r>
              <w:rPr>
                <w:rFonts w:ascii="Times New Roman" w:hAnsi="Times New Roman" w:cs="Times New Roman"/>
                <w:szCs w:val="21"/>
              </w:rPr>
              <w:t>160</w:t>
            </w:r>
            <w:r>
              <w:rPr>
                <w:rFonts w:hint="eastAsia" w:ascii="Times New Roman" w:hAnsi="Times New Roman" w:cs="Times New Roman"/>
                <w:szCs w:val="21"/>
              </w:rPr>
              <w:t>×1</w:t>
            </w:r>
            <w:r>
              <w:rPr>
                <w:rFonts w:ascii="Times New Roman" w:hAnsi="Times New Roman" w:cs="Times New Roman"/>
                <w:szCs w:val="21"/>
              </w:rPr>
              <w:t>12</w:t>
            </w:r>
          </w:p>
        </w:tc>
        <w:tc>
          <w:tcPr>
            <w:tcW w:w="1701" w:type="dxa"/>
            <w:tcBorders>
              <w:top w:val="nil"/>
              <w:left w:val="nil"/>
              <w:bottom w:val="nil"/>
              <w:right w:val="nil"/>
            </w:tcBorders>
          </w:tcPr>
          <w:p w14:paraId="35B9AE67">
            <w:pPr>
              <w:jc w:val="center"/>
              <w:rPr>
                <w:rFonts w:ascii="Times New Roman" w:hAnsi="Times New Roman" w:cs="Times New Roman"/>
                <w:szCs w:val="21"/>
              </w:rPr>
            </w:pPr>
            <w:r>
              <w:rPr>
                <w:rFonts w:ascii="Times New Roman" w:hAnsi="Times New Roman" w:cs="Times New Roman"/>
                <w:szCs w:val="21"/>
              </w:rPr>
              <w:t>9</w:t>
            </w:r>
          </w:p>
        </w:tc>
        <w:tc>
          <w:tcPr>
            <w:tcW w:w="1559" w:type="dxa"/>
            <w:tcBorders>
              <w:top w:val="nil"/>
              <w:left w:val="nil"/>
              <w:bottom w:val="nil"/>
              <w:right w:val="nil"/>
            </w:tcBorders>
          </w:tcPr>
          <w:p w14:paraId="2F6468C8">
            <w:pPr>
              <w:jc w:val="center"/>
              <w:rPr>
                <w:rFonts w:ascii="Times New Roman" w:hAnsi="Times New Roman" w:cs="Times New Roman"/>
                <w:szCs w:val="21"/>
              </w:rPr>
            </w:pPr>
            <w:r>
              <w:rPr>
                <w:rFonts w:ascii="Times New Roman" w:hAnsi="Times New Roman" w:cs="Times New Roman"/>
                <w:szCs w:val="21"/>
              </w:rPr>
              <w:t>446</w:t>
            </w:r>
          </w:p>
        </w:tc>
        <w:tc>
          <w:tcPr>
            <w:tcW w:w="1701" w:type="dxa"/>
            <w:tcBorders>
              <w:top w:val="nil"/>
              <w:left w:val="nil"/>
              <w:bottom w:val="nil"/>
              <w:right w:val="nil"/>
            </w:tcBorders>
          </w:tcPr>
          <w:p w14:paraId="3A148AE9">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w:t>
            </w:r>
          </w:p>
        </w:tc>
      </w:tr>
      <w:tr w14:paraId="348C9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127" w:type="dxa"/>
            <w:vMerge w:val="continue"/>
            <w:tcBorders>
              <w:left w:val="nil"/>
              <w:right w:val="nil"/>
            </w:tcBorders>
          </w:tcPr>
          <w:p w14:paraId="4C9C9455">
            <w:pPr>
              <w:rPr>
                <w:rFonts w:ascii="Times New Roman" w:hAnsi="Times New Roman" w:cs="Times New Roman"/>
                <w:color w:val="000000" w:themeColor="text1"/>
                <w:szCs w:val="21"/>
                <w14:textFill>
                  <w14:solidFill>
                    <w14:schemeClr w14:val="tx1"/>
                  </w14:solidFill>
                </w14:textFill>
              </w:rPr>
            </w:pPr>
          </w:p>
        </w:tc>
        <w:tc>
          <w:tcPr>
            <w:tcW w:w="1134" w:type="dxa"/>
            <w:tcBorders>
              <w:top w:val="nil"/>
              <w:left w:val="nil"/>
              <w:bottom w:val="nil"/>
              <w:right w:val="nil"/>
            </w:tcBorders>
          </w:tcPr>
          <w:p w14:paraId="2DF34DE8">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T2WI</w:t>
            </w:r>
          </w:p>
        </w:tc>
        <w:tc>
          <w:tcPr>
            <w:tcW w:w="992" w:type="dxa"/>
            <w:tcBorders>
              <w:top w:val="nil"/>
              <w:left w:val="nil"/>
              <w:bottom w:val="nil"/>
              <w:right w:val="nil"/>
            </w:tcBorders>
          </w:tcPr>
          <w:p w14:paraId="6A008CA1">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3283</w:t>
            </w:r>
          </w:p>
        </w:tc>
        <w:tc>
          <w:tcPr>
            <w:tcW w:w="992" w:type="dxa"/>
            <w:tcBorders>
              <w:top w:val="nil"/>
              <w:left w:val="nil"/>
              <w:bottom w:val="nil"/>
              <w:right w:val="nil"/>
            </w:tcBorders>
          </w:tcPr>
          <w:p w14:paraId="321FE40A">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87</w:t>
            </w:r>
          </w:p>
        </w:tc>
        <w:tc>
          <w:tcPr>
            <w:tcW w:w="1276" w:type="dxa"/>
            <w:tcBorders>
              <w:top w:val="nil"/>
              <w:left w:val="nil"/>
              <w:bottom w:val="nil"/>
              <w:right w:val="nil"/>
            </w:tcBorders>
          </w:tcPr>
          <w:p w14:paraId="0C7C2E86">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360×360</w:t>
            </w:r>
          </w:p>
        </w:tc>
        <w:tc>
          <w:tcPr>
            <w:tcW w:w="1134" w:type="dxa"/>
            <w:tcBorders>
              <w:top w:val="nil"/>
              <w:left w:val="nil"/>
              <w:bottom w:val="nil"/>
              <w:right w:val="nil"/>
            </w:tcBorders>
          </w:tcPr>
          <w:p w14:paraId="13118AD2">
            <w:pPr>
              <w:jc w:val="center"/>
              <w:rPr>
                <w:rFonts w:ascii="Times New Roman" w:hAnsi="Times New Roman" w:cs="Times New Roman"/>
                <w:szCs w:val="21"/>
              </w:rPr>
            </w:pPr>
            <w:r>
              <w:rPr>
                <w:rFonts w:ascii="Times New Roman" w:hAnsi="Times New Roman" w:cs="Times New Roman"/>
                <w:szCs w:val="21"/>
              </w:rPr>
              <w:t>384×202</w:t>
            </w:r>
          </w:p>
        </w:tc>
        <w:tc>
          <w:tcPr>
            <w:tcW w:w="1701" w:type="dxa"/>
            <w:tcBorders>
              <w:top w:val="nil"/>
              <w:left w:val="nil"/>
              <w:bottom w:val="nil"/>
              <w:right w:val="nil"/>
            </w:tcBorders>
          </w:tcPr>
          <w:p w14:paraId="23076059">
            <w:pPr>
              <w:jc w:val="center"/>
              <w:rPr>
                <w:rFonts w:ascii="Times New Roman" w:hAnsi="Times New Roman" w:cs="Times New Roman"/>
                <w:szCs w:val="21"/>
              </w:rPr>
            </w:pPr>
            <w:r>
              <w:rPr>
                <w:rFonts w:ascii="Times New Roman" w:hAnsi="Times New Roman" w:cs="Times New Roman"/>
                <w:szCs w:val="21"/>
              </w:rPr>
              <w:t>150</w:t>
            </w:r>
          </w:p>
        </w:tc>
        <w:tc>
          <w:tcPr>
            <w:tcW w:w="1559" w:type="dxa"/>
            <w:tcBorders>
              <w:top w:val="nil"/>
              <w:left w:val="nil"/>
              <w:bottom w:val="nil"/>
              <w:right w:val="nil"/>
            </w:tcBorders>
          </w:tcPr>
          <w:p w14:paraId="6D0809CD">
            <w:pPr>
              <w:jc w:val="center"/>
              <w:rPr>
                <w:rFonts w:ascii="Times New Roman" w:hAnsi="Times New Roman" w:cs="Times New Roman"/>
                <w:szCs w:val="21"/>
              </w:rPr>
            </w:pPr>
            <w:r>
              <w:rPr>
                <w:rFonts w:ascii="Times New Roman" w:hAnsi="Times New Roman" w:cs="Times New Roman"/>
                <w:szCs w:val="21"/>
              </w:rPr>
              <w:t>260</w:t>
            </w:r>
          </w:p>
        </w:tc>
        <w:tc>
          <w:tcPr>
            <w:tcW w:w="1701" w:type="dxa"/>
            <w:tcBorders>
              <w:top w:val="nil"/>
              <w:left w:val="nil"/>
              <w:bottom w:val="nil"/>
              <w:right w:val="nil"/>
            </w:tcBorders>
          </w:tcPr>
          <w:p w14:paraId="686CE4A6">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5</w:t>
            </w:r>
          </w:p>
        </w:tc>
      </w:tr>
      <w:tr w14:paraId="2C9E4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2127" w:type="dxa"/>
            <w:vMerge w:val="continue"/>
            <w:tcBorders>
              <w:left w:val="nil"/>
              <w:bottom w:val="nil"/>
              <w:right w:val="nil"/>
            </w:tcBorders>
          </w:tcPr>
          <w:p w14:paraId="0FE82B19">
            <w:pPr>
              <w:rPr>
                <w:rFonts w:ascii="Times New Roman" w:hAnsi="Times New Roman" w:cs="Times New Roman"/>
                <w:color w:val="000000" w:themeColor="text1"/>
                <w:szCs w:val="21"/>
                <w14:textFill>
                  <w14:solidFill>
                    <w14:schemeClr w14:val="tx1"/>
                  </w14:solidFill>
                </w14:textFill>
              </w:rPr>
            </w:pPr>
          </w:p>
        </w:tc>
        <w:tc>
          <w:tcPr>
            <w:tcW w:w="1134" w:type="dxa"/>
            <w:tcBorders>
              <w:top w:val="nil"/>
              <w:left w:val="nil"/>
              <w:bottom w:val="nil"/>
              <w:right w:val="nil"/>
            </w:tcBorders>
          </w:tcPr>
          <w:p w14:paraId="58CA1E25">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T1WI + C</w:t>
            </w:r>
          </w:p>
        </w:tc>
        <w:tc>
          <w:tcPr>
            <w:tcW w:w="992" w:type="dxa"/>
            <w:tcBorders>
              <w:top w:val="nil"/>
              <w:left w:val="nil"/>
              <w:bottom w:val="nil"/>
              <w:right w:val="nil"/>
            </w:tcBorders>
          </w:tcPr>
          <w:p w14:paraId="5CF356E5">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4.1</w:t>
            </w:r>
          </w:p>
        </w:tc>
        <w:tc>
          <w:tcPr>
            <w:tcW w:w="992" w:type="dxa"/>
            <w:tcBorders>
              <w:top w:val="nil"/>
              <w:left w:val="nil"/>
              <w:bottom w:val="nil"/>
              <w:right w:val="nil"/>
            </w:tcBorders>
          </w:tcPr>
          <w:p w14:paraId="7E5966C7">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1.96</w:t>
            </w:r>
          </w:p>
        </w:tc>
        <w:tc>
          <w:tcPr>
            <w:tcW w:w="1276" w:type="dxa"/>
            <w:tcBorders>
              <w:top w:val="nil"/>
              <w:left w:val="nil"/>
              <w:bottom w:val="nil"/>
              <w:right w:val="nil"/>
            </w:tcBorders>
          </w:tcPr>
          <w:p w14:paraId="46C8ED75">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260×280</w:t>
            </w:r>
          </w:p>
        </w:tc>
        <w:tc>
          <w:tcPr>
            <w:tcW w:w="1134" w:type="dxa"/>
            <w:tcBorders>
              <w:top w:val="nil"/>
              <w:left w:val="nil"/>
              <w:bottom w:val="nil"/>
              <w:right w:val="nil"/>
            </w:tcBorders>
          </w:tcPr>
          <w:p w14:paraId="254A8370">
            <w:pPr>
              <w:jc w:val="center"/>
              <w:rPr>
                <w:rFonts w:ascii="Times New Roman" w:hAnsi="Times New Roman" w:cs="Times New Roman"/>
                <w:szCs w:val="21"/>
              </w:rPr>
            </w:pPr>
            <w:r>
              <w:rPr>
                <w:rFonts w:ascii="Times New Roman" w:hAnsi="Times New Roman" w:cs="Times New Roman"/>
                <w:szCs w:val="21"/>
              </w:rPr>
              <w:t>320×176</w:t>
            </w:r>
          </w:p>
        </w:tc>
        <w:tc>
          <w:tcPr>
            <w:tcW w:w="1701" w:type="dxa"/>
            <w:tcBorders>
              <w:top w:val="nil"/>
              <w:left w:val="nil"/>
              <w:bottom w:val="nil"/>
              <w:right w:val="nil"/>
            </w:tcBorders>
          </w:tcPr>
          <w:p w14:paraId="36A122AD">
            <w:pPr>
              <w:jc w:val="center"/>
              <w:rPr>
                <w:rFonts w:ascii="Times New Roman" w:hAnsi="Times New Roman" w:cs="Times New Roman"/>
                <w:szCs w:val="21"/>
              </w:rPr>
            </w:pPr>
            <w:r>
              <w:rPr>
                <w:rFonts w:ascii="Times New Roman" w:hAnsi="Times New Roman" w:cs="Times New Roman"/>
                <w:szCs w:val="21"/>
              </w:rPr>
              <w:t>9</w:t>
            </w:r>
          </w:p>
        </w:tc>
        <w:tc>
          <w:tcPr>
            <w:tcW w:w="1559" w:type="dxa"/>
            <w:tcBorders>
              <w:top w:val="nil"/>
              <w:left w:val="nil"/>
              <w:bottom w:val="nil"/>
              <w:right w:val="nil"/>
            </w:tcBorders>
          </w:tcPr>
          <w:p w14:paraId="5EBC0928">
            <w:pPr>
              <w:jc w:val="center"/>
              <w:rPr>
                <w:rFonts w:ascii="Times New Roman" w:hAnsi="Times New Roman" w:cs="Times New Roman"/>
                <w:szCs w:val="21"/>
              </w:rPr>
            </w:pPr>
            <w:r>
              <w:rPr>
                <w:rFonts w:ascii="Times New Roman" w:hAnsi="Times New Roman" w:cs="Times New Roman"/>
                <w:szCs w:val="21"/>
              </w:rPr>
              <w:t>446</w:t>
            </w:r>
          </w:p>
        </w:tc>
        <w:tc>
          <w:tcPr>
            <w:tcW w:w="1701" w:type="dxa"/>
            <w:tcBorders>
              <w:top w:val="nil"/>
              <w:left w:val="nil"/>
              <w:bottom w:val="nil"/>
              <w:right w:val="nil"/>
            </w:tcBorders>
          </w:tcPr>
          <w:p w14:paraId="6EB83A37">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w:t>
            </w:r>
          </w:p>
        </w:tc>
      </w:tr>
      <w:tr w14:paraId="36A54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127" w:type="dxa"/>
            <w:tcBorders>
              <w:top w:val="nil"/>
              <w:left w:val="nil"/>
              <w:bottom w:val="nil"/>
              <w:right w:val="nil"/>
            </w:tcBorders>
          </w:tcPr>
          <w:p w14:paraId="4ED8FF71">
            <w:pPr>
              <w:tabs>
                <w:tab w:val="right" w:pos="1705"/>
              </w:tabs>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Institution 3</w:t>
            </w:r>
            <w:r>
              <w:rPr>
                <w:rFonts w:ascii="Times New Roman" w:hAnsi="Times New Roman" w:cs="Times New Roman"/>
                <w:b/>
                <w:bCs/>
                <w:color w:val="000000" w:themeColor="text1"/>
                <w:szCs w:val="21"/>
                <w14:textFill>
                  <w14:solidFill>
                    <w14:schemeClr w14:val="tx1"/>
                  </w14:solidFill>
                </w14:textFill>
              </w:rPr>
              <w:tab/>
            </w:r>
          </w:p>
        </w:tc>
        <w:tc>
          <w:tcPr>
            <w:tcW w:w="1134" w:type="dxa"/>
            <w:tcBorders>
              <w:top w:val="nil"/>
              <w:left w:val="nil"/>
              <w:bottom w:val="nil"/>
              <w:right w:val="nil"/>
            </w:tcBorders>
          </w:tcPr>
          <w:p w14:paraId="75CC8463">
            <w:pPr>
              <w:jc w:val="center"/>
              <w:rPr>
                <w:rFonts w:ascii="Times New Roman" w:hAnsi="Times New Roman" w:cs="Times New Roman"/>
                <w:color w:val="000000" w:themeColor="text1"/>
                <w:szCs w:val="21"/>
                <w14:textFill>
                  <w14:solidFill>
                    <w14:schemeClr w14:val="tx1"/>
                  </w14:solidFill>
                </w14:textFill>
              </w:rPr>
            </w:pPr>
          </w:p>
        </w:tc>
        <w:tc>
          <w:tcPr>
            <w:tcW w:w="992" w:type="dxa"/>
            <w:tcBorders>
              <w:top w:val="nil"/>
              <w:left w:val="nil"/>
              <w:bottom w:val="nil"/>
              <w:right w:val="nil"/>
            </w:tcBorders>
          </w:tcPr>
          <w:p w14:paraId="41FFD136">
            <w:pPr>
              <w:jc w:val="center"/>
              <w:rPr>
                <w:rFonts w:ascii="Times New Roman" w:hAnsi="Times New Roman" w:cs="Times New Roman"/>
                <w:color w:val="000000" w:themeColor="text1"/>
                <w:szCs w:val="21"/>
                <w14:textFill>
                  <w14:solidFill>
                    <w14:schemeClr w14:val="tx1"/>
                  </w14:solidFill>
                </w14:textFill>
              </w:rPr>
            </w:pPr>
          </w:p>
        </w:tc>
        <w:tc>
          <w:tcPr>
            <w:tcW w:w="992" w:type="dxa"/>
            <w:tcBorders>
              <w:top w:val="nil"/>
              <w:left w:val="nil"/>
              <w:bottom w:val="nil"/>
              <w:right w:val="nil"/>
            </w:tcBorders>
          </w:tcPr>
          <w:p w14:paraId="0E09D937">
            <w:pPr>
              <w:jc w:val="center"/>
              <w:rPr>
                <w:rFonts w:ascii="Times New Roman" w:hAnsi="Times New Roman" w:cs="Times New Roman"/>
                <w:color w:val="000000" w:themeColor="text1"/>
                <w:szCs w:val="21"/>
                <w14:textFill>
                  <w14:solidFill>
                    <w14:schemeClr w14:val="tx1"/>
                  </w14:solidFill>
                </w14:textFill>
              </w:rPr>
            </w:pPr>
          </w:p>
        </w:tc>
        <w:tc>
          <w:tcPr>
            <w:tcW w:w="1276" w:type="dxa"/>
            <w:tcBorders>
              <w:top w:val="nil"/>
              <w:left w:val="nil"/>
              <w:bottom w:val="nil"/>
              <w:right w:val="nil"/>
            </w:tcBorders>
          </w:tcPr>
          <w:p w14:paraId="2ADEC93B">
            <w:pPr>
              <w:jc w:val="center"/>
              <w:rPr>
                <w:rFonts w:ascii="Times New Roman" w:hAnsi="Times New Roman" w:cs="Times New Roman"/>
                <w:color w:val="000000" w:themeColor="text1"/>
                <w:szCs w:val="21"/>
                <w14:textFill>
                  <w14:solidFill>
                    <w14:schemeClr w14:val="tx1"/>
                  </w14:solidFill>
                </w14:textFill>
              </w:rPr>
            </w:pPr>
          </w:p>
        </w:tc>
        <w:tc>
          <w:tcPr>
            <w:tcW w:w="1134" w:type="dxa"/>
            <w:tcBorders>
              <w:top w:val="nil"/>
              <w:left w:val="nil"/>
              <w:bottom w:val="nil"/>
              <w:right w:val="nil"/>
            </w:tcBorders>
          </w:tcPr>
          <w:p w14:paraId="3FDAA364">
            <w:pPr>
              <w:jc w:val="center"/>
              <w:rPr>
                <w:rFonts w:ascii="Times New Roman" w:hAnsi="Times New Roman" w:cs="Times New Roman"/>
                <w:szCs w:val="21"/>
              </w:rPr>
            </w:pPr>
          </w:p>
        </w:tc>
        <w:tc>
          <w:tcPr>
            <w:tcW w:w="1701" w:type="dxa"/>
            <w:tcBorders>
              <w:top w:val="nil"/>
              <w:left w:val="nil"/>
              <w:bottom w:val="nil"/>
              <w:right w:val="nil"/>
            </w:tcBorders>
          </w:tcPr>
          <w:p w14:paraId="41BB0DB1">
            <w:pPr>
              <w:jc w:val="center"/>
              <w:rPr>
                <w:rFonts w:ascii="Times New Roman" w:hAnsi="Times New Roman" w:cs="Times New Roman"/>
                <w:szCs w:val="21"/>
              </w:rPr>
            </w:pPr>
          </w:p>
        </w:tc>
        <w:tc>
          <w:tcPr>
            <w:tcW w:w="1559" w:type="dxa"/>
            <w:tcBorders>
              <w:top w:val="nil"/>
              <w:left w:val="nil"/>
              <w:bottom w:val="nil"/>
              <w:right w:val="nil"/>
            </w:tcBorders>
          </w:tcPr>
          <w:p w14:paraId="40091B63">
            <w:pPr>
              <w:jc w:val="center"/>
              <w:rPr>
                <w:rFonts w:ascii="Times New Roman" w:hAnsi="Times New Roman" w:cs="Times New Roman"/>
                <w:szCs w:val="21"/>
              </w:rPr>
            </w:pPr>
          </w:p>
        </w:tc>
        <w:tc>
          <w:tcPr>
            <w:tcW w:w="1701" w:type="dxa"/>
            <w:tcBorders>
              <w:top w:val="nil"/>
              <w:left w:val="nil"/>
              <w:bottom w:val="nil"/>
              <w:right w:val="nil"/>
            </w:tcBorders>
          </w:tcPr>
          <w:p w14:paraId="386C87DF">
            <w:pPr>
              <w:jc w:val="center"/>
              <w:rPr>
                <w:rFonts w:ascii="Times New Roman" w:hAnsi="Times New Roman" w:cs="Times New Roman"/>
                <w:color w:val="000000" w:themeColor="text1"/>
                <w:szCs w:val="21"/>
                <w14:textFill>
                  <w14:solidFill>
                    <w14:schemeClr w14:val="tx1"/>
                  </w14:solidFill>
                </w14:textFill>
              </w:rPr>
            </w:pPr>
          </w:p>
        </w:tc>
      </w:tr>
      <w:tr w14:paraId="19143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127" w:type="dxa"/>
            <w:vMerge w:val="restart"/>
            <w:tcBorders>
              <w:top w:val="nil"/>
              <w:left w:val="nil"/>
              <w:right w:val="nil"/>
            </w:tcBorders>
          </w:tcPr>
          <w:p w14:paraId="7D9C3F62">
            <w:pP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SIEMENS Avanto </w:t>
            </w:r>
          </w:p>
          <w:p w14:paraId="6E388E28">
            <w:pPr>
              <w:rPr>
                <w:rFonts w:ascii="Times New Roman" w:hAnsi="Times New Roman" w:cs="Times New Roman"/>
                <w:color w:val="000000" w:themeColor="text1"/>
                <w:szCs w:val="21"/>
                <w14:textFill>
                  <w14:solidFill>
                    <w14:schemeClr w14:val="tx1"/>
                  </w14:solidFill>
                </w14:textFill>
              </w:rPr>
            </w:pPr>
          </w:p>
        </w:tc>
        <w:tc>
          <w:tcPr>
            <w:tcW w:w="1134" w:type="dxa"/>
            <w:tcBorders>
              <w:top w:val="nil"/>
              <w:left w:val="nil"/>
              <w:bottom w:val="nil"/>
              <w:right w:val="nil"/>
            </w:tcBorders>
          </w:tcPr>
          <w:p w14:paraId="0AB2829B">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D</w:t>
            </w:r>
            <w:r>
              <w:rPr>
                <w:rFonts w:ascii="Times New Roman" w:hAnsi="Times New Roman" w:cs="Times New Roman"/>
                <w:color w:val="000000" w:themeColor="text1"/>
                <w:szCs w:val="21"/>
                <w14:textFill>
                  <w14:solidFill>
                    <w14:schemeClr w14:val="tx1"/>
                  </w14:solidFill>
                </w14:textFill>
              </w:rPr>
              <w:t>WI</w:t>
            </w:r>
          </w:p>
        </w:tc>
        <w:tc>
          <w:tcPr>
            <w:tcW w:w="992" w:type="dxa"/>
            <w:tcBorders>
              <w:top w:val="nil"/>
              <w:left w:val="nil"/>
              <w:bottom w:val="nil"/>
              <w:right w:val="nil"/>
            </w:tcBorders>
          </w:tcPr>
          <w:p w14:paraId="7D492156">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6</w:t>
            </w:r>
            <w:r>
              <w:rPr>
                <w:rFonts w:ascii="Times New Roman" w:hAnsi="Times New Roman" w:cs="Times New Roman"/>
                <w:color w:val="000000" w:themeColor="text1"/>
                <w:szCs w:val="21"/>
                <w14:textFill>
                  <w14:solidFill>
                    <w14:schemeClr w14:val="tx1"/>
                  </w14:solidFill>
                </w14:textFill>
              </w:rPr>
              <w:t>000</w:t>
            </w:r>
          </w:p>
        </w:tc>
        <w:tc>
          <w:tcPr>
            <w:tcW w:w="992" w:type="dxa"/>
            <w:tcBorders>
              <w:top w:val="nil"/>
              <w:left w:val="nil"/>
              <w:bottom w:val="nil"/>
              <w:right w:val="nil"/>
            </w:tcBorders>
          </w:tcPr>
          <w:p w14:paraId="7990E6CF">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5</w:t>
            </w:r>
            <w:r>
              <w:rPr>
                <w:rFonts w:ascii="Times New Roman" w:hAnsi="Times New Roman" w:cs="Times New Roman"/>
                <w:color w:val="000000" w:themeColor="text1"/>
                <w:szCs w:val="21"/>
                <w14:textFill>
                  <w14:solidFill>
                    <w14:schemeClr w14:val="tx1"/>
                  </w14:solidFill>
                </w14:textFill>
              </w:rPr>
              <w:t>5</w:t>
            </w:r>
          </w:p>
        </w:tc>
        <w:tc>
          <w:tcPr>
            <w:tcW w:w="1276" w:type="dxa"/>
            <w:tcBorders>
              <w:top w:val="nil"/>
              <w:left w:val="nil"/>
              <w:bottom w:val="nil"/>
              <w:right w:val="nil"/>
            </w:tcBorders>
          </w:tcPr>
          <w:p w14:paraId="46F39C18">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200×180</w:t>
            </w:r>
          </w:p>
        </w:tc>
        <w:tc>
          <w:tcPr>
            <w:tcW w:w="1134" w:type="dxa"/>
            <w:tcBorders>
              <w:top w:val="nil"/>
              <w:left w:val="nil"/>
              <w:bottom w:val="nil"/>
              <w:right w:val="nil"/>
            </w:tcBorders>
          </w:tcPr>
          <w:p w14:paraId="0AB8192B">
            <w:pPr>
              <w:jc w:val="center"/>
              <w:rPr>
                <w:rFonts w:ascii="Times New Roman" w:hAnsi="Times New Roman" w:cs="Times New Roman"/>
                <w:szCs w:val="21"/>
              </w:rPr>
            </w:pPr>
            <w:r>
              <w:rPr>
                <w:rFonts w:ascii="Times New Roman" w:hAnsi="Times New Roman" w:cs="Times New Roman"/>
                <w:szCs w:val="21"/>
              </w:rPr>
              <w:t>256×256</w:t>
            </w:r>
          </w:p>
        </w:tc>
        <w:tc>
          <w:tcPr>
            <w:tcW w:w="1701" w:type="dxa"/>
            <w:tcBorders>
              <w:top w:val="nil"/>
              <w:left w:val="nil"/>
              <w:bottom w:val="nil"/>
              <w:right w:val="nil"/>
            </w:tcBorders>
          </w:tcPr>
          <w:p w14:paraId="53AA2EEF">
            <w:pPr>
              <w:jc w:val="center"/>
              <w:rPr>
                <w:rFonts w:ascii="Times New Roman" w:hAnsi="Times New Roman" w:cs="Times New Roman"/>
                <w:szCs w:val="21"/>
              </w:rPr>
            </w:pPr>
            <w:r>
              <w:rPr>
                <w:rFonts w:ascii="Times New Roman" w:hAnsi="Times New Roman" w:cs="Times New Roman"/>
                <w:szCs w:val="21"/>
              </w:rPr>
              <w:t>10</w:t>
            </w:r>
          </w:p>
        </w:tc>
        <w:tc>
          <w:tcPr>
            <w:tcW w:w="1559" w:type="dxa"/>
            <w:tcBorders>
              <w:top w:val="nil"/>
              <w:left w:val="nil"/>
              <w:bottom w:val="nil"/>
              <w:right w:val="nil"/>
            </w:tcBorders>
          </w:tcPr>
          <w:p w14:paraId="42D75606">
            <w:pPr>
              <w:jc w:val="center"/>
              <w:rPr>
                <w:rFonts w:ascii="Times New Roman" w:hAnsi="Times New Roman" w:cs="Times New Roman"/>
                <w:szCs w:val="21"/>
              </w:rPr>
            </w:pPr>
            <w:r>
              <w:rPr>
                <w:rFonts w:ascii="Times New Roman" w:hAnsi="Times New Roman" w:cs="Times New Roman"/>
                <w:szCs w:val="21"/>
              </w:rPr>
              <w:t>1977</w:t>
            </w:r>
          </w:p>
        </w:tc>
        <w:tc>
          <w:tcPr>
            <w:tcW w:w="1701" w:type="dxa"/>
            <w:tcBorders>
              <w:top w:val="nil"/>
              <w:left w:val="nil"/>
              <w:bottom w:val="nil"/>
              <w:right w:val="nil"/>
            </w:tcBorders>
          </w:tcPr>
          <w:p w14:paraId="5A0BFDCB">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w:t>
            </w:r>
          </w:p>
        </w:tc>
      </w:tr>
      <w:tr w14:paraId="2E11E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2127" w:type="dxa"/>
            <w:vMerge w:val="continue"/>
            <w:tcBorders>
              <w:left w:val="nil"/>
              <w:right w:val="nil"/>
            </w:tcBorders>
          </w:tcPr>
          <w:p w14:paraId="37B07221">
            <w:pPr>
              <w:rPr>
                <w:rFonts w:ascii="Times New Roman" w:hAnsi="Times New Roman" w:cs="Times New Roman"/>
                <w:color w:val="000000" w:themeColor="text1"/>
                <w:szCs w:val="21"/>
                <w14:textFill>
                  <w14:solidFill>
                    <w14:schemeClr w14:val="tx1"/>
                  </w14:solidFill>
                </w14:textFill>
              </w:rPr>
            </w:pPr>
          </w:p>
        </w:tc>
        <w:tc>
          <w:tcPr>
            <w:tcW w:w="1134" w:type="dxa"/>
            <w:tcBorders>
              <w:top w:val="nil"/>
              <w:left w:val="nil"/>
              <w:bottom w:val="nil"/>
              <w:right w:val="nil"/>
            </w:tcBorders>
          </w:tcPr>
          <w:p w14:paraId="07172918">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T2WI</w:t>
            </w:r>
          </w:p>
        </w:tc>
        <w:tc>
          <w:tcPr>
            <w:tcW w:w="992" w:type="dxa"/>
            <w:tcBorders>
              <w:top w:val="nil"/>
              <w:left w:val="nil"/>
              <w:bottom w:val="nil"/>
              <w:right w:val="nil"/>
            </w:tcBorders>
          </w:tcPr>
          <w:p w14:paraId="1E902DAD">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4000</w:t>
            </w:r>
          </w:p>
        </w:tc>
        <w:tc>
          <w:tcPr>
            <w:tcW w:w="992" w:type="dxa"/>
            <w:tcBorders>
              <w:top w:val="nil"/>
              <w:left w:val="nil"/>
              <w:bottom w:val="nil"/>
              <w:right w:val="nil"/>
            </w:tcBorders>
          </w:tcPr>
          <w:p w14:paraId="1C3502EB">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w:t>
            </w:r>
            <w:r>
              <w:rPr>
                <w:rFonts w:ascii="Times New Roman" w:hAnsi="Times New Roman" w:cs="Times New Roman"/>
                <w:color w:val="000000" w:themeColor="text1"/>
                <w:szCs w:val="21"/>
                <w14:textFill>
                  <w14:solidFill>
                    <w14:schemeClr w14:val="tx1"/>
                  </w14:solidFill>
                </w14:textFill>
              </w:rPr>
              <w:t>00</w:t>
            </w:r>
          </w:p>
        </w:tc>
        <w:tc>
          <w:tcPr>
            <w:tcW w:w="1276" w:type="dxa"/>
            <w:tcBorders>
              <w:top w:val="nil"/>
              <w:left w:val="nil"/>
              <w:bottom w:val="nil"/>
              <w:right w:val="nil"/>
            </w:tcBorders>
          </w:tcPr>
          <w:p w14:paraId="38BDA645">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200×180</w:t>
            </w:r>
          </w:p>
        </w:tc>
        <w:tc>
          <w:tcPr>
            <w:tcW w:w="1134" w:type="dxa"/>
            <w:tcBorders>
              <w:top w:val="nil"/>
              <w:left w:val="nil"/>
              <w:bottom w:val="nil"/>
              <w:right w:val="nil"/>
            </w:tcBorders>
          </w:tcPr>
          <w:p w14:paraId="5EA0880C">
            <w:pPr>
              <w:jc w:val="center"/>
              <w:rPr>
                <w:rFonts w:ascii="Times New Roman" w:hAnsi="Times New Roman" w:cs="Times New Roman"/>
                <w:szCs w:val="21"/>
              </w:rPr>
            </w:pPr>
            <w:r>
              <w:rPr>
                <w:rFonts w:ascii="Times New Roman" w:hAnsi="Times New Roman" w:cs="Times New Roman"/>
                <w:szCs w:val="21"/>
              </w:rPr>
              <w:t>168×200</w:t>
            </w:r>
          </w:p>
        </w:tc>
        <w:tc>
          <w:tcPr>
            <w:tcW w:w="1701" w:type="dxa"/>
            <w:tcBorders>
              <w:top w:val="nil"/>
              <w:left w:val="nil"/>
              <w:bottom w:val="nil"/>
              <w:right w:val="nil"/>
            </w:tcBorders>
          </w:tcPr>
          <w:p w14:paraId="4F900C2D">
            <w:pPr>
              <w:jc w:val="center"/>
              <w:rPr>
                <w:rFonts w:ascii="Times New Roman" w:hAnsi="Times New Roman" w:cs="Times New Roman"/>
                <w:szCs w:val="21"/>
              </w:rPr>
            </w:pPr>
            <w:r>
              <w:rPr>
                <w:rFonts w:ascii="Times New Roman" w:hAnsi="Times New Roman" w:cs="Times New Roman"/>
                <w:szCs w:val="21"/>
              </w:rPr>
              <w:t>90</w:t>
            </w:r>
          </w:p>
        </w:tc>
        <w:tc>
          <w:tcPr>
            <w:tcW w:w="1559" w:type="dxa"/>
            <w:tcBorders>
              <w:top w:val="nil"/>
              <w:left w:val="nil"/>
              <w:bottom w:val="nil"/>
              <w:right w:val="nil"/>
            </w:tcBorders>
          </w:tcPr>
          <w:p w14:paraId="642FEFB0">
            <w:pPr>
              <w:jc w:val="center"/>
              <w:rPr>
                <w:rFonts w:ascii="Times New Roman" w:hAnsi="Times New Roman" w:cs="Times New Roman"/>
                <w:szCs w:val="21"/>
              </w:rPr>
            </w:pPr>
            <w:r>
              <w:rPr>
                <w:rFonts w:ascii="Times New Roman" w:hAnsi="Times New Roman" w:cs="Times New Roman"/>
                <w:szCs w:val="21"/>
              </w:rPr>
              <w:t>518</w:t>
            </w:r>
          </w:p>
        </w:tc>
        <w:tc>
          <w:tcPr>
            <w:tcW w:w="1701" w:type="dxa"/>
            <w:tcBorders>
              <w:top w:val="nil"/>
              <w:left w:val="nil"/>
              <w:bottom w:val="nil"/>
              <w:right w:val="nil"/>
            </w:tcBorders>
          </w:tcPr>
          <w:p w14:paraId="1E0B2EDF">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w:t>
            </w:r>
          </w:p>
        </w:tc>
      </w:tr>
      <w:tr w14:paraId="7D74F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127" w:type="dxa"/>
            <w:vMerge w:val="continue"/>
            <w:tcBorders>
              <w:top w:val="dashed" w:color="auto" w:sz="4" w:space="0"/>
              <w:left w:val="nil"/>
              <w:bottom w:val="single" w:color="auto" w:sz="4" w:space="0"/>
              <w:right w:val="nil"/>
            </w:tcBorders>
          </w:tcPr>
          <w:p w14:paraId="7F8FB45E">
            <w:pPr>
              <w:rPr>
                <w:rFonts w:ascii="Times New Roman" w:hAnsi="Times New Roman" w:cs="Times New Roman"/>
                <w:color w:val="000000" w:themeColor="text1"/>
                <w:szCs w:val="21"/>
                <w14:textFill>
                  <w14:solidFill>
                    <w14:schemeClr w14:val="tx1"/>
                  </w14:solidFill>
                </w14:textFill>
              </w:rPr>
            </w:pPr>
          </w:p>
        </w:tc>
        <w:tc>
          <w:tcPr>
            <w:tcW w:w="1134" w:type="dxa"/>
            <w:tcBorders>
              <w:top w:val="nil"/>
              <w:left w:val="nil"/>
              <w:bottom w:val="single" w:color="auto" w:sz="4" w:space="0"/>
              <w:right w:val="nil"/>
            </w:tcBorders>
          </w:tcPr>
          <w:p w14:paraId="47077FBF">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T1WI + C</w:t>
            </w:r>
          </w:p>
        </w:tc>
        <w:tc>
          <w:tcPr>
            <w:tcW w:w="992" w:type="dxa"/>
            <w:tcBorders>
              <w:top w:val="nil"/>
              <w:left w:val="nil"/>
              <w:bottom w:val="single" w:color="auto" w:sz="4" w:space="0"/>
              <w:right w:val="nil"/>
            </w:tcBorders>
          </w:tcPr>
          <w:p w14:paraId="05BC9722">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w:t>
            </w:r>
            <w:r>
              <w:rPr>
                <w:rFonts w:ascii="Times New Roman" w:hAnsi="Times New Roman" w:cs="Times New Roman"/>
                <w:color w:val="000000" w:themeColor="text1"/>
                <w:szCs w:val="21"/>
                <w14:textFill>
                  <w14:solidFill>
                    <w14:schemeClr w14:val="tx1"/>
                  </w14:solidFill>
                </w14:textFill>
              </w:rPr>
              <w:t>.65</w:t>
            </w:r>
          </w:p>
        </w:tc>
        <w:tc>
          <w:tcPr>
            <w:tcW w:w="992" w:type="dxa"/>
            <w:tcBorders>
              <w:top w:val="nil"/>
              <w:left w:val="nil"/>
              <w:bottom w:val="single" w:color="auto" w:sz="4" w:space="0"/>
              <w:right w:val="nil"/>
            </w:tcBorders>
          </w:tcPr>
          <w:p w14:paraId="2EFEB78A">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w:t>
            </w:r>
            <w:r>
              <w:rPr>
                <w:rFonts w:ascii="Times New Roman" w:hAnsi="Times New Roman" w:cs="Times New Roman"/>
                <w:color w:val="000000" w:themeColor="text1"/>
                <w:szCs w:val="21"/>
                <w14:textFill>
                  <w14:solidFill>
                    <w14:schemeClr w14:val="tx1"/>
                  </w14:solidFill>
                </w14:textFill>
              </w:rPr>
              <w:t>.55</w:t>
            </w:r>
          </w:p>
        </w:tc>
        <w:tc>
          <w:tcPr>
            <w:tcW w:w="1276" w:type="dxa"/>
            <w:tcBorders>
              <w:top w:val="nil"/>
              <w:left w:val="nil"/>
              <w:bottom w:val="single" w:color="auto" w:sz="4" w:space="0"/>
              <w:right w:val="nil"/>
            </w:tcBorders>
          </w:tcPr>
          <w:p w14:paraId="7CD3E7D8">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260×220</w:t>
            </w:r>
          </w:p>
        </w:tc>
        <w:tc>
          <w:tcPr>
            <w:tcW w:w="1134" w:type="dxa"/>
            <w:tcBorders>
              <w:top w:val="nil"/>
              <w:left w:val="nil"/>
              <w:bottom w:val="single" w:color="auto" w:sz="4" w:space="0"/>
              <w:right w:val="nil"/>
            </w:tcBorders>
          </w:tcPr>
          <w:p w14:paraId="68724AF1">
            <w:pPr>
              <w:jc w:val="center"/>
              <w:rPr>
                <w:rFonts w:ascii="Times New Roman" w:hAnsi="Times New Roman" w:cs="Times New Roman"/>
                <w:szCs w:val="21"/>
              </w:rPr>
            </w:pPr>
            <w:r>
              <w:rPr>
                <w:rFonts w:ascii="Times New Roman" w:hAnsi="Times New Roman" w:cs="Times New Roman"/>
                <w:szCs w:val="21"/>
              </w:rPr>
              <w:t>156×161</w:t>
            </w:r>
          </w:p>
        </w:tc>
        <w:tc>
          <w:tcPr>
            <w:tcW w:w="1701" w:type="dxa"/>
            <w:tcBorders>
              <w:top w:val="nil"/>
              <w:left w:val="nil"/>
              <w:bottom w:val="single" w:color="auto" w:sz="4" w:space="0"/>
              <w:right w:val="nil"/>
            </w:tcBorders>
          </w:tcPr>
          <w:p w14:paraId="03B1FAF6">
            <w:pPr>
              <w:jc w:val="center"/>
              <w:rPr>
                <w:rFonts w:ascii="Times New Roman" w:hAnsi="Times New Roman" w:cs="Times New Roman"/>
                <w:szCs w:val="21"/>
              </w:rPr>
            </w:pPr>
            <w:r>
              <w:rPr>
                <w:rFonts w:ascii="Times New Roman" w:hAnsi="Times New Roman" w:cs="Times New Roman"/>
                <w:szCs w:val="21"/>
              </w:rPr>
              <w:t>10</w:t>
            </w:r>
          </w:p>
        </w:tc>
        <w:tc>
          <w:tcPr>
            <w:tcW w:w="1559" w:type="dxa"/>
            <w:tcBorders>
              <w:top w:val="nil"/>
              <w:left w:val="nil"/>
              <w:bottom w:val="single" w:color="auto" w:sz="4" w:space="0"/>
              <w:right w:val="nil"/>
            </w:tcBorders>
          </w:tcPr>
          <w:p w14:paraId="5DF5690F">
            <w:pPr>
              <w:jc w:val="center"/>
              <w:rPr>
                <w:rFonts w:ascii="Times New Roman" w:hAnsi="Times New Roman" w:cs="Times New Roman"/>
                <w:szCs w:val="21"/>
              </w:rPr>
            </w:pPr>
            <w:r>
              <w:rPr>
                <w:rFonts w:ascii="Times New Roman" w:hAnsi="Times New Roman" w:cs="Times New Roman"/>
                <w:szCs w:val="21"/>
              </w:rPr>
              <w:t>1977</w:t>
            </w:r>
          </w:p>
        </w:tc>
        <w:tc>
          <w:tcPr>
            <w:tcW w:w="1701" w:type="dxa"/>
            <w:tcBorders>
              <w:top w:val="nil"/>
              <w:left w:val="nil"/>
              <w:bottom w:val="single" w:color="auto" w:sz="4" w:space="0"/>
              <w:right w:val="nil"/>
            </w:tcBorders>
          </w:tcPr>
          <w:p w14:paraId="2ACC5F68">
            <w:pPr>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w:t>
            </w:r>
            <w:r>
              <w:rPr>
                <w:rFonts w:ascii="Times New Roman" w:hAnsi="Times New Roman" w:cs="Times New Roman"/>
                <w:color w:val="000000" w:themeColor="text1"/>
                <w:szCs w:val="21"/>
                <w14:textFill>
                  <w14:solidFill>
                    <w14:schemeClr w14:val="tx1"/>
                  </w14:solidFill>
                </w14:textFill>
              </w:rPr>
              <w:t>.6</w:t>
            </w:r>
          </w:p>
        </w:tc>
      </w:tr>
      <w:tr w14:paraId="5D41E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2616" w:type="dxa"/>
            <w:gridSpan w:val="9"/>
            <w:tcBorders>
              <w:top w:val="single" w:color="auto" w:sz="4" w:space="0"/>
              <w:left w:val="nil"/>
              <w:bottom w:val="nil"/>
              <w:right w:val="nil"/>
            </w:tcBorders>
          </w:tcPr>
          <w:p w14:paraId="29754C93">
            <w:pPr>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 xml:space="preserve">Abbreviations: </w:t>
            </w:r>
            <w:r>
              <w:rPr>
                <w:rFonts w:ascii="Times New Roman" w:hAnsi="Times New Roman" w:cs="Times New Roman"/>
                <w:i/>
                <w:iCs/>
                <w:color w:val="000000" w:themeColor="text1"/>
                <w:szCs w:val="21"/>
                <w14:textFill>
                  <w14:solidFill>
                    <w14:schemeClr w14:val="tx1"/>
                  </w14:solidFill>
                </w14:textFill>
              </w:rPr>
              <w:t>+C</w:t>
            </w:r>
            <w:r>
              <w:rPr>
                <w:rFonts w:ascii="Times New Roman" w:hAnsi="Times New Roman" w:cs="Times New Roman"/>
                <w:color w:val="000000" w:themeColor="text1"/>
                <w:szCs w:val="21"/>
                <w14:textFill>
                  <w14:solidFill>
                    <w14:schemeClr w14:val="tx1"/>
                  </w14:solidFill>
                </w14:textFill>
              </w:rPr>
              <w:t>, contrast-enhanced.</w:t>
            </w:r>
          </w:p>
        </w:tc>
      </w:tr>
      <w:bookmarkEnd w:id="0"/>
    </w:tbl>
    <w:p w14:paraId="6C2B8AE0">
      <w:pPr>
        <w:rPr>
          <w:rFonts w:ascii="Times New Roman" w:hAnsi="Times New Roman" w:cs="Times New Roman"/>
          <w:b/>
          <w:bCs/>
          <w:color w:val="FF0000"/>
          <w:szCs w:val="21"/>
        </w:rPr>
      </w:pPr>
    </w:p>
    <w:p w14:paraId="76655196">
      <w:pPr>
        <w:rPr>
          <w:rFonts w:ascii="Times New Roman" w:hAnsi="Times New Roman" w:cs="Times New Roman"/>
          <w:color w:val="000000" w:themeColor="text1"/>
          <w:szCs w:val="21"/>
          <w14:textFill>
            <w14:solidFill>
              <w14:schemeClr w14:val="tx1"/>
            </w14:solidFill>
          </w14:textFill>
        </w:rPr>
      </w:pPr>
    </w:p>
    <w:p w14:paraId="0951E60E">
      <w:pPr>
        <w:rPr>
          <w:rFonts w:ascii="Times New Roman" w:hAnsi="Times New Roman" w:cs="Times New Roman"/>
          <w:b/>
          <w:bCs/>
          <w:color w:val="0000FF"/>
          <w:szCs w:val="21"/>
        </w:rPr>
      </w:pPr>
      <w:bookmarkStart w:id="1" w:name="_Hlk113717729"/>
    </w:p>
    <w:p w14:paraId="25F351F2">
      <w:pPr>
        <w:rPr>
          <w:rFonts w:ascii="Times New Roman" w:hAnsi="Times New Roman" w:eastAsia="宋体" w:cs="Times New Roman"/>
          <w:b/>
          <w:bCs/>
          <w:szCs w:val="21"/>
        </w:rPr>
      </w:pPr>
      <w:r>
        <w:rPr>
          <w:rFonts w:ascii="Times New Roman" w:hAnsi="Times New Roman" w:cs="Times New Roman"/>
          <w:b/>
          <w:bCs/>
          <w:szCs w:val="21"/>
        </w:rPr>
        <w:t>Supplementary Table S2. Radiomics features</w:t>
      </w:r>
      <w:bookmarkStart w:id="2" w:name="_GoBack"/>
      <w:bookmarkEnd w:id="2"/>
    </w:p>
    <w:bookmarkEnd w:id="1"/>
    <w:tbl>
      <w:tblPr>
        <w:tblStyle w:val="5"/>
        <w:tblpPr w:leftFromText="180" w:rightFromText="180" w:vertAnchor="text" w:horzAnchor="page" w:tblpXSpec="center" w:tblpY="216"/>
        <w:tblOverlap w:val="never"/>
        <w:tblW w:w="11142"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576"/>
        <w:gridCol w:w="1414"/>
        <w:gridCol w:w="4030"/>
        <w:gridCol w:w="4122"/>
      </w:tblGrid>
      <w:tr w14:paraId="253085D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Align w:val="center"/>
          </w:tcPr>
          <w:p w14:paraId="029B86DC">
            <w:pPr>
              <w:jc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Feature class</w:t>
            </w:r>
          </w:p>
        </w:tc>
        <w:tc>
          <w:tcPr>
            <w:tcW w:w="1414" w:type="dxa"/>
            <w:vAlign w:val="center"/>
          </w:tcPr>
          <w:p w14:paraId="23916683">
            <w:pPr>
              <w:jc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Number</w:t>
            </w:r>
          </w:p>
        </w:tc>
        <w:tc>
          <w:tcPr>
            <w:tcW w:w="8152" w:type="dxa"/>
            <w:gridSpan w:val="2"/>
            <w:tcBorders>
              <w:bottom w:val="single" w:color="auto" w:sz="4" w:space="0"/>
            </w:tcBorders>
            <w:vAlign w:val="center"/>
          </w:tcPr>
          <w:p w14:paraId="1C167919">
            <w:pPr>
              <w:jc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Feature name</w:t>
            </w:r>
          </w:p>
        </w:tc>
      </w:tr>
      <w:tr w14:paraId="4ACC6E9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restart"/>
            <w:vAlign w:val="center"/>
          </w:tcPr>
          <w:p w14:paraId="518AF65F">
            <w:pPr>
              <w:jc w:val="center"/>
              <w:rPr>
                <w:rFonts w:ascii="Times New Roman" w:hAnsi="Times New Roman" w:eastAsia="宋体" w:cs="Times New Roman"/>
                <w:kern w:val="0"/>
                <w:szCs w:val="21"/>
              </w:rPr>
            </w:pPr>
            <w:r>
              <w:rPr>
                <w:rFonts w:ascii="Times New Roman" w:hAnsi="Times New Roman" w:eastAsia="宋体" w:cs="Times New Roman"/>
                <w:kern w:val="0"/>
                <w:szCs w:val="21"/>
                <w:lang w:bidi="ar"/>
              </w:rPr>
              <w:t>Shape</w:t>
            </w:r>
          </w:p>
        </w:tc>
        <w:tc>
          <w:tcPr>
            <w:tcW w:w="1414" w:type="dxa"/>
            <w:vMerge w:val="restart"/>
            <w:vAlign w:val="center"/>
          </w:tcPr>
          <w:p w14:paraId="5B1A8AFA">
            <w:pPr>
              <w:jc w:val="center"/>
              <w:rPr>
                <w:rFonts w:ascii="Times New Roman" w:hAnsi="Times New Roman" w:eastAsia="宋体" w:cs="Times New Roman"/>
                <w:kern w:val="0"/>
                <w:szCs w:val="21"/>
              </w:rPr>
            </w:pPr>
            <w:r>
              <w:rPr>
                <w:rFonts w:ascii="Times New Roman" w:hAnsi="Times New Roman" w:eastAsia="宋体" w:cs="Times New Roman"/>
                <w:kern w:val="0"/>
                <w:szCs w:val="21"/>
                <w:lang w:bidi="ar"/>
              </w:rPr>
              <w:t>13</w:t>
            </w:r>
          </w:p>
        </w:tc>
        <w:tc>
          <w:tcPr>
            <w:tcW w:w="4030" w:type="dxa"/>
            <w:tcBorders>
              <w:bottom w:val="nil"/>
            </w:tcBorders>
            <w:vAlign w:val="center"/>
          </w:tcPr>
          <w:p w14:paraId="24528B50">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Flatness</w:t>
            </w:r>
          </w:p>
        </w:tc>
        <w:tc>
          <w:tcPr>
            <w:tcW w:w="4122" w:type="dxa"/>
            <w:tcBorders>
              <w:bottom w:val="nil"/>
            </w:tcBorders>
            <w:vAlign w:val="center"/>
          </w:tcPr>
          <w:p w14:paraId="0DB74486">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Mesh volume</w:t>
            </w:r>
          </w:p>
        </w:tc>
      </w:tr>
      <w:tr w14:paraId="22BDD7EB">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1FBB939D">
            <w:pPr>
              <w:rPr>
                <w:rFonts w:ascii="Times New Roman" w:hAnsi="Times New Roman" w:eastAsia="宋体" w:cs="Times New Roman"/>
                <w:kern w:val="0"/>
                <w:szCs w:val="21"/>
              </w:rPr>
            </w:pPr>
          </w:p>
        </w:tc>
        <w:tc>
          <w:tcPr>
            <w:tcW w:w="1414" w:type="dxa"/>
            <w:vMerge w:val="continue"/>
          </w:tcPr>
          <w:p w14:paraId="7A1AB211">
            <w:pPr>
              <w:rPr>
                <w:rFonts w:ascii="Times New Roman" w:hAnsi="Times New Roman" w:eastAsia="宋体" w:cs="Times New Roman"/>
                <w:kern w:val="0"/>
                <w:szCs w:val="21"/>
              </w:rPr>
            </w:pPr>
          </w:p>
        </w:tc>
        <w:tc>
          <w:tcPr>
            <w:tcW w:w="4030" w:type="dxa"/>
            <w:tcBorders>
              <w:top w:val="nil"/>
              <w:bottom w:val="nil"/>
            </w:tcBorders>
            <w:vAlign w:val="center"/>
          </w:tcPr>
          <w:p w14:paraId="6D2E33AE">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Least axis length</w:t>
            </w:r>
          </w:p>
        </w:tc>
        <w:tc>
          <w:tcPr>
            <w:tcW w:w="4122" w:type="dxa"/>
            <w:tcBorders>
              <w:top w:val="nil"/>
              <w:bottom w:val="nil"/>
            </w:tcBorders>
            <w:vAlign w:val="center"/>
          </w:tcPr>
          <w:p w14:paraId="20817DA5">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Minor axis length</w:t>
            </w:r>
          </w:p>
        </w:tc>
      </w:tr>
      <w:tr w14:paraId="0049443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681115F4">
            <w:pPr>
              <w:rPr>
                <w:rFonts w:ascii="Times New Roman" w:hAnsi="Times New Roman" w:eastAsia="宋体" w:cs="Times New Roman"/>
                <w:kern w:val="0"/>
                <w:szCs w:val="21"/>
              </w:rPr>
            </w:pPr>
          </w:p>
        </w:tc>
        <w:tc>
          <w:tcPr>
            <w:tcW w:w="1414" w:type="dxa"/>
            <w:vMerge w:val="continue"/>
          </w:tcPr>
          <w:p w14:paraId="72842BB2">
            <w:pPr>
              <w:rPr>
                <w:rFonts w:ascii="Times New Roman" w:hAnsi="Times New Roman" w:eastAsia="宋体" w:cs="Times New Roman"/>
                <w:kern w:val="0"/>
                <w:szCs w:val="21"/>
              </w:rPr>
            </w:pPr>
          </w:p>
        </w:tc>
        <w:tc>
          <w:tcPr>
            <w:tcW w:w="4030" w:type="dxa"/>
            <w:tcBorders>
              <w:top w:val="nil"/>
              <w:bottom w:val="nil"/>
            </w:tcBorders>
            <w:vAlign w:val="center"/>
          </w:tcPr>
          <w:p w14:paraId="538D47BF">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Major axis length</w:t>
            </w:r>
          </w:p>
        </w:tc>
        <w:tc>
          <w:tcPr>
            <w:tcW w:w="4122" w:type="dxa"/>
            <w:tcBorders>
              <w:top w:val="nil"/>
              <w:bottom w:val="nil"/>
            </w:tcBorders>
            <w:vAlign w:val="center"/>
          </w:tcPr>
          <w:p w14:paraId="6E063C6E">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Sphericity</w:t>
            </w:r>
          </w:p>
        </w:tc>
      </w:tr>
      <w:tr w14:paraId="5212F916">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15C9EBF0">
            <w:pPr>
              <w:rPr>
                <w:rFonts w:ascii="Times New Roman" w:hAnsi="Times New Roman" w:eastAsia="宋体" w:cs="Times New Roman"/>
                <w:kern w:val="0"/>
                <w:szCs w:val="21"/>
              </w:rPr>
            </w:pPr>
          </w:p>
        </w:tc>
        <w:tc>
          <w:tcPr>
            <w:tcW w:w="1414" w:type="dxa"/>
            <w:vMerge w:val="continue"/>
          </w:tcPr>
          <w:p w14:paraId="7E6D0B62">
            <w:pPr>
              <w:rPr>
                <w:rFonts w:ascii="Times New Roman" w:hAnsi="Times New Roman" w:eastAsia="宋体" w:cs="Times New Roman"/>
                <w:kern w:val="0"/>
                <w:szCs w:val="21"/>
              </w:rPr>
            </w:pPr>
          </w:p>
        </w:tc>
        <w:tc>
          <w:tcPr>
            <w:tcW w:w="4030" w:type="dxa"/>
            <w:tcBorders>
              <w:top w:val="nil"/>
              <w:bottom w:val="nil"/>
            </w:tcBorders>
            <w:vAlign w:val="center"/>
          </w:tcPr>
          <w:p w14:paraId="385ABBD3">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Maximum 2D diameter (Column)</w:t>
            </w:r>
          </w:p>
        </w:tc>
        <w:tc>
          <w:tcPr>
            <w:tcW w:w="4122" w:type="dxa"/>
            <w:tcBorders>
              <w:top w:val="nil"/>
              <w:bottom w:val="nil"/>
            </w:tcBorders>
            <w:vAlign w:val="center"/>
          </w:tcPr>
          <w:p w14:paraId="0BE4580F">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Surface area</w:t>
            </w:r>
          </w:p>
        </w:tc>
      </w:tr>
      <w:tr w14:paraId="0AFAE3BC">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3CEA9F54">
            <w:pPr>
              <w:rPr>
                <w:rFonts w:ascii="Times New Roman" w:hAnsi="Times New Roman" w:eastAsia="宋体" w:cs="Times New Roman"/>
                <w:kern w:val="0"/>
                <w:szCs w:val="21"/>
              </w:rPr>
            </w:pPr>
          </w:p>
        </w:tc>
        <w:tc>
          <w:tcPr>
            <w:tcW w:w="1414" w:type="dxa"/>
            <w:vMerge w:val="continue"/>
          </w:tcPr>
          <w:p w14:paraId="0FEF274B">
            <w:pPr>
              <w:rPr>
                <w:rFonts w:ascii="Times New Roman" w:hAnsi="Times New Roman" w:eastAsia="宋体" w:cs="Times New Roman"/>
                <w:kern w:val="0"/>
                <w:szCs w:val="21"/>
              </w:rPr>
            </w:pPr>
          </w:p>
        </w:tc>
        <w:tc>
          <w:tcPr>
            <w:tcW w:w="4030" w:type="dxa"/>
            <w:tcBorders>
              <w:top w:val="nil"/>
              <w:bottom w:val="nil"/>
            </w:tcBorders>
            <w:vAlign w:val="center"/>
          </w:tcPr>
          <w:p w14:paraId="64C3308D">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Maximum 2D diameter (Row)</w:t>
            </w:r>
          </w:p>
        </w:tc>
        <w:tc>
          <w:tcPr>
            <w:tcW w:w="4122" w:type="dxa"/>
            <w:tcBorders>
              <w:top w:val="nil"/>
              <w:bottom w:val="nil"/>
            </w:tcBorders>
            <w:vAlign w:val="center"/>
          </w:tcPr>
          <w:p w14:paraId="2F2A75ED">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Surface area to volume ratio</w:t>
            </w:r>
          </w:p>
        </w:tc>
      </w:tr>
      <w:tr w14:paraId="5405533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55FF6695">
            <w:pPr>
              <w:rPr>
                <w:rFonts w:ascii="Times New Roman" w:hAnsi="Times New Roman" w:eastAsia="宋体" w:cs="Times New Roman"/>
                <w:kern w:val="0"/>
                <w:szCs w:val="21"/>
              </w:rPr>
            </w:pPr>
          </w:p>
        </w:tc>
        <w:tc>
          <w:tcPr>
            <w:tcW w:w="1414" w:type="dxa"/>
            <w:vMerge w:val="continue"/>
          </w:tcPr>
          <w:p w14:paraId="420F4050">
            <w:pPr>
              <w:rPr>
                <w:rFonts w:ascii="Times New Roman" w:hAnsi="Times New Roman" w:eastAsia="宋体" w:cs="Times New Roman"/>
                <w:kern w:val="0"/>
                <w:szCs w:val="21"/>
              </w:rPr>
            </w:pPr>
          </w:p>
        </w:tc>
        <w:tc>
          <w:tcPr>
            <w:tcW w:w="4030" w:type="dxa"/>
            <w:tcBorders>
              <w:top w:val="nil"/>
              <w:bottom w:val="nil"/>
            </w:tcBorders>
            <w:vAlign w:val="center"/>
          </w:tcPr>
          <w:p w14:paraId="5E232343">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Maximum 2D diameter (Slice)</w:t>
            </w:r>
          </w:p>
        </w:tc>
        <w:tc>
          <w:tcPr>
            <w:tcW w:w="4122" w:type="dxa"/>
            <w:tcBorders>
              <w:top w:val="nil"/>
              <w:bottom w:val="nil"/>
            </w:tcBorders>
            <w:vAlign w:val="center"/>
          </w:tcPr>
          <w:p w14:paraId="050CB841">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Voxel volume</w:t>
            </w:r>
          </w:p>
        </w:tc>
      </w:tr>
      <w:tr w14:paraId="3A7CCBAB">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6B55D791">
            <w:pPr>
              <w:rPr>
                <w:rFonts w:ascii="Times New Roman" w:hAnsi="Times New Roman" w:eastAsia="宋体" w:cs="Times New Roman"/>
                <w:kern w:val="0"/>
                <w:szCs w:val="21"/>
              </w:rPr>
            </w:pPr>
          </w:p>
        </w:tc>
        <w:tc>
          <w:tcPr>
            <w:tcW w:w="1414" w:type="dxa"/>
            <w:vMerge w:val="continue"/>
          </w:tcPr>
          <w:p w14:paraId="573BC22C">
            <w:pPr>
              <w:rPr>
                <w:rFonts w:ascii="Times New Roman" w:hAnsi="Times New Roman" w:eastAsia="宋体" w:cs="Times New Roman"/>
                <w:kern w:val="0"/>
                <w:szCs w:val="21"/>
              </w:rPr>
            </w:pPr>
          </w:p>
        </w:tc>
        <w:tc>
          <w:tcPr>
            <w:tcW w:w="4030" w:type="dxa"/>
            <w:tcBorders>
              <w:top w:val="nil"/>
              <w:bottom w:val="single" w:color="auto" w:sz="4" w:space="0"/>
            </w:tcBorders>
            <w:vAlign w:val="center"/>
          </w:tcPr>
          <w:p w14:paraId="2A94EC6D">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Maximum 3D Diameter</w:t>
            </w:r>
          </w:p>
        </w:tc>
        <w:tc>
          <w:tcPr>
            <w:tcW w:w="4122" w:type="dxa"/>
            <w:tcBorders>
              <w:top w:val="nil"/>
              <w:bottom w:val="single" w:color="auto" w:sz="4" w:space="0"/>
            </w:tcBorders>
          </w:tcPr>
          <w:p w14:paraId="2E3ECE4A">
            <w:pPr>
              <w:jc w:val="left"/>
              <w:rPr>
                <w:rFonts w:ascii="Times New Roman" w:hAnsi="Times New Roman" w:eastAsia="宋体" w:cs="Times New Roman"/>
                <w:kern w:val="0"/>
                <w:szCs w:val="21"/>
              </w:rPr>
            </w:pPr>
          </w:p>
        </w:tc>
      </w:tr>
      <w:tr w14:paraId="59EB0A1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restart"/>
            <w:vAlign w:val="center"/>
          </w:tcPr>
          <w:p w14:paraId="609E3057">
            <w:pPr>
              <w:jc w:val="center"/>
              <w:rPr>
                <w:rFonts w:ascii="Times New Roman" w:hAnsi="Times New Roman" w:eastAsia="宋体" w:cs="Times New Roman"/>
                <w:kern w:val="0"/>
                <w:szCs w:val="21"/>
              </w:rPr>
            </w:pPr>
            <w:r>
              <w:rPr>
                <w:rFonts w:ascii="Times New Roman" w:hAnsi="Times New Roman" w:eastAsia="宋体" w:cs="Times New Roman"/>
                <w:kern w:val="0"/>
                <w:szCs w:val="21"/>
                <w:lang w:bidi="ar"/>
              </w:rPr>
              <w:t>First-order</w:t>
            </w:r>
          </w:p>
        </w:tc>
        <w:tc>
          <w:tcPr>
            <w:tcW w:w="1414" w:type="dxa"/>
            <w:vMerge w:val="restart"/>
            <w:vAlign w:val="center"/>
          </w:tcPr>
          <w:p w14:paraId="2FB175EA">
            <w:pPr>
              <w:jc w:val="center"/>
              <w:rPr>
                <w:rFonts w:ascii="Times New Roman" w:hAnsi="Times New Roman" w:eastAsia="宋体" w:cs="Times New Roman"/>
                <w:kern w:val="0"/>
                <w:szCs w:val="21"/>
              </w:rPr>
            </w:pPr>
            <w:r>
              <w:rPr>
                <w:rFonts w:ascii="Times New Roman" w:hAnsi="Times New Roman" w:eastAsia="宋体" w:cs="Times New Roman"/>
                <w:kern w:val="0"/>
                <w:szCs w:val="21"/>
                <w:lang w:bidi="ar"/>
              </w:rPr>
              <w:t>18</w:t>
            </w:r>
          </w:p>
        </w:tc>
        <w:tc>
          <w:tcPr>
            <w:tcW w:w="4030" w:type="dxa"/>
            <w:tcBorders>
              <w:bottom w:val="nil"/>
            </w:tcBorders>
            <w:vAlign w:val="center"/>
          </w:tcPr>
          <w:p w14:paraId="46055299">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10th percentile</w:t>
            </w:r>
          </w:p>
        </w:tc>
        <w:tc>
          <w:tcPr>
            <w:tcW w:w="4122" w:type="dxa"/>
            <w:tcBorders>
              <w:bottom w:val="nil"/>
            </w:tcBorders>
            <w:vAlign w:val="center"/>
          </w:tcPr>
          <w:p w14:paraId="553E8116">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Median</w:t>
            </w:r>
          </w:p>
        </w:tc>
      </w:tr>
      <w:tr w14:paraId="228A39F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28EF4A82">
            <w:pPr>
              <w:rPr>
                <w:rFonts w:ascii="Times New Roman" w:hAnsi="Times New Roman" w:eastAsia="宋体" w:cs="Times New Roman"/>
                <w:kern w:val="0"/>
                <w:szCs w:val="21"/>
              </w:rPr>
            </w:pPr>
          </w:p>
        </w:tc>
        <w:tc>
          <w:tcPr>
            <w:tcW w:w="1414" w:type="dxa"/>
            <w:vMerge w:val="continue"/>
          </w:tcPr>
          <w:p w14:paraId="7F0A2681">
            <w:pPr>
              <w:rPr>
                <w:rFonts w:ascii="Times New Roman" w:hAnsi="Times New Roman" w:eastAsia="宋体" w:cs="Times New Roman"/>
                <w:kern w:val="0"/>
                <w:szCs w:val="21"/>
              </w:rPr>
            </w:pPr>
          </w:p>
        </w:tc>
        <w:tc>
          <w:tcPr>
            <w:tcW w:w="4030" w:type="dxa"/>
            <w:tcBorders>
              <w:top w:val="nil"/>
              <w:bottom w:val="nil"/>
            </w:tcBorders>
            <w:vAlign w:val="center"/>
          </w:tcPr>
          <w:p w14:paraId="4374156E">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90th percentile</w:t>
            </w:r>
          </w:p>
        </w:tc>
        <w:tc>
          <w:tcPr>
            <w:tcW w:w="4122" w:type="dxa"/>
            <w:tcBorders>
              <w:top w:val="nil"/>
              <w:bottom w:val="nil"/>
            </w:tcBorders>
            <w:vAlign w:val="center"/>
          </w:tcPr>
          <w:p w14:paraId="5766EC75">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Minimum</w:t>
            </w:r>
          </w:p>
        </w:tc>
      </w:tr>
      <w:tr w14:paraId="18B91CF4">
        <w:tblPrEx>
          <w:tblCellMar>
            <w:top w:w="0" w:type="dxa"/>
            <w:left w:w="108" w:type="dxa"/>
            <w:bottom w:w="0" w:type="dxa"/>
            <w:right w:w="108" w:type="dxa"/>
          </w:tblCellMar>
        </w:tblPrEx>
        <w:trPr>
          <w:jc w:val="center"/>
        </w:trPr>
        <w:tc>
          <w:tcPr>
            <w:tcW w:w="1576" w:type="dxa"/>
            <w:vMerge w:val="continue"/>
          </w:tcPr>
          <w:p w14:paraId="2BDF97EC">
            <w:pPr>
              <w:rPr>
                <w:rFonts w:ascii="Times New Roman" w:hAnsi="Times New Roman" w:eastAsia="宋体" w:cs="Times New Roman"/>
                <w:kern w:val="0"/>
                <w:szCs w:val="21"/>
              </w:rPr>
            </w:pPr>
          </w:p>
        </w:tc>
        <w:tc>
          <w:tcPr>
            <w:tcW w:w="1414" w:type="dxa"/>
            <w:vMerge w:val="continue"/>
          </w:tcPr>
          <w:p w14:paraId="3BD3F99F">
            <w:pPr>
              <w:rPr>
                <w:rFonts w:ascii="Times New Roman" w:hAnsi="Times New Roman" w:eastAsia="宋体" w:cs="Times New Roman"/>
                <w:kern w:val="0"/>
                <w:szCs w:val="21"/>
              </w:rPr>
            </w:pPr>
          </w:p>
        </w:tc>
        <w:tc>
          <w:tcPr>
            <w:tcW w:w="4030" w:type="dxa"/>
            <w:tcBorders>
              <w:top w:val="nil"/>
              <w:bottom w:val="nil"/>
            </w:tcBorders>
            <w:vAlign w:val="center"/>
          </w:tcPr>
          <w:p w14:paraId="4E1C2E24">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Energy</w:t>
            </w:r>
          </w:p>
        </w:tc>
        <w:tc>
          <w:tcPr>
            <w:tcW w:w="4122" w:type="dxa"/>
            <w:tcBorders>
              <w:top w:val="nil"/>
              <w:bottom w:val="nil"/>
            </w:tcBorders>
            <w:vAlign w:val="center"/>
          </w:tcPr>
          <w:p w14:paraId="2A22EBB4">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Range</w:t>
            </w:r>
          </w:p>
        </w:tc>
      </w:tr>
      <w:tr w14:paraId="0F5A903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109877D6">
            <w:pPr>
              <w:rPr>
                <w:rFonts w:ascii="Times New Roman" w:hAnsi="Times New Roman" w:eastAsia="宋体" w:cs="Times New Roman"/>
                <w:kern w:val="0"/>
                <w:szCs w:val="21"/>
              </w:rPr>
            </w:pPr>
          </w:p>
        </w:tc>
        <w:tc>
          <w:tcPr>
            <w:tcW w:w="1414" w:type="dxa"/>
            <w:vMerge w:val="continue"/>
          </w:tcPr>
          <w:p w14:paraId="443A1340">
            <w:pPr>
              <w:rPr>
                <w:rFonts w:ascii="Times New Roman" w:hAnsi="Times New Roman" w:eastAsia="宋体" w:cs="Times New Roman"/>
                <w:kern w:val="0"/>
                <w:szCs w:val="21"/>
              </w:rPr>
            </w:pPr>
          </w:p>
        </w:tc>
        <w:tc>
          <w:tcPr>
            <w:tcW w:w="4030" w:type="dxa"/>
            <w:tcBorders>
              <w:top w:val="nil"/>
              <w:bottom w:val="nil"/>
            </w:tcBorders>
            <w:vAlign w:val="center"/>
          </w:tcPr>
          <w:p w14:paraId="0301552C">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Entropy</w:t>
            </w:r>
          </w:p>
        </w:tc>
        <w:tc>
          <w:tcPr>
            <w:tcW w:w="4122" w:type="dxa"/>
            <w:tcBorders>
              <w:top w:val="nil"/>
              <w:bottom w:val="nil"/>
            </w:tcBorders>
            <w:vAlign w:val="center"/>
          </w:tcPr>
          <w:p w14:paraId="652D2112">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Robust mean absolute deviation</w:t>
            </w:r>
          </w:p>
        </w:tc>
      </w:tr>
      <w:tr w14:paraId="413A6E93">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205ACB26">
            <w:pPr>
              <w:rPr>
                <w:rFonts w:ascii="Times New Roman" w:hAnsi="Times New Roman" w:eastAsia="宋体" w:cs="Times New Roman"/>
                <w:kern w:val="0"/>
                <w:szCs w:val="21"/>
              </w:rPr>
            </w:pPr>
          </w:p>
        </w:tc>
        <w:tc>
          <w:tcPr>
            <w:tcW w:w="1414" w:type="dxa"/>
            <w:vMerge w:val="continue"/>
          </w:tcPr>
          <w:p w14:paraId="56302361">
            <w:pPr>
              <w:rPr>
                <w:rFonts w:ascii="Times New Roman" w:hAnsi="Times New Roman" w:eastAsia="宋体" w:cs="Times New Roman"/>
                <w:kern w:val="0"/>
                <w:szCs w:val="21"/>
              </w:rPr>
            </w:pPr>
          </w:p>
        </w:tc>
        <w:tc>
          <w:tcPr>
            <w:tcW w:w="4030" w:type="dxa"/>
            <w:tcBorders>
              <w:top w:val="nil"/>
              <w:bottom w:val="nil"/>
            </w:tcBorders>
            <w:vAlign w:val="center"/>
          </w:tcPr>
          <w:p w14:paraId="0FCA3162">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Interquartile range</w:t>
            </w:r>
          </w:p>
        </w:tc>
        <w:tc>
          <w:tcPr>
            <w:tcW w:w="4122" w:type="dxa"/>
            <w:tcBorders>
              <w:top w:val="nil"/>
              <w:bottom w:val="nil"/>
            </w:tcBorders>
            <w:vAlign w:val="center"/>
          </w:tcPr>
          <w:p w14:paraId="5AD53AB7">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Root mean squared</w:t>
            </w:r>
          </w:p>
        </w:tc>
      </w:tr>
      <w:tr w14:paraId="4E2863E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79B0CD0C">
            <w:pPr>
              <w:rPr>
                <w:rFonts w:ascii="Times New Roman" w:hAnsi="Times New Roman" w:eastAsia="宋体" w:cs="Times New Roman"/>
                <w:kern w:val="0"/>
                <w:szCs w:val="21"/>
              </w:rPr>
            </w:pPr>
          </w:p>
        </w:tc>
        <w:tc>
          <w:tcPr>
            <w:tcW w:w="1414" w:type="dxa"/>
            <w:vMerge w:val="continue"/>
          </w:tcPr>
          <w:p w14:paraId="0EB748C9">
            <w:pPr>
              <w:rPr>
                <w:rFonts w:ascii="Times New Roman" w:hAnsi="Times New Roman" w:eastAsia="宋体" w:cs="Times New Roman"/>
                <w:kern w:val="0"/>
                <w:szCs w:val="21"/>
              </w:rPr>
            </w:pPr>
          </w:p>
        </w:tc>
        <w:tc>
          <w:tcPr>
            <w:tcW w:w="4030" w:type="dxa"/>
            <w:tcBorders>
              <w:top w:val="nil"/>
              <w:bottom w:val="nil"/>
            </w:tcBorders>
            <w:vAlign w:val="center"/>
          </w:tcPr>
          <w:p w14:paraId="28701193">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Kurtosis</w:t>
            </w:r>
          </w:p>
        </w:tc>
        <w:tc>
          <w:tcPr>
            <w:tcW w:w="4122" w:type="dxa"/>
            <w:tcBorders>
              <w:top w:val="nil"/>
              <w:bottom w:val="nil"/>
            </w:tcBorders>
            <w:vAlign w:val="center"/>
          </w:tcPr>
          <w:p w14:paraId="6E5F03F9">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Skewness</w:t>
            </w:r>
          </w:p>
        </w:tc>
      </w:tr>
      <w:tr w14:paraId="2569CE83">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7E8DD69B">
            <w:pPr>
              <w:rPr>
                <w:rFonts w:ascii="Times New Roman" w:hAnsi="Times New Roman" w:eastAsia="宋体" w:cs="Times New Roman"/>
                <w:kern w:val="0"/>
                <w:szCs w:val="21"/>
              </w:rPr>
            </w:pPr>
          </w:p>
        </w:tc>
        <w:tc>
          <w:tcPr>
            <w:tcW w:w="1414" w:type="dxa"/>
            <w:vMerge w:val="continue"/>
          </w:tcPr>
          <w:p w14:paraId="226EE6E8">
            <w:pPr>
              <w:rPr>
                <w:rFonts w:ascii="Times New Roman" w:hAnsi="Times New Roman" w:eastAsia="宋体" w:cs="Times New Roman"/>
                <w:kern w:val="0"/>
                <w:szCs w:val="21"/>
              </w:rPr>
            </w:pPr>
          </w:p>
        </w:tc>
        <w:tc>
          <w:tcPr>
            <w:tcW w:w="4030" w:type="dxa"/>
            <w:tcBorders>
              <w:top w:val="nil"/>
              <w:bottom w:val="nil"/>
            </w:tcBorders>
            <w:vAlign w:val="center"/>
          </w:tcPr>
          <w:p w14:paraId="139D09A8">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Maximum</w:t>
            </w:r>
          </w:p>
        </w:tc>
        <w:tc>
          <w:tcPr>
            <w:tcW w:w="4122" w:type="dxa"/>
            <w:tcBorders>
              <w:top w:val="nil"/>
              <w:bottom w:val="nil"/>
            </w:tcBorders>
            <w:vAlign w:val="center"/>
          </w:tcPr>
          <w:p w14:paraId="0A882E6D">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Total Energy</w:t>
            </w:r>
          </w:p>
        </w:tc>
      </w:tr>
      <w:tr w14:paraId="1CCD641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672432EE">
            <w:pPr>
              <w:rPr>
                <w:rFonts w:ascii="Times New Roman" w:hAnsi="Times New Roman" w:eastAsia="宋体" w:cs="Times New Roman"/>
                <w:kern w:val="0"/>
                <w:szCs w:val="21"/>
              </w:rPr>
            </w:pPr>
          </w:p>
        </w:tc>
        <w:tc>
          <w:tcPr>
            <w:tcW w:w="1414" w:type="dxa"/>
            <w:vMerge w:val="continue"/>
          </w:tcPr>
          <w:p w14:paraId="72C2CF44">
            <w:pPr>
              <w:rPr>
                <w:rFonts w:ascii="Times New Roman" w:hAnsi="Times New Roman" w:eastAsia="宋体" w:cs="Times New Roman"/>
                <w:kern w:val="0"/>
                <w:szCs w:val="21"/>
              </w:rPr>
            </w:pPr>
          </w:p>
        </w:tc>
        <w:tc>
          <w:tcPr>
            <w:tcW w:w="4030" w:type="dxa"/>
            <w:tcBorders>
              <w:top w:val="nil"/>
              <w:bottom w:val="nil"/>
            </w:tcBorders>
            <w:vAlign w:val="center"/>
          </w:tcPr>
          <w:p w14:paraId="369658BE">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Mean absolute deviation</w:t>
            </w:r>
          </w:p>
        </w:tc>
        <w:tc>
          <w:tcPr>
            <w:tcW w:w="4122" w:type="dxa"/>
            <w:tcBorders>
              <w:top w:val="nil"/>
              <w:bottom w:val="nil"/>
            </w:tcBorders>
            <w:vAlign w:val="center"/>
          </w:tcPr>
          <w:p w14:paraId="40D7405F">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Uniformity</w:t>
            </w:r>
          </w:p>
        </w:tc>
      </w:tr>
      <w:tr w14:paraId="1F24D23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bottom w:val="single" w:color="auto" w:sz="4" w:space="0"/>
            </w:tcBorders>
          </w:tcPr>
          <w:p w14:paraId="0E8494B4">
            <w:pPr>
              <w:rPr>
                <w:rFonts w:ascii="Times New Roman" w:hAnsi="Times New Roman" w:eastAsia="宋体" w:cs="Times New Roman"/>
                <w:kern w:val="0"/>
                <w:szCs w:val="21"/>
              </w:rPr>
            </w:pPr>
          </w:p>
        </w:tc>
        <w:tc>
          <w:tcPr>
            <w:tcW w:w="1414" w:type="dxa"/>
            <w:vMerge w:val="continue"/>
            <w:tcBorders>
              <w:bottom w:val="single" w:color="auto" w:sz="4" w:space="0"/>
            </w:tcBorders>
          </w:tcPr>
          <w:p w14:paraId="0F497D88">
            <w:pPr>
              <w:rPr>
                <w:rFonts w:ascii="Times New Roman" w:hAnsi="Times New Roman" w:eastAsia="宋体" w:cs="Times New Roman"/>
                <w:kern w:val="0"/>
                <w:szCs w:val="21"/>
              </w:rPr>
            </w:pPr>
          </w:p>
        </w:tc>
        <w:tc>
          <w:tcPr>
            <w:tcW w:w="4030" w:type="dxa"/>
            <w:tcBorders>
              <w:top w:val="nil"/>
              <w:bottom w:val="single" w:color="auto" w:sz="4" w:space="0"/>
            </w:tcBorders>
            <w:vAlign w:val="center"/>
          </w:tcPr>
          <w:p w14:paraId="11619078">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Mean</w:t>
            </w:r>
          </w:p>
        </w:tc>
        <w:tc>
          <w:tcPr>
            <w:tcW w:w="4122" w:type="dxa"/>
            <w:tcBorders>
              <w:top w:val="nil"/>
              <w:bottom w:val="single" w:color="auto" w:sz="4" w:space="0"/>
            </w:tcBorders>
            <w:vAlign w:val="center"/>
          </w:tcPr>
          <w:p w14:paraId="66EFF8B3">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Variance</w:t>
            </w:r>
          </w:p>
        </w:tc>
      </w:tr>
      <w:tr w14:paraId="36F7C3E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30" w:hRule="atLeast"/>
          <w:jc w:val="center"/>
        </w:trPr>
        <w:tc>
          <w:tcPr>
            <w:tcW w:w="1576" w:type="dxa"/>
            <w:vMerge w:val="restart"/>
            <w:tcBorders>
              <w:bottom w:val="nil"/>
            </w:tcBorders>
            <w:vAlign w:val="center"/>
          </w:tcPr>
          <w:p w14:paraId="62A0F34C">
            <w:pPr>
              <w:jc w:val="center"/>
              <w:rPr>
                <w:rFonts w:ascii="Times New Roman" w:hAnsi="Times New Roman" w:eastAsia="宋体" w:cs="Times New Roman"/>
                <w:kern w:val="0"/>
                <w:szCs w:val="21"/>
              </w:rPr>
            </w:pPr>
            <w:r>
              <w:rPr>
                <w:rFonts w:ascii="Times New Roman" w:hAnsi="Times New Roman" w:eastAsia="宋体" w:cs="Times New Roman"/>
                <w:kern w:val="0"/>
                <w:szCs w:val="21"/>
                <w:lang w:bidi="ar"/>
              </w:rPr>
              <w:t>GLCM</w:t>
            </w:r>
          </w:p>
        </w:tc>
        <w:tc>
          <w:tcPr>
            <w:tcW w:w="1414" w:type="dxa"/>
            <w:vMerge w:val="restart"/>
            <w:tcBorders>
              <w:bottom w:val="nil"/>
            </w:tcBorders>
            <w:vAlign w:val="center"/>
          </w:tcPr>
          <w:p w14:paraId="53A2A5B7">
            <w:pPr>
              <w:jc w:val="center"/>
              <w:rPr>
                <w:rFonts w:ascii="Times New Roman" w:hAnsi="Times New Roman" w:eastAsia="宋体" w:cs="Times New Roman"/>
                <w:kern w:val="0"/>
                <w:szCs w:val="21"/>
              </w:rPr>
            </w:pPr>
            <w:r>
              <w:rPr>
                <w:rFonts w:ascii="Times New Roman" w:hAnsi="Times New Roman" w:eastAsia="宋体" w:cs="Times New Roman"/>
                <w:kern w:val="0"/>
                <w:szCs w:val="21"/>
                <w:lang w:bidi="ar"/>
              </w:rPr>
              <w:t>24</w:t>
            </w:r>
          </w:p>
        </w:tc>
        <w:tc>
          <w:tcPr>
            <w:tcW w:w="4030" w:type="dxa"/>
            <w:tcBorders>
              <w:bottom w:val="nil"/>
            </w:tcBorders>
            <w:vAlign w:val="center"/>
          </w:tcPr>
          <w:p w14:paraId="21BC4808">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Auto correlation</w:t>
            </w:r>
          </w:p>
        </w:tc>
        <w:tc>
          <w:tcPr>
            <w:tcW w:w="4122" w:type="dxa"/>
            <w:tcBorders>
              <w:bottom w:val="nil"/>
            </w:tcBorders>
            <w:vAlign w:val="center"/>
          </w:tcPr>
          <w:p w14:paraId="4F24199F">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Inverse difference normalized</w:t>
            </w:r>
          </w:p>
        </w:tc>
      </w:tr>
      <w:tr w14:paraId="611D86D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nil"/>
            </w:tcBorders>
          </w:tcPr>
          <w:p w14:paraId="5A223D6B">
            <w:pPr>
              <w:rPr>
                <w:rFonts w:ascii="Times New Roman" w:hAnsi="Times New Roman" w:eastAsia="宋体" w:cs="Times New Roman"/>
                <w:kern w:val="0"/>
                <w:szCs w:val="21"/>
              </w:rPr>
            </w:pPr>
          </w:p>
        </w:tc>
        <w:tc>
          <w:tcPr>
            <w:tcW w:w="1414" w:type="dxa"/>
            <w:vMerge w:val="continue"/>
            <w:tcBorders>
              <w:top w:val="nil"/>
              <w:bottom w:val="nil"/>
            </w:tcBorders>
          </w:tcPr>
          <w:p w14:paraId="6E9B11ED">
            <w:pPr>
              <w:rPr>
                <w:rFonts w:ascii="Times New Roman" w:hAnsi="Times New Roman" w:eastAsia="宋体" w:cs="Times New Roman"/>
                <w:kern w:val="0"/>
                <w:szCs w:val="21"/>
              </w:rPr>
            </w:pPr>
          </w:p>
        </w:tc>
        <w:tc>
          <w:tcPr>
            <w:tcW w:w="4030" w:type="dxa"/>
            <w:tcBorders>
              <w:top w:val="nil"/>
              <w:bottom w:val="nil"/>
            </w:tcBorders>
            <w:vAlign w:val="center"/>
          </w:tcPr>
          <w:p w14:paraId="4E0BAC0E">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Cluster prominence</w:t>
            </w:r>
          </w:p>
        </w:tc>
        <w:tc>
          <w:tcPr>
            <w:tcW w:w="4122" w:type="dxa"/>
            <w:tcBorders>
              <w:top w:val="nil"/>
              <w:bottom w:val="nil"/>
            </w:tcBorders>
            <w:vAlign w:val="center"/>
          </w:tcPr>
          <w:p w14:paraId="30D471C6">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Informational measure of correlation1</w:t>
            </w:r>
          </w:p>
        </w:tc>
      </w:tr>
      <w:tr w14:paraId="4CE7F34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nil"/>
            </w:tcBorders>
          </w:tcPr>
          <w:p w14:paraId="44CB55CD">
            <w:pPr>
              <w:rPr>
                <w:rFonts w:ascii="Times New Roman" w:hAnsi="Times New Roman" w:eastAsia="宋体" w:cs="Times New Roman"/>
                <w:kern w:val="0"/>
                <w:szCs w:val="21"/>
              </w:rPr>
            </w:pPr>
          </w:p>
        </w:tc>
        <w:tc>
          <w:tcPr>
            <w:tcW w:w="1414" w:type="dxa"/>
            <w:vMerge w:val="continue"/>
            <w:tcBorders>
              <w:top w:val="nil"/>
              <w:bottom w:val="nil"/>
            </w:tcBorders>
          </w:tcPr>
          <w:p w14:paraId="47A775EF">
            <w:pPr>
              <w:rPr>
                <w:rFonts w:ascii="Times New Roman" w:hAnsi="Times New Roman" w:eastAsia="宋体" w:cs="Times New Roman"/>
                <w:kern w:val="0"/>
                <w:szCs w:val="21"/>
              </w:rPr>
            </w:pPr>
          </w:p>
        </w:tc>
        <w:tc>
          <w:tcPr>
            <w:tcW w:w="4030" w:type="dxa"/>
            <w:tcBorders>
              <w:top w:val="nil"/>
              <w:bottom w:val="nil"/>
            </w:tcBorders>
            <w:vAlign w:val="center"/>
          </w:tcPr>
          <w:p w14:paraId="7E643134">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Cluster shade</w:t>
            </w:r>
          </w:p>
        </w:tc>
        <w:tc>
          <w:tcPr>
            <w:tcW w:w="4122" w:type="dxa"/>
            <w:tcBorders>
              <w:top w:val="nil"/>
              <w:bottom w:val="nil"/>
            </w:tcBorders>
            <w:vAlign w:val="center"/>
          </w:tcPr>
          <w:p w14:paraId="64C0A0DC">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Informational measure of correlation2</w:t>
            </w:r>
          </w:p>
        </w:tc>
      </w:tr>
      <w:tr w14:paraId="516F9E8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nil"/>
            </w:tcBorders>
          </w:tcPr>
          <w:p w14:paraId="796C14EC">
            <w:pPr>
              <w:rPr>
                <w:rFonts w:ascii="Times New Roman" w:hAnsi="Times New Roman" w:eastAsia="宋体" w:cs="Times New Roman"/>
                <w:kern w:val="0"/>
                <w:szCs w:val="21"/>
              </w:rPr>
            </w:pPr>
          </w:p>
        </w:tc>
        <w:tc>
          <w:tcPr>
            <w:tcW w:w="1414" w:type="dxa"/>
            <w:vMerge w:val="continue"/>
            <w:tcBorders>
              <w:top w:val="nil"/>
              <w:bottom w:val="nil"/>
            </w:tcBorders>
          </w:tcPr>
          <w:p w14:paraId="426B9BCB">
            <w:pPr>
              <w:rPr>
                <w:rFonts w:ascii="Times New Roman" w:hAnsi="Times New Roman" w:eastAsia="宋体" w:cs="Times New Roman"/>
                <w:kern w:val="0"/>
                <w:szCs w:val="21"/>
              </w:rPr>
            </w:pPr>
          </w:p>
        </w:tc>
        <w:tc>
          <w:tcPr>
            <w:tcW w:w="4030" w:type="dxa"/>
            <w:tcBorders>
              <w:top w:val="nil"/>
              <w:bottom w:val="nil"/>
            </w:tcBorders>
            <w:vAlign w:val="center"/>
          </w:tcPr>
          <w:p w14:paraId="3544908A">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Cluster tendency</w:t>
            </w:r>
          </w:p>
        </w:tc>
        <w:tc>
          <w:tcPr>
            <w:tcW w:w="4122" w:type="dxa"/>
            <w:tcBorders>
              <w:top w:val="nil"/>
              <w:bottom w:val="nil"/>
            </w:tcBorders>
            <w:vAlign w:val="center"/>
          </w:tcPr>
          <w:p w14:paraId="2269D726">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Inverse variance</w:t>
            </w:r>
          </w:p>
        </w:tc>
      </w:tr>
      <w:tr w14:paraId="5E1C2DD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nil"/>
            </w:tcBorders>
          </w:tcPr>
          <w:p w14:paraId="42226795">
            <w:pPr>
              <w:rPr>
                <w:rFonts w:ascii="Times New Roman" w:hAnsi="Times New Roman" w:eastAsia="宋体" w:cs="Times New Roman"/>
                <w:kern w:val="0"/>
                <w:szCs w:val="21"/>
              </w:rPr>
            </w:pPr>
          </w:p>
        </w:tc>
        <w:tc>
          <w:tcPr>
            <w:tcW w:w="1414" w:type="dxa"/>
            <w:vMerge w:val="continue"/>
            <w:tcBorders>
              <w:top w:val="nil"/>
              <w:bottom w:val="nil"/>
            </w:tcBorders>
          </w:tcPr>
          <w:p w14:paraId="3CEC893C">
            <w:pPr>
              <w:rPr>
                <w:rFonts w:ascii="Times New Roman" w:hAnsi="Times New Roman" w:eastAsia="宋体" w:cs="Times New Roman"/>
                <w:kern w:val="0"/>
                <w:szCs w:val="21"/>
              </w:rPr>
            </w:pPr>
          </w:p>
        </w:tc>
        <w:tc>
          <w:tcPr>
            <w:tcW w:w="4030" w:type="dxa"/>
            <w:tcBorders>
              <w:top w:val="nil"/>
              <w:bottom w:val="nil"/>
            </w:tcBorders>
            <w:vAlign w:val="center"/>
          </w:tcPr>
          <w:p w14:paraId="59598EEC">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Contrast</w:t>
            </w:r>
          </w:p>
        </w:tc>
        <w:tc>
          <w:tcPr>
            <w:tcW w:w="4122" w:type="dxa"/>
            <w:tcBorders>
              <w:top w:val="nil"/>
              <w:bottom w:val="nil"/>
            </w:tcBorders>
            <w:vAlign w:val="center"/>
          </w:tcPr>
          <w:p w14:paraId="5BCCE28D">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Joint average</w:t>
            </w:r>
          </w:p>
        </w:tc>
      </w:tr>
      <w:tr w14:paraId="19EBB70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nil"/>
            </w:tcBorders>
          </w:tcPr>
          <w:p w14:paraId="7A184DAD">
            <w:pPr>
              <w:rPr>
                <w:rFonts w:ascii="Times New Roman" w:hAnsi="Times New Roman" w:eastAsia="宋体" w:cs="Times New Roman"/>
                <w:kern w:val="0"/>
                <w:szCs w:val="21"/>
              </w:rPr>
            </w:pPr>
          </w:p>
        </w:tc>
        <w:tc>
          <w:tcPr>
            <w:tcW w:w="1414" w:type="dxa"/>
            <w:vMerge w:val="continue"/>
            <w:tcBorders>
              <w:top w:val="nil"/>
              <w:bottom w:val="nil"/>
            </w:tcBorders>
          </w:tcPr>
          <w:p w14:paraId="1168D040">
            <w:pPr>
              <w:rPr>
                <w:rFonts w:ascii="Times New Roman" w:hAnsi="Times New Roman" w:eastAsia="宋体" w:cs="Times New Roman"/>
                <w:kern w:val="0"/>
                <w:szCs w:val="21"/>
              </w:rPr>
            </w:pPr>
          </w:p>
        </w:tc>
        <w:tc>
          <w:tcPr>
            <w:tcW w:w="4030" w:type="dxa"/>
            <w:tcBorders>
              <w:top w:val="nil"/>
              <w:bottom w:val="nil"/>
            </w:tcBorders>
            <w:vAlign w:val="center"/>
          </w:tcPr>
          <w:p w14:paraId="7D09D806">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Correlation</w:t>
            </w:r>
          </w:p>
        </w:tc>
        <w:tc>
          <w:tcPr>
            <w:tcW w:w="4122" w:type="dxa"/>
            <w:tcBorders>
              <w:top w:val="nil"/>
              <w:bottom w:val="nil"/>
            </w:tcBorders>
            <w:vAlign w:val="center"/>
          </w:tcPr>
          <w:p w14:paraId="7DB167E5">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Joint energy</w:t>
            </w:r>
          </w:p>
        </w:tc>
      </w:tr>
      <w:tr w14:paraId="59EA08E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nil"/>
            </w:tcBorders>
          </w:tcPr>
          <w:p w14:paraId="02D849C1">
            <w:pPr>
              <w:rPr>
                <w:rFonts w:ascii="Times New Roman" w:hAnsi="Times New Roman" w:eastAsia="宋体" w:cs="Times New Roman"/>
                <w:kern w:val="0"/>
                <w:szCs w:val="21"/>
              </w:rPr>
            </w:pPr>
          </w:p>
        </w:tc>
        <w:tc>
          <w:tcPr>
            <w:tcW w:w="1414" w:type="dxa"/>
            <w:vMerge w:val="continue"/>
            <w:tcBorders>
              <w:top w:val="nil"/>
              <w:bottom w:val="nil"/>
            </w:tcBorders>
          </w:tcPr>
          <w:p w14:paraId="3E9220EB">
            <w:pPr>
              <w:rPr>
                <w:rFonts w:ascii="Times New Roman" w:hAnsi="Times New Roman" w:eastAsia="宋体" w:cs="Times New Roman"/>
                <w:kern w:val="0"/>
                <w:szCs w:val="21"/>
              </w:rPr>
            </w:pPr>
          </w:p>
        </w:tc>
        <w:tc>
          <w:tcPr>
            <w:tcW w:w="4030" w:type="dxa"/>
            <w:tcBorders>
              <w:top w:val="nil"/>
              <w:bottom w:val="nil"/>
            </w:tcBorders>
            <w:vAlign w:val="center"/>
          </w:tcPr>
          <w:p w14:paraId="0705ACDF">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Difference average</w:t>
            </w:r>
          </w:p>
        </w:tc>
        <w:tc>
          <w:tcPr>
            <w:tcW w:w="4122" w:type="dxa"/>
            <w:tcBorders>
              <w:top w:val="nil"/>
              <w:bottom w:val="nil"/>
            </w:tcBorders>
            <w:vAlign w:val="center"/>
          </w:tcPr>
          <w:p w14:paraId="7FC594CA">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Joint entropy</w:t>
            </w:r>
          </w:p>
        </w:tc>
      </w:tr>
      <w:tr w14:paraId="1920C9C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nil"/>
            </w:tcBorders>
          </w:tcPr>
          <w:p w14:paraId="0264B27B">
            <w:pPr>
              <w:rPr>
                <w:rFonts w:ascii="Times New Roman" w:hAnsi="Times New Roman" w:eastAsia="宋体" w:cs="Times New Roman"/>
                <w:kern w:val="0"/>
                <w:szCs w:val="21"/>
              </w:rPr>
            </w:pPr>
          </w:p>
        </w:tc>
        <w:tc>
          <w:tcPr>
            <w:tcW w:w="1414" w:type="dxa"/>
            <w:vMerge w:val="continue"/>
            <w:tcBorders>
              <w:top w:val="nil"/>
              <w:bottom w:val="nil"/>
            </w:tcBorders>
          </w:tcPr>
          <w:p w14:paraId="6C1FD85F">
            <w:pPr>
              <w:rPr>
                <w:rFonts w:ascii="Times New Roman" w:hAnsi="Times New Roman" w:eastAsia="宋体" w:cs="Times New Roman"/>
                <w:kern w:val="0"/>
                <w:szCs w:val="21"/>
              </w:rPr>
            </w:pPr>
          </w:p>
        </w:tc>
        <w:tc>
          <w:tcPr>
            <w:tcW w:w="4030" w:type="dxa"/>
            <w:tcBorders>
              <w:top w:val="nil"/>
              <w:bottom w:val="nil"/>
            </w:tcBorders>
            <w:vAlign w:val="center"/>
          </w:tcPr>
          <w:p w14:paraId="1CBC9D7E">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Difference entropy</w:t>
            </w:r>
          </w:p>
        </w:tc>
        <w:tc>
          <w:tcPr>
            <w:tcW w:w="4122" w:type="dxa"/>
            <w:tcBorders>
              <w:top w:val="nil"/>
              <w:bottom w:val="nil"/>
            </w:tcBorders>
            <w:vAlign w:val="center"/>
          </w:tcPr>
          <w:p w14:paraId="0AF2A140">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Maximal correlation coefficient</w:t>
            </w:r>
          </w:p>
        </w:tc>
      </w:tr>
      <w:tr w14:paraId="509682AC">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nil"/>
            </w:tcBorders>
          </w:tcPr>
          <w:p w14:paraId="19E898C1">
            <w:pPr>
              <w:rPr>
                <w:rFonts w:ascii="Times New Roman" w:hAnsi="Times New Roman" w:eastAsia="宋体" w:cs="Times New Roman"/>
                <w:kern w:val="0"/>
                <w:szCs w:val="21"/>
              </w:rPr>
            </w:pPr>
          </w:p>
        </w:tc>
        <w:tc>
          <w:tcPr>
            <w:tcW w:w="1414" w:type="dxa"/>
            <w:vMerge w:val="continue"/>
            <w:tcBorders>
              <w:top w:val="nil"/>
              <w:bottom w:val="nil"/>
            </w:tcBorders>
          </w:tcPr>
          <w:p w14:paraId="0B38DAF7">
            <w:pPr>
              <w:rPr>
                <w:rFonts w:ascii="Times New Roman" w:hAnsi="Times New Roman" w:eastAsia="宋体" w:cs="Times New Roman"/>
                <w:kern w:val="0"/>
                <w:szCs w:val="21"/>
              </w:rPr>
            </w:pPr>
          </w:p>
        </w:tc>
        <w:tc>
          <w:tcPr>
            <w:tcW w:w="4030" w:type="dxa"/>
            <w:tcBorders>
              <w:top w:val="nil"/>
              <w:bottom w:val="nil"/>
            </w:tcBorders>
            <w:vAlign w:val="center"/>
          </w:tcPr>
          <w:p w14:paraId="1F34E7B6">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Difference variance</w:t>
            </w:r>
          </w:p>
        </w:tc>
        <w:tc>
          <w:tcPr>
            <w:tcW w:w="4122" w:type="dxa"/>
            <w:tcBorders>
              <w:top w:val="nil"/>
              <w:bottom w:val="nil"/>
            </w:tcBorders>
            <w:vAlign w:val="center"/>
          </w:tcPr>
          <w:p w14:paraId="4BA9EA83">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Maximum probability</w:t>
            </w:r>
          </w:p>
        </w:tc>
      </w:tr>
      <w:tr w14:paraId="7785275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nil"/>
            </w:tcBorders>
          </w:tcPr>
          <w:p w14:paraId="391FED95">
            <w:pPr>
              <w:rPr>
                <w:rFonts w:ascii="Times New Roman" w:hAnsi="Times New Roman" w:eastAsia="宋体" w:cs="Times New Roman"/>
                <w:kern w:val="0"/>
                <w:szCs w:val="21"/>
              </w:rPr>
            </w:pPr>
          </w:p>
        </w:tc>
        <w:tc>
          <w:tcPr>
            <w:tcW w:w="1414" w:type="dxa"/>
            <w:vMerge w:val="continue"/>
            <w:tcBorders>
              <w:top w:val="nil"/>
              <w:bottom w:val="nil"/>
            </w:tcBorders>
          </w:tcPr>
          <w:p w14:paraId="18EA3297">
            <w:pPr>
              <w:rPr>
                <w:rFonts w:ascii="Times New Roman" w:hAnsi="Times New Roman" w:eastAsia="宋体" w:cs="Times New Roman"/>
                <w:kern w:val="0"/>
                <w:szCs w:val="21"/>
              </w:rPr>
            </w:pPr>
          </w:p>
        </w:tc>
        <w:tc>
          <w:tcPr>
            <w:tcW w:w="4030" w:type="dxa"/>
            <w:tcBorders>
              <w:top w:val="nil"/>
              <w:bottom w:val="nil"/>
            </w:tcBorders>
            <w:vAlign w:val="center"/>
          </w:tcPr>
          <w:p w14:paraId="6BA38CF1">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Inverse difference</w:t>
            </w:r>
          </w:p>
        </w:tc>
        <w:tc>
          <w:tcPr>
            <w:tcW w:w="4122" w:type="dxa"/>
            <w:tcBorders>
              <w:top w:val="nil"/>
              <w:bottom w:val="nil"/>
            </w:tcBorders>
            <w:vAlign w:val="center"/>
          </w:tcPr>
          <w:p w14:paraId="7C62DB54">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Sum average</w:t>
            </w:r>
          </w:p>
        </w:tc>
      </w:tr>
      <w:tr w14:paraId="6919E7DC">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nil"/>
            </w:tcBorders>
          </w:tcPr>
          <w:p w14:paraId="4A4412BF">
            <w:pPr>
              <w:rPr>
                <w:rFonts w:ascii="Times New Roman" w:hAnsi="Times New Roman" w:eastAsia="宋体" w:cs="Times New Roman"/>
                <w:kern w:val="0"/>
                <w:szCs w:val="21"/>
              </w:rPr>
            </w:pPr>
          </w:p>
        </w:tc>
        <w:tc>
          <w:tcPr>
            <w:tcW w:w="1414" w:type="dxa"/>
            <w:vMerge w:val="continue"/>
            <w:tcBorders>
              <w:top w:val="nil"/>
              <w:bottom w:val="nil"/>
            </w:tcBorders>
          </w:tcPr>
          <w:p w14:paraId="308FFBE2">
            <w:pPr>
              <w:rPr>
                <w:rFonts w:ascii="Times New Roman" w:hAnsi="Times New Roman" w:eastAsia="宋体" w:cs="Times New Roman"/>
                <w:kern w:val="0"/>
                <w:szCs w:val="21"/>
              </w:rPr>
            </w:pPr>
          </w:p>
        </w:tc>
        <w:tc>
          <w:tcPr>
            <w:tcW w:w="4030" w:type="dxa"/>
            <w:tcBorders>
              <w:top w:val="nil"/>
              <w:bottom w:val="nil"/>
            </w:tcBorders>
            <w:vAlign w:val="center"/>
          </w:tcPr>
          <w:p w14:paraId="1EBEE66B">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Inverse difference moment</w:t>
            </w:r>
          </w:p>
        </w:tc>
        <w:tc>
          <w:tcPr>
            <w:tcW w:w="4122" w:type="dxa"/>
            <w:tcBorders>
              <w:top w:val="nil"/>
              <w:bottom w:val="nil"/>
            </w:tcBorders>
            <w:vAlign w:val="center"/>
          </w:tcPr>
          <w:p w14:paraId="1C9A5E21">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Sum entropy</w:t>
            </w:r>
          </w:p>
        </w:tc>
      </w:tr>
      <w:tr w14:paraId="4CEFC3B7">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single" w:color="auto" w:sz="4" w:space="0"/>
            </w:tcBorders>
          </w:tcPr>
          <w:p w14:paraId="21E0D4E4">
            <w:pPr>
              <w:rPr>
                <w:rFonts w:ascii="Times New Roman" w:hAnsi="Times New Roman" w:eastAsia="宋体" w:cs="Times New Roman"/>
                <w:kern w:val="0"/>
                <w:szCs w:val="21"/>
              </w:rPr>
            </w:pPr>
          </w:p>
        </w:tc>
        <w:tc>
          <w:tcPr>
            <w:tcW w:w="1414" w:type="dxa"/>
            <w:vMerge w:val="continue"/>
            <w:tcBorders>
              <w:top w:val="nil"/>
              <w:bottom w:val="single" w:color="auto" w:sz="4" w:space="0"/>
            </w:tcBorders>
          </w:tcPr>
          <w:p w14:paraId="4953ECDE">
            <w:pPr>
              <w:rPr>
                <w:rFonts w:ascii="Times New Roman" w:hAnsi="Times New Roman" w:eastAsia="宋体" w:cs="Times New Roman"/>
                <w:kern w:val="0"/>
                <w:szCs w:val="21"/>
              </w:rPr>
            </w:pPr>
          </w:p>
        </w:tc>
        <w:tc>
          <w:tcPr>
            <w:tcW w:w="4030" w:type="dxa"/>
            <w:tcBorders>
              <w:top w:val="nil"/>
              <w:bottom w:val="single" w:color="auto" w:sz="4" w:space="0"/>
            </w:tcBorders>
            <w:vAlign w:val="center"/>
          </w:tcPr>
          <w:p w14:paraId="33B2E9C6">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Inverse difference moment Normalized</w:t>
            </w:r>
          </w:p>
        </w:tc>
        <w:tc>
          <w:tcPr>
            <w:tcW w:w="4122" w:type="dxa"/>
            <w:tcBorders>
              <w:top w:val="nil"/>
              <w:bottom w:val="single" w:color="auto" w:sz="4" w:space="0"/>
            </w:tcBorders>
            <w:vAlign w:val="center"/>
          </w:tcPr>
          <w:p w14:paraId="71BF24B2">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Sum squares</w:t>
            </w:r>
          </w:p>
        </w:tc>
      </w:tr>
      <w:tr w14:paraId="63A7507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restart"/>
            <w:tcBorders>
              <w:bottom w:val="nil"/>
            </w:tcBorders>
            <w:vAlign w:val="center"/>
          </w:tcPr>
          <w:p w14:paraId="2534117C">
            <w:pPr>
              <w:jc w:val="center"/>
              <w:rPr>
                <w:rFonts w:ascii="Times New Roman" w:hAnsi="Times New Roman" w:eastAsia="宋体" w:cs="Times New Roman"/>
                <w:kern w:val="0"/>
                <w:szCs w:val="21"/>
              </w:rPr>
            </w:pPr>
            <w:r>
              <w:rPr>
                <w:rFonts w:ascii="Times New Roman" w:hAnsi="Times New Roman" w:eastAsia="宋体" w:cs="Times New Roman"/>
                <w:kern w:val="0"/>
                <w:szCs w:val="21"/>
                <w:lang w:bidi="ar"/>
              </w:rPr>
              <w:t>GLRLM</w:t>
            </w:r>
          </w:p>
        </w:tc>
        <w:tc>
          <w:tcPr>
            <w:tcW w:w="1414" w:type="dxa"/>
            <w:vMerge w:val="restart"/>
            <w:tcBorders>
              <w:bottom w:val="nil"/>
            </w:tcBorders>
            <w:vAlign w:val="center"/>
          </w:tcPr>
          <w:p w14:paraId="598F78E5">
            <w:pPr>
              <w:jc w:val="center"/>
              <w:rPr>
                <w:rFonts w:ascii="Times New Roman" w:hAnsi="Times New Roman" w:eastAsia="宋体" w:cs="Times New Roman"/>
                <w:kern w:val="0"/>
                <w:szCs w:val="21"/>
              </w:rPr>
            </w:pPr>
            <w:r>
              <w:rPr>
                <w:rFonts w:ascii="Times New Roman" w:hAnsi="Times New Roman" w:eastAsia="宋体" w:cs="Times New Roman"/>
                <w:kern w:val="0"/>
                <w:szCs w:val="21"/>
              </w:rPr>
              <w:t>16</w:t>
            </w:r>
          </w:p>
        </w:tc>
        <w:tc>
          <w:tcPr>
            <w:tcW w:w="4030" w:type="dxa"/>
            <w:tcBorders>
              <w:bottom w:val="nil"/>
            </w:tcBorders>
            <w:vAlign w:val="center"/>
          </w:tcPr>
          <w:p w14:paraId="701DC187">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Gray level non-uniformity</w:t>
            </w:r>
          </w:p>
        </w:tc>
        <w:tc>
          <w:tcPr>
            <w:tcW w:w="4122" w:type="dxa"/>
            <w:tcBorders>
              <w:bottom w:val="nil"/>
            </w:tcBorders>
            <w:vAlign w:val="center"/>
          </w:tcPr>
          <w:p w14:paraId="40965E2A">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Run entropy</w:t>
            </w:r>
          </w:p>
        </w:tc>
      </w:tr>
      <w:tr w14:paraId="3B23A87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nil"/>
            </w:tcBorders>
          </w:tcPr>
          <w:p w14:paraId="24C7C672">
            <w:pPr>
              <w:rPr>
                <w:rFonts w:ascii="Times New Roman" w:hAnsi="Times New Roman" w:eastAsia="宋体" w:cs="Times New Roman"/>
                <w:kern w:val="0"/>
                <w:szCs w:val="21"/>
              </w:rPr>
            </w:pPr>
          </w:p>
        </w:tc>
        <w:tc>
          <w:tcPr>
            <w:tcW w:w="1414" w:type="dxa"/>
            <w:vMerge w:val="continue"/>
            <w:tcBorders>
              <w:top w:val="nil"/>
              <w:bottom w:val="nil"/>
            </w:tcBorders>
          </w:tcPr>
          <w:p w14:paraId="1F14C0A2">
            <w:pPr>
              <w:rPr>
                <w:rFonts w:ascii="Times New Roman" w:hAnsi="Times New Roman" w:eastAsia="宋体" w:cs="Times New Roman"/>
                <w:kern w:val="0"/>
                <w:szCs w:val="21"/>
              </w:rPr>
            </w:pPr>
          </w:p>
        </w:tc>
        <w:tc>
          <w:tcPr>
            <w:tcW w:w="4030" w:type="dxa"/>
            <w:tcBorders>
              <w:top w:val="nil"/>
              <w:bottom w:val="nil"/>
            </w:tcBorders>
            <w:vAlign w:val="center"/>
          </w:tcPr>
          <w:p w14:paraId="7A2EC9AF">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Gray level non-uniformity Normalized</w:t>
            </w:r>
          </w:p>
        </w:tc>
        <w:tc>
          <w:tcPr>
            <w:tcW w:w="4122" w:type="dxa"/>
            <w:tcBorders>
              <w:top w:val="nil"/>
              <w:bottom w:val="nil"/>
            </w:tcBorders>
            <w:vAlign w:val="center"/>
          </w:tcPr>
          <w:p w14:paraId="6FFC3FAC">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Run length non-uniformity</w:t>
            </w:r>
          </w:p>
        </w:tc>
      </w:tr>
      <w:tr w14:paraId="53D9F5C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bottom w:val="single" w:color="auto" w:sz="4" w:space="0"/>
            </w:tcBorders>
          </w:tcPr>
          <w:p w14:paraId="620398C0">
            <w:pPr>
              <w:rPr>
                <w:rFonts w:ascii="Times New Roman" w:hAnsi="Times New Roman" w:eastAsia="宋体" w:cs="Times New Roman"/>
                <w:kern w:val="0"/>
                <w:szCs w:val="21"/>
              </w:rPr>
            </w:pPr>
          </w:p>
        </w:tc>
        <w:tc>
          <w:tcPr>
            <w:tcW w:w="1414" w:type="dxa"/>
            <w:vMerge w:val="continue"/>
            <w:tcBorders>
              <w:top w:val="nil"/>
              <w:bottom w:val="single" w:color="auto" w:sz="4" w:space="0"/>
            </w:tcBorders>
          </w:tcPr>
          <w:p w14:paraId="3F07F9AF">
            <w:pPr>
              <w:rPr>
                <w:rFonts w:ascii="Times New Roman" w:hAnsi="Times New Roman" w:eastAsia="宋体" w:cs="Times New Roman"/>
                <w:kern w:val="0"/>
                <w:szCs w:val="21"/>
              </w:rPr>
            </w:pPr>
          </w:p>
        </w:tc>
        <w:tc>
          <w:tcPr>
            <w:tcW w:w="4030" w:type="dxa"/>
            <w:tcBorders>
              <w:top w:val="nil"/>
              <w:bottom w:val="nil"/>
            </w:tcBorders>
            <w:vAlign w:val="center"/>
          </w:tcPr>
          <w:p w14:paraId="300272AF">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Gray level variance</w:t>
            </w:r>
          </w:p>
        </w:tc>
        <w:tc>
          <w:tcPr>
            <w:tcW w:w="4122" w:type="dxa"/>
            <w:tcBorders>
              <w:top w:val="nil"/>
              <w:bottom w:val="nil"/>
            </w:tcBorders>
            <w:vAlign w:val="center"/>
          </w:tcPr>
          <w:p w14:paraId="68F681AF">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Run length non-uniformity Normalized</w:t>
            </w:r>
          </w:p>
        </w:tc>
      </w:tr>
      <w:tr w14:paraId="27C29A4B">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single" w:color="auto" w:sz="4" w:space="0"/>
            </w:tcBorders>
          </w:tcPr>
          <w:p w14:paraId="6BB7DADE">
            <w:pPr>
              <w:rPr>
                <w:rFonts w:ascii="Times New Roman" w:hAnsi="Times New Roman" w:eastAsia="宋体" w:cs="Times New Roman"/>
                <w:kern w:val="0"/>
                <w:szCs w:val="21"/>
              </w:rPr>
            </w:pPr>
          </w:p>
        </w:tc>
        <w:tc>
          <w:tcPr>
            <w:tcW w:w="1414" w:type="dxa"/>
            <w:vMerge w:val="continue"/>
            <w:tcBorders>
              <w:top w:val="single" w:color="auto" w:sz="4" w:space="0"/>
            </w:tcBorders>
          </w:tcPr>
          <w:p w14:paraId="07545A3B">
            <w:pPr>
              <w:rPr>
                <w:rFonts w:ascii="Times New Roman" w:hAnsi="Times New Roman" w:eastAsia="宋体" w:cs="Times New Roman"/>
                <w:kern w:val="0"/>
                <w:szCs w:val="21"/>
              </w:rPr>
            </w:pPr>
          </w:p>
        </w:tc>
        <w:tc>
          <w:tcPr>
            <w:tcW w:w="4030" w:type="dxa"/>
            <w:tcBorders>
              <w:top w:val="nil"/>
              <w:bottom w:val="nil"/>
            </w:tcBorders>
            <w:vAlign w:val="center"/>
          </w:tcPr>
          <w:p w14:paraId="4A164C58">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High gray level run emphasis</w:t>
            </w:r>
          </w:p>
        </w:tc>
        <w:tc>
          <w:tcPr>
            <w:tcW w:w="4122" w:type="dxa"/>
            <w:tcBorders>
              <w:top w:val="nil"/>
              <w:bottom w:val="nil"/>
            </w:tcBorders>
            <w:vAlign w:val="center"/>
          </w:tcPr>
          <w:p w14:paraId="547BADAD">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Run percentage</w:t>
            </w:r>
          </w:p>
        </w:tc>
      </w:tr>
      <w:tr w14:paraId="64F2A39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6FA5FDEB">
            <w:pPr>
              <w:rPr>
                <w:rFonts w:ascii="Times New Roman" w:hAnsi="Times New Roman" w:eastAsia="宋体" w:cs="Times New Roman"/>
                <w:kern w:val="0"/>
                <w:szCs w:val="21"/>
              </w:rPr>
            </w:pPr>
          </w:p>
        </w:tc>
        <w:tc>
          <w:tcPr>
            <w:tcW w:w="1414" w:type="dxa"/>
            <w:vMerge w:val="continue"/>
          </w:tcPr>
          <w:p w14:paraId="4E0B15EF">
            <w:pPr>
              <w:rPr>
                <w:rFonts w:ascii="Times New Roman" w:hAnsi="Times New Roman" w:eastAsia="宋体" w:cs="Times New Roman"/>
                <w:kern w:val="0"/>
                <w:szCs w:val="21"/>
              </w:rPr>
            </w:pPr>
          </w:p>
        </w:tc>
        <w:tc>
          <w:tcPr>
            <w:tcW w:w="4030" w:type="dxa"/>
            <w:tcBorders>
              <w:top w:val="nil"/>
              <w:bottom w:val="nil"/>
            </w:tcBorders>
            <w:vAlign w:val="center"/>
          </w:tcPr>
          <w:p w14:paraId="1A554B84">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Long run emphasis</w:t>
            </w:r>
          </w:p>
        </w:tc>
        <w:tc>
          <w:tcPr>
            <w:tcW w:w="4122" w:type="dxa"/>
            <w:tcBorders>
              <w:top w:val="nil"/>
              <w:bottom w:val="nil"/>
            </w:tcBorders>
            <w:vAlign w:val="center"/>
          </w:tcPr>
          <w:p w14:paraId="553ECAB0">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Run variance</w:t>
            </w:r>
          </w:p>
        </w:tc>
      </w:tr>
      <w:tr w14:paraId="4E297E8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4B79E584">
            <w:pPr>
              <w:rPr>
                <w:rFonts w:ascii="Times New Roman" w:hAnsi="Times New Roman" w:eastAsia="宋体" w:cs="Times New Roman"/>
                <w:kern w:val="0"/>
                <w:szCs w:val="21"/>
              </w:rPr>
            </w:pPr>
          </w:p>
        </w:tc>
        <w:tc>
          <w:tcPr>
            <w:tcW w:w="1414" w:type="dxa"/>
            <w:vMerge w:val="continue"/>
          </w:tcPr>
          <w:p w14:paraId="1E66CBC0">
            <w:pPr>
              <w:rPr>
                <w:rFonts w:ascii="Times New Roman" w:hAnsi="Times New Roman" w:eastAsia="宋体" w:cs="Times New Roman"/>
                <w:kern w:val="0"/>
                <w:szCs w:val="21"/>
              </w:rPr>
            </w:pPr>
          </w:p>
        </w:tc>
        <w:tc>
          <w:tcPr>
            <w:tcW w:w="4030" w:type="dxa"/>
            <w:tcBorders>
              <w:top w:val="nil"/>
              <w:bottom w:val="nil"/>
            </w:tcBorders>
            <w:vAlign w:val="center"/>
          </w:tcPr>
          <w:p w14:paraId="68A35393">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Long run high gray level Emphasis</w:t>
            </w:r>
          </w:p>
        </w:tc>
        <w:tc>
          <w:tcPr>
            <w:tcW w:w="4122" w:type="dxa"/>
            <w:tcBorders>
              <w:top w:val="nil"/>
              <w:bottom w:val="nil"/>
            </w:tcBorders>
            <w:vAlign w:val="center"/>
          </w:tcPr>
          <w:p w14:paraId="5CCA0B89">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Short run emphasis</w:t>
            </w:r>
          </w:p>
        </w:tc>
      </w:tr>
      <w:tr w14:paraId="3A073D1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28E6FEBF">
            <w:pPr>
              <w:rPr>
                <w:rFonts w:ascii="Times New Roman" w:hAnsi="Times New Roman" w:eastAsia="宋体" w:cs="Times New Roman"/>
                <w:kern w:val="0"/>
                <w:szCs w:val="21"/>
              </w:rPr>
            </w:pPr>
          </w:p>
        </w:tc>
        <w:tc>
          <w:tcPr>
            <w:tcW w:w="1414" w:type="dxa"/>
            <w:vMerge w:val="continue"/>
          </w:tcPr>
          <w:p w14:paraId="40C79DBC">
            <w:pPr>
              <w:rPr>
                <w:rFonts w:ascii="Times New Roman" w:hAnsi="Times New Roman" w:eastAsia="宋体" w:cs="Times New Roman"/>
                <w:kern w:val="0"/>
                <w:szCs w:val="21"/>
              </w:rPr>
            </w:pPr>
          </w:p>
        </w:tc>
        <w:tc>
          <w:tcPr>
            <w:tcW w:w="4030" w:type="dxa"/>
            <w:tcBorders>
              <w:top w:val="nil"/>
              <w:bottom w:val="nil"/>
            </w:tcBorders>
            <w:vAlign w:val="center"/>
          </w:tcPr>
          <w:p w14:paraId="44FAFF8D">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Long run low gray level Emphasis</w:t>
            </w:r>
          </w:p>
        </w:tc>
        <w:tc>
          <w:tcPr>
            <w:tcW w:w="4122" w:type="dxa"/>
            <w:tcBorders>
              <w:top w:val="nil"/>
              <w:bottom w:val="nil"/>
            </w:tcBorders>
            <w:vAlign w:val="center"/>
          </w:tcPr>
          <w:p w14:paraId="6C2A9E49">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Short run high gray level Emphasis</w:t>
            </w:r>
          </w:p>
        </w:tc>
      </w:tr>
      <w:tr w14:paraId="32988FA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42BFB52F">
            <w:pPr>
              <w:rPr>
                <w:rFonts w:ascii="Times New Roman" w:hAnsi="Times New Roman" w:eastAsia="宋体" w:cs="Times New Roman"/>
                <w:kern w:val="0"/>
                <w:szCs w:val="21"/>
              </w:rPr>
            </w:pPr>
          </w:p>
        </w:tc>
        <w:tc>
          <w:tcPr>
            <w:tcW w:w="1414" w:type="dxa"/>
            <w:vMerge w:val="continue"/>
          </w:tcPr>
          <w:p w14:paraId="4F96A264">
            <w:pPr>
              <w:rPr>
                <w:rFonts w:ascii="Times New Roman" w:hAnsi="Times New Roman" w:eastAsia="宋体" w:cs="Times New Roman"/>
                <w:kern w:val="0"/>
                <w:szCs w:val="21"/>
              </w:rPr>
            </w:pPr>
          </w:p>
        </w:tc>
        <w:tc>
          <w:tcPr>
            <w:tcW w:w="4030" w:type="dxa"/>
            <w:tcBorders>
              <w:top w:val="nil"/>
              <w:bottom w:val="single" w:color="auto" w:sz="4" w:space="0"/>
            </w:tcBorders>
            <w:vAlign w:val="center"/>
          </w:tcPr>
          <w:p w14:paraId="60E0B9C2">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Low gray level run emphasis</w:t>
            </w:r>
          </w:p>
        </w:tc>
        <w:tc>
          <w:tcPr>
            <w:tcW w:w="4122" w:type="dxa"/>
            <w:tcBorders>
              <w:top w:val="nil"/>
              <w:bottom w:val="single" w:color="auto" w:sz="4" w:space="0"/>
            </w:tcBorders>
            <w:vAlign w:val="center"/>
          </w:tcPr>
          <w:p w14:paraId="284322BE">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Short run low gray level Emphasis</w:t>
            </w:r>
          </w:p>
        </w:tc>
      </w:tr>
      <w:tr w14:paraId="23125C1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restart"/>
            <w:vAlign w:val="center"/>
          </w:tcPr>
          <w:p w14:paraId="21CB5E65">
            <w:pPr>
              <w:jc w:val="center"/>
              <w:rPr>
                <w:rFonts w:ascii="Times New Roman" w:hAnsi="Times New Roman" w:eastAsia="宋体" w:cs="Times New Roman"/>
                <w:kern w:val="0"/>
                <w:szCs w:val="21"/>
              </w:rPr>
            </w:pPr>
            <w:r>
              <w:rPr>
                <w:rFonts w:ascii="Times New Roman" w:hAnsi="Times New Roman" w:eastAsia="宋体" w:cs="Times New Roman"/>
                <w:kern w:val="0"/>
                <w:szCs w:val="21"/>
                <w:lang w:bidi="ar"/>
              </w:rPr>
              <w:t>GLSZM</w:t>
            </w:r>
          </w:p>
        </w:tc>
        <w:tc>
          <w:tcPr>
            <w:tcW w:w="1414" w:type="dxa"/>
            <w:vMerge w:val="restart"/>
            <w:vAlign w:val="center"/>
          </w:tcPr>
          <w:p w14:paraId="11F11E0A">
            <w:pPr>
              <w:jc w:val="center"/>
              <w:rPr>
                <w:rFonts w:ascii="Times New Roman" w:hAnsi="Times New Roman" w:eastAsia="宋体" w:cs="Times New Roman"/>
                <w:kern w:val="0"/>
                <w:szCs w:val="21"/>
              </w:rPr>
            </w:pPr>
            <w:r>
              <w:rPr>
                <w:rFonts w:ascii="Times New Roman" w:hAnsi="Times New Roman" w:eastAsia="宋体" w:cs="Times New Roman"/>
                <w:kern w:val="0"/>
                <w:szCs w:val="21"/>
              </w:rPr>
              <w:t>16</w:t>
            </w:r>
          </w:p>
        </w:tc>
        <w:tc>
          <w:tcPr>
            <w:tcW w:w="4030" w:type="dxa"/>
            <w:tcBorders>
              <w:bottom w:val="nil"/>
            </w:tcBorders>
            <w:vAlign w:val="center"/>
          </w:tcPr>
          <w:p w14:paraId="6A1A14D6">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Gray level non-uniformity</w:t>
            </w:r>
          </w:p>
        </w:tc>
        <w:tc>
          <w:tcPr>
            <w:tcW w:w="4122" w:type="dxa"/>
            <w:tcBorders>
              <w:bottom w:val="nil"/>
            </w:tcBorders>
            <w:vAlign w:val="center"/>
          </w:tcPr>
          <w:p w14:paraId="059E4038">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Size-zone non-uniformity</w:t>
            </w:r>
          </w:p>
        </w:tc>
      </w:tr>
      <w:tr w14:paraId="6F56601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1263BD98">
            <w:pPr>
              <w:rPr>
                <w:rFonts w:ascii="Times New Roman" w:hAnsi="Times New Roman" w:eastAsia="宋体" w:cs="Times New Roman"/>
                <w:kern w:val="0"/>
                <w:szCs w:val="21"/>
              </w:rPr>
            </w:pPr>
          </w:p>
        </w:tc>
        <w:tc>
          <w:tcPr>
            <w:tcW w:w="1414" w:type="dxa"/>
            <w:vMerge w:val="continue"/>
          </w:tcPr>
          <w:p w14:paraId="176D1E87">
            <w:pPr>
              <w:rPr>
                <w:rFonts w:ascii="Times New Roman" w:hAnsi="Times New Roman" w:eastAsia="宋体" w:cs="Times New Roman"/>
                <w:kern w:val="0"/>
                <w:szCs w:val="21"/>
              </w:rPr>
            </w:pPr>
          </w:p>
        </w:tc>
        <w:tc>
          <w:tcPr>
            <w:tcW w:w="4030" w:type="dxa"/>
            <w:tcBorders>
              <w:top w:val="nil"/>
              <w:bottom w:val="nil"/>
            </w:tcBorders>
            <w:vAlign w:val="center"/>
          </w:tcPr>
          <w:p w14:paraId="5038DE42">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Gray level non-uniformity Normalized</w:t>
            </w:r>
          </w:p>
        </w:tc>
        <w:tc>
          <w:tcPr>
            <w:tcW w:w="4122" w:type="dxa"/>
            <w:tcBorders>
              <w:top w:val="nil"/>
              <w:bottom w:val="nil"/>
            </w:tcBorders>
            <w:vAlign w:val="center"/>
          </w:tcPr>
          <w:p w14:paraId="30B3732D">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Size-zone non-uniformity Normalized</w:t>
            </w:r>
          </w:p>
        </w:tc>
      </w:tr>
      <w:tr w14:paraId="2C3D17B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5FB1048E">
            <w:pPr>
              <w:rPr>
                <w:rFonts w:ascii="Times New Roman" w:hAnsi="Times New Roman" w:eastAsia="宋体" w:cs="Times New Roman"/>
                <w:kern w:val="0"/>
                <w:szCs w:val="21"/>
              </w:rPr>
            </w:pPr>
          </w:p>
        </w:tc>
        <w:tc>
          <w:tcPr>
            <w:tcW w:w="1414" w:type="dxa"/>
            <w:vMerge w:val="continue"/>
          </w:tcPr>
          <w:p w14:paraId="2508B067">
            <w:pPr>
              <w:rPr>
                <w:rFonts w:ascii="Times New Roman" w:hAnsi="Times New Roman" w:eastAsia="宋体" w:cs="Times New Roman"/>
                <w:kern w:val="0"/>
                <w:szCs w:val="21"/>
              </w:rPr>
            </w:pPr>
          </w:p>
        </w:tc>
        <w:tc>
          <w:tcPr>
            <w:tcW w:w="4030" w:type="dxa"/>
            <w:tcBorders>
              <w:top w:val="nil"/>
              <w:bottom w:val="nil"/>
            </w:tcBorders>
            <w:vAlign w:val="center"/>
          </w:tcPr>
          <w:p w14:paraId="596419B6">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Gray level variance</w:t>
            </w:r>
          </w:p>
        </w:tc>
        <w:tc>
          <w:tcPr>
            <w:tcW w:w="4122" w:type="dxa"/>
            <w:tcBorders>
              <w:top w:val="nil"/>
              <w:bottom w:val="nil"/>
            </w:tcBorders>
            <w:vAlign w:val="center"/>
          </w:tcPr>
          <w:p w14:paraId="703B4118">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Small area emphasis</w:t>
            </w:r>
          </w:p>
        </w:tc>
      </w:tr>
      <w:tr w14:paraId="5F0CE8A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3EC40486">
            <w:pPr>
              <w:rPr>
                <w:rFonts w:ascii="Times New Roman" w:hAnsi="Times New Roman" w:eastAsia="宋体" w:cs="Times New Roman"/>
                <w:kern w:val="0"/>
                <w:szCs w:val="21"/>
              </w:rPr>
            </w:pPr>
          </w:p>
        </w:tc>
        <w:tc>
          <w:tcPr>
            <w:tcW w:w="1414" w:type="dxa"/>
            <w:vMerge w:val="continue"/>
          </w:tcPr>
          <w:p w14:paraId="00EE6D3D">
            <w:pPr>
              <w:rPr>
                <w:rFonts w:ascii="Times New Roman" w:hAnsi="Times New Roman" w:eastAsia="宋体" w:cs="Times New Roman"/>
                <w:kern w:val="0"/>
                <w:szCs w:val="21"/>
              </w:rPr>
            </w:pPr>
          </w:p>
        </w:tc>
        <w:tc>
          <w:tcPr>
            <w:tcW w:w="4030" w:type="dxa"/>
            <w:tcBorders>
              <w:top w:val="nil"/>
              <w:bottom w:val="nil"/>
            </w:tcBorders>
            <w:vAlign w:val="center"/>
          </w:tcPr>
          <w:p w14:paraId="55E1677E">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High gray level zone emphasis</w:t>
            </w:r>
          </w:p>
        </w:tc>
        <w:tc>
          <w:tcPr>
            <w:tcW w:w="4122" w:type="dxa"/>
            <w:tcBorders>
              <w:top w:val="nil"/>
              <w:bottom w:val="nil"/>
            </w:tcBorders>
            <w:vAlign w:val="center"/>
          </w:tcPr>
          <w:p w14:paraId="434C3EAA">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Small area high gray level Emphasis</w:t>
            </w:r>
          </w:p>
        </w:tc>
      </w:tr>
      <w:tr w14:paraId="63564BD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0D465A43">
            <w:pPr>
              <w:rPr>
                <w:rFonts w:ascii="Times New Roman" w:hAnsi="Times New Roman" w:eastAsia="宋体" w:cs="Times New Roman"/>
                <w:kern w:val="0"/>
                <w:szCs w:val="21"/>
              </w:rPr>
            </w:pPr>
          </w:p>
        </w:tc>
        <w:tc>
          <w:tcPr>
            <w:tcW w:w="1414" w:type="dxa"/>
            <w:vMerge w:val="continue"/>
          </w:tcPr>
          <w:p w14:paraId="5F017F06">
            <w:pPr>
              <w:rPr>
                <w:rFonts w:ascii="Times New Roman" w:hAnsi="Times New Roman" w:eastAsia="宋体" w:cs="Times New Roman"/>
                <w:kern w:val="0"/>
                <w:szCs w:val="21"/>
              </w:rPr>
            </w:pPr>
          </w:p>
        </w:tc>
        <w:tc>
          <w:tcPr>
            <w:tcW w:w="4030" w:type="dxa"/>
            <w:tcBorders>
              <w:top w:val="nil"/>
              <w:bottom w:val="nil"/>
            </w:tcBorders>
            <w:vAlign w:val="center"/>
          </w:tcPr>
          <w:p w14:paraId="5772FC58">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Large area emphasis</w:t>
            </w:r>
          </w:p>
        </w:tc>
        <w:tc>
          <w:tcPr>
            <w:tcW w:w="4122" w:type="dxa"/>
            <w:tcBorders>
              <w:top w:val="nil"/>
              <w:bottom w:val="nil"/>
            </w:tcBorders>
            <w:vAlign w:val="center"/>
          </w:tcPr>
          <w:p w14:paraId="71479CC6">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Small area low gray level Emphasis</w:t>
            </w:r>
          </w:p>
        </w:tc>
      </w:tr>
      <w:tr w14:paraId="6CF64B6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00A87750">
            <w:pPr>
              <w:rPr>
                <w:rFonts w:ascii="Times New Roman" w:hAnsi="Times New Roman" w:eastAsia="宋体" w:cs="Times New Roman"/>
                <w:kern w:val="0"/>
                <w:szCs w:val="21"/>
              </w:rPr>
            </w:pPr>
          </w:p>
        </w:tc>
        <w:tc>
          <w:tcPr>
            <w:tcW w:w="1414" w:type="dxa"/>
            <w:vMerge w:val="continue"/>
          </w:tcPr>
          <w:p w14:paraId="59F5E35F">
            <w:pPr>
              <w:rPr>
                <w:rFonts w:ascii="Times New Roman" w:hAnsi="Times New Roman" w:eastAsia="宋体" w:cs="Times New Roman"/>
                <w:kern w:val="0"/>
                <w:szCs w:val="21"/>
              </w:rPr>
            </w:pPr>
          </w:p>
        </w:tc>
        <w:tc>
          <w:tcPr>
            <w:tcW w:w="4030" w:type="dxa"/>
            <w:tcBorders>
              <w:top w:val="nil"/>
              <w:bottom w:val="nil"/>
            </w:tcBorders>
            <w:vAlign w:val="center"/>
          </w:tcPr>
          <w:p w14:paraId="49208CE7">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Large area high gray level Emphasis</w:t>
            </w:r>
          </w:p>
        </w:tc>
        <w:tc>
          <w:tcPr>
            <w:tcW w:w="4122" w:type="dxa"/>
            <w:tcBorders>
              <w:top w:val="nil"/>
              <w:bottom w:val="nil"/>
            </w:tcBorders>
            <w:vAlign w:val="center"/>
          </w:tcPr>
          <w:p w14:paraId="00CA539C">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Zone entropy</w:t>
            </w:r>
          </w:p>
        </w:tc>
      </w:tr>
      <w:tr w14:paraId="4877E55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Pr>
          <w:p w14:paraId="3FB7B66A">
            <w:pPr>
              <w:rPr>
                <w:rFonts w:ascii="Times New Roman" w:hAnsi="Times New Roman" w:eastAsia="宋体" w:cs="Times New Roman"/>
                <w:kern w:val="0"/>
                <w:szCs w:val="21"/>
              </w:rPr>
            </w:pPr>
          </w:p>
        </w:tc>
        <w:tc>
          <w:tcPr>
            <w:tcW w:w="1414" w:type="dxa"/>
            <w:vMerge w:val="continue"/>
          </w:tcPr>
          <w:p w14:paraId="05DDD99A">
            <w:pPr>
              <w:rPr>
                <w:rFonts w:ascii="Times New Roman" w:hAnsi="Times New Roman" w:eastAsia="宋体" w:cs="Times New Roman"/>
                <w:kern w:val="0"/>
                <w:szCs w:val="21"/>
              </w:rPr>
            </w:pPr>
          </w:p>
        </w:tc>
        <w:tc>
          <w:tcPr>
            <w:tcW w:w="4030" w:type="dxa"/>
            <w:tcBorders>
              <w:top w:val="nil"/>
              <w:bottom w:val="nil"/>
            </w:tcBorders>
            <w:vAlign w:val="center"/>
          </w:tcPr>
          <w:p w14:paraId="2AF19B4C">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Large area low gray level Emphasis</w:t>
            </w:r>
          </w:p>
        </w:tc>
        <w:tc>
          <w:tcPr>
            <w:tcW w:w="4122" w:type="dxa"/>
            <w:tcBorders>
              <w:top w:val="nil"/>
              <w:bottom w:val="nil"/>
            </w:tcBorders>
            <w:vAlign w:val="center"/>
          </w:tcPr>
          <w:p w14:paraId="11DF8ED9">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Zone percentage</w:t>
            </w:r>
          </w:p>
        </w:tc>
      </w:tr>
      <w:tr w14:paraId="0B1C346C">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bottom w:val="single" w:color="auto" w:sz="4" w:space="0"/>
            </w:tcBorders>
          </w:tcPr>
          <w:p w14:paraId="3AA4F6AB">
            <w:pPr>
              <w:rPr>
                <w:rFonts w:ascii="Times New Roman" w:hAnsi="Times New Roman" w:eastAsia="宋体" w:cs="Times New Roman"/>
                <w:kern w:val="0"/>
                <w:szCs w:val="21"/>
              </w:rPr>
            </w:pPr>
          </w:p>
        </w:tc>
        <w:tc>
          <w:tcPr>
            <w:tcW w:w="1414" w:type="dxa"/>
            <w:vMerge w:val="continue"/>
            <w:tcBorders>
              <w:bottom w:val="single" w:color="auto" w:sz="4" w:space="0"/>
            </w:tcBorders>
          </w:tcPr>
          <w:p w14:paraId="6597D855">
            <w:pPr>
              <w:rPr>
                <w:rFonts w:ascii="Times New Roman" w:hAnsi="Times New Roman" w:eastAsia="宋体" w:cs="Times New Roman"/>
                <w:kern w:val="0"/>
                <w:szCs w:val="21"/>
              </w:rPr>
            </w:pPr>
          </w:p>
        </w:tc>
        <w:tc>
          <w:tcPr>
            <w:tcW w:w="4030" w:type="dxa"/>
            <w:tcBorders>
              <w:top w:val="nil"/>
              <w:bottom w:val="single" w:color="auto" w:sz="4" w:space="0"/>
            </w:tcBorders>
            <w:vAlign w:val="center"/>
          </w:tcPr>
          <w:p w14:paraId="0D532965">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Low gray level zone emphasis</w:t>
            </w:r>
          </w:p>
        </w:tc>
        <w:tc>
          <w:tcPr>
            <w:tcW w:w="4122" w:type="dxa"/>
            <w:tcBorders>
              <w:top w:val="nil"/>
              <w:bottom w:val="single" w:color="auto" w:sz="4" w:space="0"/>
            </w:tcBorders>
            <w:vAlign w:val="center"/>
          </w:tcPr>
          <w:p w14:paraId="4A67CC7A">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Zone variance</w:t>
            </w:r>
          </w:p>
        </w:tc>
      </w:tr>
      <w:tr w14:paraId="4917A32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restart"/>
            <w:tcBorders>
              <w:bottom w:val="nil"/>
            </w:tcBorders>
            <w:vAlign w:val="center"/>
          </w:tcPr>
          <w:p w14:paraId="5413CD61">
            <w:pPr>
              <w:jc w:val="center"/>
              <w:rPr>
                <w:rFonts w:ascii="Times New Roman" w:hAnsi="Times New Roman" w:eastAsia="宋体" w:cs="Times New Roman"/>
                <w:kern w:val="0"/>
                <w:szCs w:val="21"/>
              </w:rPr>
            </w:pPr>
            <w:r>
              <w:rPr>
                <w:rFonts w:ascii="Times New Roman" w:hAnsi="Times New Roman" w:eastAsia="宋体" w:cs="Times New Roman"/>
                <w:kern w:val="0"/>
                <w:szCs w:val="21"/>
                <w:lang w:bidi="ar"/>
              </w:rPr>
              <w:t>NGTDM</w:t>
            </w:r>
          </w:p>
        </w:tc>
        <w:tc>
          <w:tcPr>
            <w:tcW w:w="1414" w:type="dxa"/>
            <w:vMerge w:val="restart"/>
            <w:tcBorders>
              <w:bottom w:val="nil"/>
            </w:tcBorders>
            <w:vAlign w:val="center"/>
          </w:tcPr>
          <w:p w14:paraId="16BADA48">
            <w:pPr>
              <w:jc w:val="center"/>
              <w:rPr>
                <w:rFonts w:ascii="Times New Roman" w:hAnsi="Times New Roman" w:eastAsia="宋体" w:cs="Times New Roman"/>
                <w:kern w:val="0"/>
                <w:szCs w:val="21"/>
              </w:rPr>
            </w:pPr>
            <w:r>
              <w:rPr>
                <w:rFonts w:ascii="Times New Roman" w:hAnsi="Times New Roman" w:eastAsia="宋体" w:cs="Times New Roman"/>
                <w:kern w:val="0"/>
                <w:szCs w:val="21"/>
              </w:rPr>
              <w:t>5</w:t>
            </w:r>
          </w:p>
        </w:tc>
        <w:tc>
          <w:tcPr>
            <w:tcW w:w="4030" w:type="dxa"/>
            <w:tcBorders>
              <w:top w:val="single" w:color="auto" w:sz="4" w:space="0"/>
              <w:bottom w:val="nil"/>
            </w:tcBorders>
            <w:vAlign w:val="center"/>
          </w:tcPr>
          <w:p w14:paraId="1954C00B">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Busyness</w:t>
            </w:r>
          </w:p>
        </w:tc>
        <w:tc>
          <w:tcPr>
            <w:tcW w:w="4122" w:type="dxa"/>
            <w:tcBorders>
              <w:top w:val="single" w:color="auto" w:sz="4" w:space="0"/>
              <w:bottom w:val="nil"/>
            </w:tcBorders>
            <w:vAlign w:val="center"/>
          </w:tcPr>
          <w:p w14:paraId="63582F33">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Contrast</w:t>
            </w:r>
          </w:p>
        </w:tc>
      </w:tr>
      <w:tr w14:paraId="097E98F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top w:val="nil"/>
            </w:tcBorders>
          </w:tcPr>
          <w:p w14:paraId="2AD9D62C">
            <w:pPr>
              <w:rPr>
                <w:rFonts w:ascii="Times New Roman" w:hAnsi="Times New Roman" w:eastAsia="宋体" w:cs="Times New Roman"/>
                <w:kern w:val="0"/>
                <w:szCs w:val="21"/>
              </w:rPr>
            </w:pPr>
          </w:p>
        </w:tc>
        <w:tc>
          <w:tcPr>
            <w:tcW w:w="1414" w:type="dxa"/>
            <w:vMerge w:val="continue"/>
            <w:tcBorders>
              <w:top w:val="nil"/>
            </w:tcBorders>
          </w:tcPr>
          <w:p w14:paraId="01FA1DC5">
            <w:pPr>
              <w:rPr>
                <w:rFonts w:ascii="Times New Roman" w:hAnsi="Times New Roman" w:eastAsia="宋体" w:cs="Times New Roman"/>
                <w:kern w:val="0"/>
                <w:szCs w:val="21"/>
              </w:rPr>
            </w:pPr>
          </w:p>
        </w:tc>
        <w:tc>
          <w:tcPr>
            <w:tcW w:w="4030" w:type="dxa"/>
            <w:tcBorders>
              <w:top w:val="nil"/>
              <w:bottom w:val="nil"/>
            </w:tcBorders>
            <w:vAlign w:val="center"/>
          </w:tcPr>
          <w:p w14:paraId="7354C27D">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Coarseness</w:t>
            </w:r>
          </w:p>
        </w:tc>
        <w:tc>
          <w:tcPr>
            <w:tcW w:w="4122" w:type="dxa"/>
            <w:tcBorders>
              <w:top w:val="nil"/>
              <w:bottom w:val="nil"/>
            </w:tcBorders>
            <w:vAlign w:val="center"/>
          </w:tcPr>
          <w:p w14:paraId="15B630E6">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Strength</w:t>
            </w:r>
          </w:p>
        </w:tc>
      </w:tr>
      <w:tr w14:paraId="1DAC0A0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576" w:type="dxa"/>
            <w:vMerge w:val="continue"/>
            <w:tcBorders>
              <w:bottom w:val="single" w:color="auto" w:sz="4" w:space="0"/>
            </w:tcBorders>
          </w:tcPr>
          <w:p w14:paraId="58BDD733">
            <w:pPr>
              <w:rPr>
                <w:rFonts w:ascii="Times New Roman" w:hAnsi="Times New Roman" w:eastAsia="宋体" w:cs="Times New Roman"/>
                <w:kern w:val="0"/>
                <w:szCs w:val="21"/>
              </w:rPr>
            </w:pPr>
          </w:p>
        </w:tc>
        <w:tc>
          <w:tcPr>
            <w:tcW w:w="1414" w:type="dxa"/>
            <w:vMerge w:val="continue"/>
            <w:tcBorders>
              <w:bottom w:val="single" w:color="auto" w:sz="4" w:space="0"/>
            </w:tcBorders>
          </w:tcPr>
          <w:p w14:paraId="05F59938">
            <w:pPr>
              <w:rPr>
                <w:rFonts w:ascii="Times New Roman" w:hAnsi="Times New Roman" w:eastAsia="宋体" w:cs="Times New Roman"/>
                <w:kern w:val="0"/>
                <w:szCs w:val="21"/>
              </w:rPr>
            </w:pPr>
          </w:p>
        </w:tc>
        <w:tc>
          <w:tcPr>
            <w:tcW w:w="4030" w:type="dxa"/>
            <w:tcBorders>
              <w:top w:val="nil"/>
              <w:bottom w:val="single" w:color="auto" w:sz="4" w:space="0"/>
            </w:tcBorders>
            <w:vAlign w:val="center"/>
          </w:tcPr>
          <w:p w14:paraId="3A03BD14">
            <w:pPr>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Complexity</w:t>
            </w:r>
          </w:p>
        </w:tc>
        <w:tc>
          <w:tcPr>
            <w:tcW w:w="4122" w:type="dxa"/>
            <w:tcBorders>
              <w:top w:val="nil"/>
              <w:bottom w:val="single" w:color="auto" w:sz="4" w:space="0"/>
            </w:tcBorders>
          </w:tcPr>
          <w:p w14:paraId="3C7989E6">
            <w:pPr>
              <w:jc w:val="left"/>
              <w:rPr>
                <w:rFonts w:ascii="Times New Roman" w:hAnsi="Times New Roman" w:eastAsia="宋体" w:cs="Times New Roman"/>
                <w:kern w:val="0"/>
                <w:szCs w:val="21"/>
              </w:rPr>
            </w:pPr>
          </w:p>
        </w:tc>
      </w:tr>
      <w:tr w14:paraId="49737337">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1142" w:type="dxa"/>
            <w:gridSpan w:val="4"/>
            <w:tcBorders>
              <w:bottom w:val="nil"/>
            </w:tcBorders>
          </w:tcPr>
          <w:p w14:paraId="6C09A7B3">
            <w:pP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Abbreviations:</w:t>
            </w:r>
            <w:r>
              <w:rPr>
                <w:rFonts w:ascii="Times New Roman" w:hAnsi="Times New Roman" w:eastAsia="宋体" w:cs="Times New Roman"/>
                <w:i/>
                <w:kern w:val="0"/>
                <w:szCs w:val="21"/>
                <w:lang w:bidi="ar"/>
              </w:rPr>
              <w:t xml:space="preserve"> GLCM,</w:t>
            </w:r>
            <w:r>
              <w:rPr>
                <w:rFonts w:ascii="Times New Roman" w:hAnsi="Times New Roman" w:eastAsia="宋体" w:cs="Times New Roman"/>
                <w:kern w:val="0"/>
                <w:szCs w:val="21"/>
                <w:lang w:bidi="ar"/>
              </w:rPr>
              <w:t xml:space="preserve"> gray level co-occurrence matrix; </w:t>
            </w:r>
            <w:r>
              <w:rPr>
                <w:rFonts w:ascii="Times New Roman" w:hAnsi="Times New Roman" w:eastAsia="宋体" w:cs="Times New Roman"/>
                <w:i/>
                <w:kern w:val="0"/>
                <w:szCs w:val="21"/>
                <w:lang w:bidi="ar"/>
              </w:rPr>
              <w:t>GLRLM,</w:t>
            </w:r>
            <w:r>
              <w:rPr>
                <w:rFonts w:ascii="Times New Roman" w:hAnsi="Times New Roman" w:eastAsia="宋体" w:cs="Times New Roman"/>
                <w:kern w:val="0"/>
                <w:szCs w:val="21"/>
                <w:lang w:bidi="ar"/>
              </w:rPr>
              <w:t xml:space="preserve"> gray level run length matrix; </w:t>
            </w:r>
            <w:r>
              <w:rPr>
                <w:rFonts w:ascii="Times New Roman" w:hAnsi="Times New Roman" w:eastAsia="宋体" w:cs="Times New Roman"/>
                <w:i/>
                <w:kern w:val="0"/>
                <w:szCs w:val="21"/>
                <w:lang w:bidi="ar"/>
              </w:rPr>
              <w:t>GLSZM,</w:t>
            </w:r>
            <w:r>
              <w:rPr>
                <w:rFonts w:ascii="Times New Roman" w:hAnsi="Times New Roman" w:eastAsia="宋体" w:cs="Times New Roman"/>
                <w:kern w:val="0"/>
                <w:szCs w:val="21"/>
                <w:lang w:bidi="ar"/>
              </w:rPr>
              <w:t xml:space="preserve"> gray level size zone matrix; </w:t>
            </w:r>
            <w:r>
              <w:rPr>
                <w:rFonts w:ascii="Times New Roman" w:hAnsi="Times New Roman" w:eastAsia="宋体" w:cs="Times New Roman"/>
                <w:i/>
                <w:kern w:val="0"/>
                <w:szCs w:val="21"/>
                <w:lang w:bidi="ar"/>
              </w:rPr>
              <w:t>NGTDM,</w:t>
            </w:r>
            <w:r>
              <w:rPr>
                <w:rFonts w:ascii="Times New Roman" w:hAnsi="Times New Roman" w:eastAsia="宋体" w:cs="Times New Roman"/>
                <w:kern w:val="0"/>
                <w:szCs w:val="21"/>
                <w:lang w:bidi="ar"/>
              </w:rPr>
              <w:t xml:space="preserve"> neighboring gray tone difference matrix</w:t>
            </w:r>
          </w:p>
        </w:tc>
      </w:tr>
    </w:tbl>
    <w:p w14:paraId="6D17E21D">
      <w:pPr>
        <w:rPr>
          <w:rFonts w:ascii="Times New Roman" w:hAnsi="Times New Roman" w:eastAsia="宋体" w:cs="Times New Roman"/>
          <w:b/>
          <w:bCs/>
          <w:szCs w:val="21"/>
        </w:rPr>
      </w:pPr>
    </w:p>
    <w:p w14:paraId="484A6A45">
      <w:pPr>
        <w:rPr>
          <w:rFonts w:ascii="Times New Roman" w:hAnsi="Times New Roman" w:eastAsia="宋体" w:cs="Times New Roman"/>
          <w:b/>
          <w:bCs/>
          <w:szCs w:val="21"/>
        </w:rPr>
      </w:pPr>
    </w:p>
    <w:p w14:paraId="69DBBD18">
      <w:pPr>
        <w:rPr>
          <w:rFonts w:ascii="Times New Roman" w:hAnsi="Times New Roman" w:eastAsia="宋体" w:cs="Times New Roman"/>
          <w:b/>
          <w:bCs/>
          <w:szCs w:val="21"/>
        </w:rPr>
      </w:pPr>
    </w:p>
    <w:p w14:paraId="2DF22E5E">
      <w:pPr>
        <w:rPr>
          <w:rFonts w:ascii="Times New Roman" w:hAnsi="Times New Roman" w:eastAsia="宋体" w:cs="Times New Roman"/>
          <w:b/>
          <w:bCs/>
          <w:szCs w:val="21"/>
        </w:rPr>
      </w:pPr>
    </w:p>
    <w:p w14:paraId="3EE98E29">
      <w:pPr>
        <w:rPr>
          <w:rFonts w:ascii="Times New Roman" w:hAnsi="Times New Roman" w:cs="Times New Roman"/>
          <w:szCs w:val="21"/>
        </w:rPr>
      </w:pPr>
    </w:p>
    <w:p w14:paraId="20FF95B6">
      <w:pPr>
        <w:rPr>
          <w:rFonts w:ascii="Times New Roman" w:hAnsi="Times New Roman" w:cs="Times New Roman"/>
          <w:szCs w:val="21"/>
        </w:rPr>
      </w:pPr>
    </w:p>
    <w:p w14:paraId="081F204B">
      <w:pPr>
        <w:rPr>
          <w:rFonts w:ascii="Times New Roman" w:hAnsi="Times New Roman" w:cs="Times New Roman"/>
          <w:szCs w:val="21"/>
        </w:rPr>
      </w:pPr>
    </w:p>
    <w:p w14:paraId="2D268110">
      <w:pPr>
        <w:rPr>
          <w:rFonts w:ascii="Times New Roman" w:hAnsi="Times New Roman" w:cs="Times New Roman"/>
          <w:szCs w:val="21"/>
        </w:rPr>
      </w:pPr>
    </w:p>
    <w:p w14:paraId="393215E9">
      <w:pPr>
        <w:rPr>
          <w:rFonts w:ascii="Times New Roman" w:hAnsi="Times New Roman" w:cs="Times New Roman"/>
          <w:szCs w:val="21"/>
        </w:rPr>
      </w:pPr>
    </w:p>
    <w:p w14:paraId="517F4FFA">
      <w:pPr>
        <w:rPr>
          <w:rFonts w:ascii="Times New Roman" w:hAnsi="Times New Roman" w:cs="Times New Roman"/>
          <w:szCs w:val="21"/>
        </w:rPr>
      </w:pPr>
    </w:p>
    <w:p w14:paraId="1C2C1CD6">
      <w:pPr>
        <w:rPr>
          <w:rFonts w:ascii="Times New Roman" w:hAnsi="Times New Roman" w:cs="Times New Roman"/>
          <w:szCs w:val="21"/>
        </w:rPr>
      </w:pPr>
    </w:p>
    <w:p w14:paraId="635B109C">
      <w:pPr>
        <w:rPr>
          <w:rFonts w:ascii="Times New Roman" w:hAnsi="Times New Roman" w:cs="Times New Roman"/>
          <w:szCs w:val="21"/>
        </w:rPr>
      </w:pPr>
    </w:p>
    <w:p w14:paraId="37992CD4">
      <w:pPr>
        <w:rPr>
          <w:rFonts w:ascii="Times New Roman" w:hAnsi="Times New Roman" w:cs="Times New Roman"/>
          <w:b/>
          <w:bCs/>
          <w:szCs w:val="21"/>
        </w:rPr>
      </w:pPr>
    </w:p>
    <w:p w14:paraId="0A599A09">
      <w:pPr>
        <w:rPr>
          <w:rFonts w:ascii="Times New Roman" w:hAnsi="Times New Roman" w:cs="Times New Roman"/>
          <w:b/>
          <w:bCs/>
          <w:szCs w:val="21"/>
        </w:rPr>
      </w:pPr>
    </w:p>
    <w:p w14:paraId="5E4035AC">
      <w:pPr>
        <w:rPr>
          <w:rFonts w:ascii="Times New Roman" w:hAnsi="Times New Roman" w:cs="Times New Roman"/>
          <w:b/>
          <w:bCs/>
          <w:szCs w:val="21"/>
        </w:rPr>
      </w:pPr>
    </w:p>
    <w:p w14:paraId="1875004B">
      <w:pPr>
        <w:rPr>
          <w:rFonts w:ascii="Times New Roman" w:hAnsi="Times New Roman" w:cs="Times New Roman"/>
          <w:b/>
          <w:bCs/>
          <w:szCs w:val="21"/>
        </w:rPr>
      </w:pPr>
    </w:p>
    <w:p w14:paraId="2A76F6A8">
      <w:pPr>
        <w:rPr>
          <w:rFonts w:ascii="Times New Roman" w:hAnsi="Times New Roman" w:cs="Times New Roman"/>
          <w:b/>
          <w:bCs/>
          <w:szCs w:val="21"/>
        </w:rPr>
      </w:pPr>
      <w:r>
        <w:rPr>
          <w:rFonts w:ascii="Times New Roman" w:hAnsi="Times New Roman" w:cs="Times New Roman"/>
          <w:b/>
          <w:bCs/>
          <w:szCs w:val="21"/>
        </w:rPr>
        <w:t xml:space="preserve">Supplementary Table S3. Feautures contained in the </w:t>
      </w:r>
      <w:r>
        <w:rPr>
          <w:rFonts w:hint="eastAsia" w:ascii="Times New Roman" w:hAnsi="Times New Roman" w:cs="Times New Roman"/>
          <w:b/>
          <w:bCs/>
          <w:szCs w:val="21"/>
        </w:rPr>
        <w:t xml:space="preserve">optimal </w:t>
      </w:r>
      <w:r>
        <w:rPr>
          <w:rFonts w:ascii="Times New Roman" w:hAnsi="Times New Roman" w:cs="Times New Roman"/>
          <w:b/>
          <w:bCs/>
          <w:szCs w:val="21"/>
        </w:rPr>
        <w:t>intratumoral radiomics signatures for DWI, CE-T1WI, and T2WI</w:t>
      </w:r>
    </w:p>
    <w:p w14:paraId="30E14507">
      <w:pPr>
        <w:rPr>
          <w:rFonts w:ascii="Times New Roman" w:hAnsi="Times New Roman" w:cs="Times New Roman"/>
          <w:b/>
          <w:bCs/>
          <w:szCs w:val="21"/>
        </w:rPr>
      </w:pPr>
    </w:p>
    <w:tbl>
      <w:tblPr>
        <w:tblStyle w:val="5"/>
        <w:tblW w:w="9651"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57"/>
        <w:gridCol w:w="7894"/>
      </w:tblGrid>
      <w:tr w14:paraId="7F7E45C7">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tcBorders>
              <w:bottom w:val="single" w:color="auto" w:sz="8" w:space="0"/>
            </w:tcBorders>
            <w:vAlign w:val="center"/>
          </w:tcPr>
          <w:p w14:paraId="4D21E7A6">
            <w:pP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Sequence</w:t>
            </w:r>
          </w:p>
        </w:tc>
        <w:tc>
          <w:tcPr>
            <w:tcW w:w="7894" w:type="dxa"/>
            <w:tcBorders>
              <w:bottom w:val="single" w:color="auto" w:sz="8" w:space="0"/>
            </w:tcBorders>
            <w:vAlign w:val="center"/>
          </w:tcPr>
          <w:p w14:paraId="28C0976F">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Feature</w:t>
            </w:r>
          </w:p>
        </w:tc>
      </w:tr>
      <w:tr w14:paraId="5A38D01E">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restart"/>
            <w:tcBorders>
              <w:top w:val="single" w:color="auto" w:sz="8" w:space="0"/>
              <w:tl2br w:val="nil"/>
              <w:tr2bl w:val="nil"/>
            </w:tcBorders>
            <w:vAlign w:val="center"/>
          </w:tcPr>
          <w:p w14:paraId="2A47D5EF">
            <w:pPr>
              <w:rPr>
                <w:rFonts w:ascii="Times New Roman" w:hAnsi="Times New Roman" w:eastAsia="宋体" w:cs="Times New Roman"/>
                <w:color w:val="0000FF"/>
                <w:szCs w:val="21"/>
              </w:rPr>
            </w:pPr>
            <w:r>
              <w:rPr>
                <w:rFonts w:ascii="Times New Roman" w:hAnsi="Times New Roman" w:eastAsia="宋体" w:cs="Times New Roman"/>
                <w:color w:val="000000"/>
                <w:kern w:val="0"/>
                <w:szCs w:val="21"/>
                <w:lang w:bidi="ar"/>
              </w:rPr>
              <w:t>DWI (8)</w:t>
            </w:r>
          </w:p>
        </w:tc>
        <w:tc>
          <w:tcPr>
            <w:tcW w:w="7894" w:type="dxa"/>
            <w:tcBorders>
              <w:top w:val="single" w:color="auto" w:sz="8" w:space="0"/>
              <w:tl2br w:val="nil"/>
              <w:tr2bl w:val="nil"/>
            </w:tcBorders>
            <w:vAlign w:val="center"/>
          </w:tcPr>
          <w:p w14:paraId="20E7085E">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original_glszm_GrayLevelNonUniformity             </w:t>
            </w:r>
          </w:p>
        </w:tc>
      </w:tr>
      <w:tr w14:paraId="0941364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57" w:type="dxa"/>
            <w:vMerge w:val="continue"/>
            <w:tcBorders>
              <w:tl2br w:val="nil"/>
              <w:tr2bl w:val="nil"/>
            </w:tcBorders>
            <w:vAlign w:val="center"/>
          </w:tcPr>
          <w:p w14:paraId="50950429">
            <w:pPr>
              <w:rPr>
                <w:rFonts w:ascii="Times New Roman" w:hAnsi="Times New Roman" w:eastAsia="宋体" w:cs="Times New Roman"/>
                <w:color w:val="0000FF"/>
                <w:szCs w:val="21"/>
              </w:rPr>
            </w:pPr>
          </w:p>
        </w:tc>
        <w:tc>
          <w:tcPr>
            <w:tcW w:w="7894" w:type="dxa"/>
            <w:tcBorders>
              <w:tl2br w:val="nil"/>
              <w:tr2bl w:val="nil"/>
            </w:tcBorders>
            <w:vAlign w:val="center"/>
          </w:tcPr>
          <w:p w14:paraId="7FCD7CFF">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original_glszm_SizeZoneNonUniformity              </w:t>
            </w:r>
          </w:p>
        </w:tc>
      </w:tr>
      <w:tr w14:paraId="7012499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57" w:type="dxa"/>
            <w:vMerge w:val="continue"/>
            <w:tcBorders>
              <w:tl2br w:val="nil"/>
              <w:tr2bl w:val="nil"/>
            </w:tcBorders>
            <w:vAlign w:val="center"/>
          </w:tcPr>
          <w:p w14:paraId="25CB1995">
            <w:pPr>
              <w:rPr>
                <w:rFonts w:ascii="Times New Roman" w:hAnsi="Times New Roman" w:eastAsia="宋体" w:cs="Times New Roman"/>
                <w:color w:val="0000FF"/>
                <w:szCs w:val="21"/>
              </w:rPr>
            </w:pPr>
          </w:p>
        </w:tc>
        <w:tc>
          <w:tcPr>
            <w:tcW w:w="7894" w:type="dxa"/>
            <w:tcBorders>
              <w:tl2br w:val="nil"/>
              <w:tr2bl w:val="nil"/>
            </w:tcBorders>
            <w:vAlign w:val="center"/>
          </w:tcPr>
          <w:p w14:paraId="7BA124EB">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log-sigma-1-0-mm-3D_glrlm_RunVariance                        </w:t>
            </w:r>
          </w:p>
        </w:tc>
      </w:tr>
      <w:tr w14:paraId="1845B1F7">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089F5B84">
            <w:pPr>
              <w:rPr>
                <w:rFonts w:ascii="Times New Roman" w:hAnsi="Times New Roman" w:eastAsia="宋体" w:cs="Times New Roman"/>
                <w:color w:val="0000FF"/>
                <w:szCs w:val="21"/>
              </w:rPr>
            </w:pPr>
          </w:p>
        </w:tc>
        <w:tc>
          <w:tcPr>
            <w:tcW w:w="7894" w:type="dxa"/>
            <w:tcBorders>
              <w:tl2br w:val="nil"/>
              <w:tr2bl w:val="nil"/>
            </w:tcBorders>
            <w:vAlign w:val="center"/>
          </w:tcPr>
          <w:p w14:paraId="64868914">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log-sigma-1-0-mm-3D_ngtdm_Busyness                           </w:t>
            </w:r>
          </w:p>
        </w:tc>
      </w:tr>
      <w:tr w14:paraId="314E6FDD">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757" w:type="dxa"/>
            <w:vMerge w:val="continue"/>
            <w:tcBorders>
              <w:tl2br w:val="nil"/>
              <w:tr2bl w:val="nil"/>
            </w:tcBorders>
            <w:vAlign w:val="center"/>
          </w:tcPr>
          <w:p w14:paraId="44C90136">
            <w:pPr>
              <w:rPr>
                <w:rFonts w:ascii="Times New Roman" w:hAnsi="Times New Roman" w:eastAsia="宋体" w:cs="Times New Roman"/>
                <w:color w:val="0000FF"/>
                <w:szCs w:val="21"/>
              </w:rPr>
            </w:pPr>
          </w:p>
        </w:tc>
        <w:tc>
          <w:tcPr>
            <w:tcW w:w="7894" w:type="dxa"/>
            <w:tcBorders>
              <w:tl2br w:val="nil"/>
              <w:tr2bl w:val="nil"/>
            </w:tcBorders>
            <w:vAlign w:val="center"/>
          </w:tcPr>
          <w:p w14:paraId="6E403C19">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log-sigma-3-0-mm-3D_glcm_ClusterShade                        </w:t>
            </w:r>
          </w:p>
        </w:tc>
      </w:tr>
      <w:tr w14:paraId="19DDBBB5">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2926309A">
            <w:pPr>
              <w:rPr>
                <w:rFonts w:ascii="Times New Roman" w:hAnsi="Times New Roman" w:eastAsia="宋体" w:cs="Times New Roman"/>
                <w:color w:val="0000FF"/>
                <w:szCs w:val="21"/>
              </w:rPr>
            </w:pPr>
          </w:p>
        </w:tc>
        <w:tc>
          <w:tcPr>
            <w:tcW w:w="7894" w:type="dxa"/>
            <w:tcBorders>
              <w:tl2br w:val="nil"/>
              <w:tr2bl w:val="nil"/>
            </w:tcBorders>
            <w:vAlign w:val="center"/>
          </w:tcPr>
          <w:p w14:paraId="39234A14">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wavelet-LHH_glcm_ClusterTendency                     </w:t>
            </w:r>
          </w:p>
        </w:tc>
      </w:tr>
      <w:tr w14:paraId="27527CC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6A76CB72">
            <w:pPr>
              <w:rPr>
                <w:rFonts w:ascii="Times New Roman" w:hAnsi="Times New Roman" w:eastAsia="宋体" w:cs="Times New Roman"/>
                <w:color w:val="0000FF"/>
                <w:szCs w:val="21"/>
              </w:rPr>
            </w:pPr>
          </w:p>
        </w:tc>
        <w:tc>
          <w:tcPr>
            <w:tcW w:w="7894" w:type="dxa"/>
            <w:tcBorders>
              <w:tl2br w:val="nil"/>
              <w:tr2bl w:val="nil"/>
            </w:tcBorders>
            <w:vAlign w:val="center"/>
          </w:tcPr>
          <w:p w14:paraId="6A67B332">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wavelet-HHL_glcm_SumEntropy                          </w:t>
            </w:r>
          </w:p>
        </w:tc>
      </w:tr>
      <w:tr w14:paraId="6C2D3F1E">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bottom w:val="single" w:color="000000" w:sz="8" w:space="0"/>
              <w:tl2br w:val="nil"/>
              <w:tr2bl w:val="nil"/>
            </w:tcBorders>
            <w:vAlign w:val="center"/>
          </w:tcPr>
          <w:p w14:paraId="2288A7B2">
            <w:pPr>
              <w:rPr>
                <w:rFonts w:ascii="Times New Roman" w:hAnsi="Times New Roman" w:eastAsia="宋体" w:cs="Times New Roman"/>
                <w:color w:val="0000FF"/>
                <w:szCs w:val="21"/>
              </w:rPr>
            </w:pPr>
          </w:p>
        </w:tc>
        <w:tc>
          <w:tcPr>
            <w:tcW w:w="7894" w:type="dxa"/>
            <w:tcBorders>
              <w:bottom w:val="single" w:color="000000" w:sz="8" w:space="0"/>
              <w:tl2br w:val="nil"/>
              <w:tr2bl w:val="nil"/>
            </w:tcBorders>
            <w:vAlign w:val="center"/>
          </w:tcPr>
          <w:p w14:paraId="6F961840">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wavelet-LLL_glrlm_LongRunHighGrayLevelEmphasis       </w:t>
            </w:r>
          </w:p>
        </w:tc>
      </w:tr>
      <w:tr w14:paraId="650B666C">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restart"/>
            <w:tcBorders>
              <w:top w:val="single" w:color="000000" w:sz="8" w:space="0"/>
              <w:tl2br w:val="nil"/>
              <w:tr2bl w:val="nil"/>
            </w:tcBorders>
            <w:vAlign w:val="center"/>
          </w:tcPr>
          <w:p w14:paraId="1EDB4315">
            <w:pPr>
              <w:rPr>
                <w:rFonts w:ascii="Times New Roman" w:hAnsi="Times New Roman" w:eastAsia="宋体" w:cs="Times New Roman"/>
                <w:szCs w:val="21"/>
              </w:rPr>
            </w:pPr>
            <w:r>
              <w:rPr>
                <w:rFonts w:ascii="Times New Roman" w:hAnsi="Times New Roman" w:eastAsia="宋体" w:cs="Times New Roman"/>
                <w:kern w:val="0"/>
                <w:szCs w:val="21"/>
                <w:lang w:bidi="ar"/>
              </w:rPr>
              <w:t>CE-T1WI (16)</w:t>
            </w:r>
          </w:p>
        </w:tc>
        <w:tc>
          <w:tcPr>
            <w:tcW w:w="7894" w:type="dxa"/>
            <w:tcBorders>
              <w:top w:val="single" w:color="000000" w:sz="8" w:space="0"/>
              <w:tl2br w:val="nil"/>
              <w:tr2bl w:val="nil"/>
            </w:tcBorders>
            <w:vAlign w:val="center"/>
          </w:tcPr>
          <w:p w14:paraId="5CA946BB">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original_shape_Flatness </w:t>
            </w:r>
          </w:p>
        </w:tc>
      </w:tr>
      <w:tr w14:paraId="436D832E">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01652C0F">
            <w:pPr>
              <w:rPr>
                <w:rFonts w:ascii="Times New Roman" w:hAnsi="Times New Roman" w:eastAsia="宋体" w:cs="Times New Roman"/>
                <w:szCs w:val="21"/>
              </w:rPr>
            </w:pPr>
          </w:p>
        </w:tc>
        <w:tc>
          <w:tcPr>
            <w:tcW w:w="7894" w:type="dxa"/>
            <w:tcBorders>
              <w:tl2br w:val="nil"/>
              <w:tr2bl w:val="nil"/>
            </w:tcBorders>
            <w:vAlign w:val="center"/>
          </w:tcPr>
          <w:p w14:paraId="2157E15D">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log-sigma-3-0-mm-3D_ngtdm_Busyness </w:t>
            </w:r>
          </w:p>
        </w:tc>
      </w:tr>
      <w:tr w14:paraId="35DE81AE">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5B4E4B3F">
            <w:pPr>
              <w:rPr>
                <w:rFonts w:ascii="Times New Roman" w:hAnsi="Times New Roman" w:eastAsia="宋体" w:cs="Times New Roman"/>
                <w:szCs w:val="21"/>
              </w:rPr>
            </w:pPr>
          </w:p>
        </w:tc>
        <w:tc>
          <w:tcPr>
            <w:tcW w:w="7894" w:type="dxa"/>
            <w:tcBorders>
              <w:tl2br w:val="nil"/>
              <w:tr2bl w:val="nil"/>
            </w:tcBorders>
            <w:vAlign w:val="center"/>
          </w:tcPr>
          <w:p w14:paraId="65A995A3">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log-sigma-5-0-mm-3D_glcm_Correlation </w:t>
            </w:r>
          </w:p>
        </w:tc>
      </w:tr>
      <w:tr w14:paraId="784D5937">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3421C688">
            <w:pPr>
              <w:rPr>
                <w:rFonts w:ascii="Times New Roman" w:hAnsi="Times New Roman" w:eastAsia="宋体" w:cs="Times New Roman"/>
                <w:szCs w:val="21"/>
              </w:rPr>
            </w:pPr>
          </w:p>
        </w:tc>
        <w:tc>
          <w:tcPr>
            <w:tcW w:w="7894" w:type="dxa"/>
            <w:tcBorders>
              <w:tl2br w:val="nil"/>
              <w:tr2bl w:val="nil"/>
            </w:tcBorders>
            <w:vAlign w:val="center"/>
          </w:tcPr>
          <w:p w14:paraId="0ECA0C7A">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log-sigma-5-0-mm-3D_glszm_GrayLevelNonUniformity</w:t>
            </w:r>
          </w:p>
        </w:tc>
      </w:tr>
      <w:tr w14:paraId="4818264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4A649C53">
            <w:pPr>
              <w:rPr>
                <w:rFonts w:ascii="Times New Roman" w:hAnsi="Times New Roman" w:eastAsia="宋体" w:cs="Times New Roman"/>
                <w:szCs w:val="21"/>
              </w:rPr>
            </w:pPr>
          </w:p>
        </w:tc>
        <w:tc>
          <w:tcPr>
            <w:tcW w:w="7894" w:type="dxa"/>
            <w:tcBorders>
              <w:tl2br w:val="nil"/>
              <w:tr2bl w:val="nil"/>
            </w:tcBorders>
            <w:vAlign w:val="center"/>
          </w:tcPr>
          <w:p w14:paraId="10CDF40C">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wavelet-LLH_glszm_HighGrayLevelZoneEmphasis </w:t>
            </w:r>
          </w:p>
        </w:tc>
      </w:tr>
      <w:tr w14:paraId="18DD7579">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61827625">
            <w:pPr>
              <w:rPr>
                <w:rFonts w:ascii="Times New Roman" w:hAnsi="Times New Roman" w:eastAsia="宋体" w:cs="Times New Roman"/>
                <w:szCs w:val="21"/>
              </w:rPr>
            </w:pPr>
          </w:p>
        </w:tc>
        <w:tc>
          <w:tcPr>
            <w:tcW w:w="7894" w:type="dxa"/>
            <w:tcBorders>
              <w:tl2br w:val="nil"/>
              <w:tr2bl w:val="nil"/>
            </w:tcBorders>
            <w:vAlign w:val="center"/>
          </w:tcPr>
          <w:p w14:paraId="64FB544A">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wavelet-LLH_glszm_SizeZoneNonUniformity</w:t>
            </w:r>
          </w:p>
        </w:tc>
      </w:tr>
      <w:tr w14:paraId="57272D3E">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02F06D97">
            <w:pPr>
              <w:rPr>
                <w:rFonts w:ascii="Times New Roman" w:hAnsi="Times New Roman" w:eastAsia="宋体" w:cs="Times New Roman"/>
                <w:szCs w:val="21"/>
              </w:rPr>
            </w:pPr>
          </w:p>
        </w:tc>
        <w:tc>
          <w:tcPr>
            <w:tcW w:w="7894" w:type="dxa"/>
            <w:tcBorders>
              <w:tl2br w:val="nil"/>
              <w:tr2bl w:val="nil"/>
            </w:tcBorders>
            <w:vAlign w:val="center"/>
          </w:tcPr>
          <w:p w14:paraId="5CA8EA08">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wavelet-LHL_glszm_SizeZoneNonUniformityNormalized </w:t>
            </w:r>
          </w:p>
        </w:tc>
      </w:tr>
      <w:tr w14:paraId="25A73C4B">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14FF896E">
            <w:pPr>
              <w:rPr>
                <w:rFonts w:ascii="Times New Roman" w:hAnsi="Times New Roman" w:eastAsia="宋体" w:cs="Times New Roman"/>
                <w:szCs w:val="21"/>
              </w:rPr>
            </w:pPr>
          </w:p>
        </w:tc>
        <w:tc>
          <w:tcPr>
            <w:tcW w:w="7894" w:type="dxa"/>
            <w:tcBorders>
              <w:tl2br w:val="nil"/>
              <w:tr2bl w:val="nil"/>
            </w:tcBorders>
            <w:vAlign w:val="center"/>
          </w:tcPr>
          <w:p w14:paraId="2A47F5A3">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wavelet-LHL_glszm_SmallAreaEmphasis </w:t>
            </w:r>
          </w:p>
        </w:tc>
      </w:tr>
      <w:tr w14:paraId="4879640A">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1BC0C711">
            <w:pPr>
              <w:rPr>
                <w:rFonts w:ascii="Times New Roman" w:hAnsi="Times New Roman" w:eastAsia="宋体" w:cs="Times New Roman"/>
                <w:szCs w:val="21"/>
              </w:rPr>
            </w:pPr>
          </w:p>
        </w:tc>
        <w:tc>
          <w:tcPr>
            <w:tcW w:w="7894" w:type="dxa"/>
            <w:tcBorders>
              <w:tl2br w:val="nil"/>
              <w:tr2bl w:val="nil"/>
            </w:tcBorders>
            <w:vAlign w:val="center"/>
          </w:tcPr>
          <w:p w14:paraId="4DA18508">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wavelet-LHH_glcm_MaximumProbability</w:t>
            </w:r>
          </w:p>
        </w:tc>
      </w:tr>
      <w:tr w14:paraId="5F40997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73FFAF31">
            <w:pPr>
              <w:rPr>
                <w:rFonts w:ascii="Times New Roman" w:hAnsi="Times New Roman" w:eastAsia="宋体" w:cs="Times New Roman"/>
                <w:szCs w:val="21"/>
              </w:rPr>
            </w:pPr>
          </w:p>
        </w:tc>
        <w:tc>
          <w:tcPr>
            <w:tcW w:w="7894" w:type="dxa"/>
            <w:tcBorders>
              <w:tl2br w:val="nil"/>
              <w:tr2bl w:val="nil"/>
            </w:tcBorders>
            <w:vAlign w:val="center"/>
          </w:tcPr>
          <w:p w14:paraId="32F0E9A8">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wavelet-LHH_glcm_SumSquares  </w:t>
            </w:r>
          </w:p>
        </w:tc>
      </w:tr>
      <w:tr w14:paraId="2A2EBD14">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4C4B3B7F">
            <w:pPr>
              <w:rPr>
                <w:rFonts w:ascii="Times New Roman" w:hAnsi="Times New Roman" w:eastAsia="宋体" w:cs="Times New Roman"/>
                <w:szCs w:val="21"/>
              </w:rPr>
            </w:pPr>
          </w:p>
        </w:tc>
        <w:tc>
          <w:tcPr>
            <w:tcW w:w="7894" w:type="dxa"/>
            <w:tcBorders>
              <w:tl2br w:val="nil"/>
              <w:tr2bl w:val="nil"/>
            </w:tcBorders>
            <w:vAlign w:val="center"/>
          </w:tcPr>
          <w:p w14:paraId="7D3660DB">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wavelet-LHH_glszm_GrayLevelNonUniformityNormalized </w:t>
            </w:r>
          </w:p>
        </w:tc>
      </w:tr>
      <w:tr w14:paraId="1A402EC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5E186422">
            <w:pPr>
              <w:rPr>
                <w:rFonts w:ascii="Times New Roman" w:hAnsi="Times New Roman" w:eastAsia="宋体" w:cs="Times New Roman"/>
                <w:szCs w:val="21"/>
              </w:rPr>
            </w:pPr>
          </w:p>
        </w:tc>
        <w:tc>
          <w:tcPr>
            <w:tcW w:w="7894" w:type="dxa"/>
            <w:tcBorders>
              <w:tl2br w:val="nil"/>
              <w:tr2bl w:val="nil"/>
            </w:tcBorders>
            <w:vAlign w:val="center"/>
          </w:tcPr>
          <w:p w14:paraId="68C64B35">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wavelet-HLL_glcm_SumEntropy </w:t>
            </w:r>
          </w:p>
        </w:tc>
      </w:tr>
      <w:tr w14:paraId="2329B16D">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2B508D06">
            <w:pPr>
              <w:rPr>
                <w:rFonts w:ascii="Times New Roman" w:hAnsi="Times New Roman" w:eastAsia="宋体" w:cs="Times New Roman"/>
                <w:szCs w:val="21"/>
              </w:rPr>
            </w:pPr>
          </w:p>
        </w:tc>
        <w:tc>
          <w:tcPr>
            <w:tcW w:w="7894" w:type="dxa"/>
            <w:tcBorders>
              <w:tl2br w:val="nil"/>
              <w:tr2bl w:val="nil"/>
            </w:tcBorders>
            <w:vAlign w:val="center"/>
          </w:tcPr>
          <w:p w14:paraId="4C3EE024">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wavelet-HLH_glcm_ClusterShade</w:t>
            </w:r>
          </w:p>
        </w:tc>
      </w:tr>
      <w:tr w14:paraId="38775046">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11886F1A">
            <w:pPr>
              <w:rPr>
                <w:rFonts w:ascii="Times New Roman" w:hAnsi="Times New Roman" w:eastAsia="宋体" w:cs="Times New Roman"/>
                <w:szCs w:val="21"/>
              </w:rPr>
            </w:pPr>
          </w:p>
        </w:tc>
        <w:tc>
          <w:tcPr>
            <w:tcW w:w="7894" w:type="dxa"/>
            <w:tcBorders>
              <w:tl2br w:val="nil"/>
              <w:tr2bl w:val="nil"/>
            </w:tcBorders>
            <w:vAlign w:val="center"/>
          </w:tcPr>
          <w:p w14:paraId="3A1AFD61">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wavelet-HHL_glcm_Imc2 </w:t>
            </w:r>
          </w:p>
        </w:tc>
      </w:tr>
      <w:tr w14:paraId="011EE35A">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544F65B2">
            <w:pPr>
              <w:rPr>
                <w:rFonts w:ascii="Times New Roman" w:hAnsi="Times New Roman" w:eastAsia="宋体" w:cs="Times New Roman"/>
                <w:szCs w:val="21"/>
              </w:rPr>
            </w:pPr>
          </w:p>
        </w:tc>
        <w:tc>
          <w:tcPr>
            <w:tcW w:w="7894" w:type="dxa"/>
            <w:tcBorders>
              <w:tl2br w:val="nil"/>
              <w:tr2bl w:val="nil"/>
            </w:tcBorders>
            <w:vAlign w:val="center"/>
          </w:tcPr>
          <w:p w14:paraId="04FD3675">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wavelet-HHL_glcm_SumEntropy</w:t>
            </w:r>
          </w:p>
        </w:tc>
      </w:tr>
      <w:tr w14:paraId="0037CA5B">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bottom w:val="single" w:color="000000" w:sz="8" w:space="0"/>
              <w:tl2br w:val="nil"/>
              <w:tr2bl w:val="nil"/>
            </w:tcBorders>
            <w:vAlign w:val="center"/>
          </w:tcPr>
          <w:p w14:paraId="190493B1">
            <w:pPr>
              <w:rPr>
                <w:rFonts w:ascii="Times New Roman" w:hAnsi="Times New Roman" w:eastAsia="宋体" w:cs="Times New Roman"/>
                <w:szCs w:val="21"/>
              </w:rPr>
            </w:pPr>
          </w:p>
        </w:tc>
        <w:tc>
          <w:tcPr>
            <w:tcW w:w="7894" w:type="dxa"/>
            <w:tcBorders>
              <w:bottom w:val="single" w:color="000000" w:sz="8" w:space="0"/>
              <w:tl2br w:val="nil"/>
              <w:tr2bl w:val="nil"/>
            </w:tcBorders>
            <w:vAlign w:val="center"/>
          </w:tcPr>
          <w:p w14:paraId="5FA2B648">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wavelet-HHH_glrlm_HighGrayLevelRunEmphasis </w:t>
            </w:r>
          </w:p>
        </w:tc>
      </w:tr>
      <w:tr w14:paraId="26E06F99">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restart"/>
            <w:tcBorders>
              <w:top w:val="single" w:color="000000" w:sz="8" w:space="0"/>
              <w:tl2br w:val="nil"/>
              <w:tr2bl w:val="nil"/>
            </w:tcBorders>
            <w:vAlign w:val="center"/>
          </w:tcPr>
          <w:p w14:paraId="775AA6EC">
            <w:pPr>
              <w:rPr>
                <w:rFonts w:ascii="Times New Roman" w:hAnsi="Times New Roman" w:eastAsia="宋体" w:cs="Times New Roman"/>
                <w:szCs w:val="21"/>
              </w:rPr>
            </w:pPr>
            <w:r>
              <w:rPr>
                <w:rFonts w:ascii="Times New Roman" w:hAnsi="Times New Roman" w:eastAsia="宋体" w:cs="Times New Roman"/>
                <w:szCs w:val="21"/>
              </w:rPr>
              <w:t>T2WI (3)</w:t>
            </w:r>
          </w:p>
        </w:tc>
        <w:tc>
          <w:tcPr>
            <w:tcW w:w="7894" w:type="dxa"/>
            <w:tcBorders>
              <w:top w:val="single" w:color="000000" w:sz="8" w:space="0"/>
              <w:tl2br w:val="nil"/>
              <w:tr2bl w:val="nil"/>
            </w:tcBorders>
            <w:vAlign w:val="center"/>
          </w:tcPr>
          <w:p w14:paraId="6BC2AFD5">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log-sigma-5-0-mm-3D_ngtdm_Coarseness                                         </w:t>
            </w:r>
          </w:p>
        </w:tc>
      </w:tr>
      <w:tr w14:paraId="26EADDD9">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0B2605BF">
            <w:pPr>
              <w:rPr>
                <w:rFonts w:ascii="Times New Roman" w:hAnsi="Times New Roman" w:eastAsia="宋体" w:cs="Times New Roman"/>
                <w:szCs w:val="21"/>
              </w:rPr>
            </w:pPr>
          </w:p>
        </w:tc>
        <w:tc>
          <w:tcPr>
            <w:tcW w:w="7894" w:type="dxa"/>
            <w:tcBorders>
              <w:tl2br w:val="nil"/>
              <w:tr2bl w:val="nil"/>
            </w:tcBorders>
            <w:vAlign w:val="center"/>
          </w:tcPr>
          <w:p w14:paraId="4CB7169A">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wavelet-HLL_glcm_MaximumProbability </w:t>
            </w:r>
          </w:p>
        </w:tc>
      </w:tr>
      <w:tr w14:paraId="7E3198C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1B4DA7C0">
            <w:pPr>
              <w:rPr>
                <w:rFonts w:ascii="Times New Roman" w:hAnsi="Times New Roman" w:eastAsia="宋体" w:cs="Times New Roman"/>
                <w:szCs w:val="21"/>
              </w:rPr>
            </w:pPr>
          </w:p>
        </w:tc>
        <w:tc>
          <w:tcPr>
            <w:tcW w:w="7894" w:type="dxa"/>
            <w:tcBorders>
              <w:tl2br w:val="nil"/>
              <w:tr2bl w:val="nil"/>
            </w:tcBorders>
            <w:vAlign w:val="center"/>
          </w:tcPr>
          <w:p w14:paraId="0D292308">
            <w:pPr>
              <w:widowControl/>
              <w:jc w:val="left"/>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 xml:space="preserve">wavelet-LLL_glszm_LargeAreaLowGrayLevelEmphasis </w:t>
            </w:r>
          </w:p>
        </w:tc>
      </w:tr>
    </w:tbl>
    <w:p w14:paraId="4FC03229">
      <w:pPr>
        <w:rPr>
          <w:rFonts w:ascii="Times New Roman" w:hAnsi="Times New Roman" w:cs="Times New Roman"/>
          <w:b/>
          <w:bCs/>
          <w:szCs w:val="21"/>
        </w:rPr>
      </w:pPr>
    </w:p>
    <w:p w14:paraId="1B513D91">
      <w:pPr>
        <w:rPr>
          <w:rFonts w:ascii="Times New Roman" w:hAnsi="Times New Roman" w:cs="Times New Roman"/>
          <w:b/>
          <w:bCs/>
          <w:szCs w:val="21"/>
        </w:rPr>
      </w:pPr>
    </w:p>
    <w:p w14:paraId="16B3A205">
      <w:pPr>
        <w:rPr>
          <w:rFonts w:ascii="Times New Roman" w:hAnsi="Times New Roman" w:cs="Times New Roman"/>
          <w:b/>
          <w:bCs/>
          <w:szCs w:val="21"/>
        </w:rPr>
      </w:pPr>
      <w:r>
        <w:rPr>
          <w:rFonts w:ascii="Times New Roman" w:hAnsi="Times New Roman" w:cs="Times New Roman"/>
          <w:b/>
          <w:bCs/>
          <w:szCs w:val="21"/>
        </w:rPr>
        <w:t>Supplementary Table S</w:t>
      </w:r>
      <w:r>
        <w:rPr>
          <w:rFonts w:hint="eastAsia" w:ascii="Times New Roman" w:hAnsi="Times New Roman" w:cs="Times New Roman"/>
          <w:b/>
          <w:bCs/>
          <w:szCs w:val="21"/>
        </w:rPr>
        <w:t>4</w:t>
      </w:r>
      <w:r>
        <w:rPr>
          <w:rFonts w:ascii="Times New Roman" w:hAnsi="Times New Roman" w:cs="Times New Roman"/>
          <w:b/>
          <w:bCs/>
          <w:szCs w:val="21"/>
        </w:rPr>
        <w:t xml:space="preserve">. Feautures contained in the </w:t>
      </w:r>
      <w:r>
        <w:rPr>
          <w:rFonts w:hint="eastAsia" w:ascii="Times New Roman" w:hAnsi="Times New Roman" w:cs="Times New Roman"/>
          <w:b/>
          <w:bCs/>
          <w:szCs w:val="21"/>
        </w:rPr>
        <w:t xml:space="preserve">optimal </w:t>
      </w:r>
      <w:r>
        <w:rPr>
          <w:rFonts w:ascii="Times New Roman" w:hAnsi="Times New Roman" w:cs="Times New Roman"/>
          <w:b/>
          <w:bCs/>
          <w:szCs w:val="21"/>
        </w:rPr>
        <w:t>peritumoral radiomics signatures for DWI, CE-T1WI, and T2WI</w:t>
      </w:r>
    </w:p>
    <w:p w14:paraId="045B5217">
      <w:pPr>
        <w:rPr>
          <w:rFonts w:ascii="Times New Roman" w:hAnsi="Times New Roman" w:cs="Times New Roman"/>
          <w:b/>
          <w:bCs/>
          <w:szCs w:val="21"/>
        </w:rPr>
      </w:pPr>
    </w:p>
    <w:tbl>
      <w:tblPr>
        <w:tblStyle w:val="5"/>
        <w:tblW w:w="9651"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57"/>
        <w:gridCol w:w="7894"/>
      </w:tblGrid>
      <w:tr w14:paraId="4C3D630B">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tcBorders>
              <w:bottom w:val="single" w:color="auto" w:sz="8" w:space="0"/>
            </w:tcBorders>
            <w:vAlign w:val="center"/>
          </w:tcPr>
          <w:p w14:paraId="3E68FFA4">
            <w:pP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Sequence</w:t>
            </w:r>
          </w:p>
        </w:tc>
        <w:tc>
          <w:tcPr>
            <w:tcW w:w="7894" w:type="dxa"/>
            <w:tcBorders>
              <w:bottom w:val="single" w:color="auto" w:sz="8" w:space="0"/>
            </w:tcBorders>
            <w:vAlign w:val="center"/>
          </w:tcPr>
          <w:p w14:paraId="5D2414C3">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Feature</w:t>
            </w:r>
          </w:p>
        </w:tc>
      </w:tr>
      <w:tr w14:paraId="78B18E74">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restart"/>
            <w:tcBorders>
              <w:top w:val="single" w:color="auto" w:sz="8" w:space="0"/>
            </w:tcBorders>
            <w:vAlign w:val="center"/>
          </w:tcPr>
          <w:p w14:paraId="6A0D6D8B">
            <w:pP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DWI (14)</w:t>
            </w:r>
          </w:p>
        </w:tc>
        <w:tc>
          <w:tcPr>
            <w:tcW w:w="7894" w:type="dxa"/>
            <w:tcBorders>
              <w:top w:val="single" w:color="auto" w:sz="8" w:space="0"/>
            </w:tcBorders>
            <w:vAlign w:val="center"/>
          </w:tcPr>
          <w:p w14:paraId="20305174">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original_glrlm_LongRunLowGrayLevelEmphasis    </w:t>
            </w:r>
          </w:p>
        </w:tc>
      </w:tr>
      <w:tr w14:paraId="7903B8B8">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4EB2E4A3">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3FFA1BA7">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original_gldm_DependenceEntropy       </w:t>
            </w:r>
          </w:p>
        </w:tc>
      </w:tr>
      <w:tr w14:paraId="6A30A1F3">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1ED26FFE">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0A1F3493">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log-sigma-3-0-mm-3D_glcm_ClusterShade </w:t>
            </w:r>
          </w:p>
        </w:tc>
      </w:tr>
      <w:tr w14:paraId="6BEBF64E">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66C1CA1B">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33735E0D">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log-sigma-3-0-mm-3D_glrlm_ShortRunLowGrayLevelEmphasis </w:t>
            </w:r>
          </w:p>
        </w:tc>
      </w:tr>
      <w:tr w14:paraId="18E1228E">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56550984">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175AFE79">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log-sigma-3-0-mm-3D_glszm_LargeAreaLowGrayLevelEmphasis  </w:t>
            </w:r>
          </w:p>
        </w:tc>
      </w:tr>
      <w:tr w14:paraId="39D04008">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0FF756B7">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1EC655A4">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log-sigma-3-0-mm-3D_gldm_LargeDependenceLowGrayLevelEmphasis </w:t>
            </w:r>
          </w:p>
        </w:tc>
      </w:tr>
      <w:tr w14:paraId="617734C2">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05354961">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684CB2E0">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log-sigma-5-0-mm-3D_glcm_ClusterShade   </w:t>
            </w:r>
          </w:p>
        </w:tc>
      </w:tr>
      <w:tr w14:paraId="42E8830A">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352FDA35">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07D2F408">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log-sigma-5-0-mm-3D_gldm_LargeDependenceLowGrayLevelEmphasis </w:t>
            </w:r>
          </w:p>
        </w:tc>
      </w:tr>
      <w:tr w14:paraId="3463CBB8">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6CF7EFF2">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7EBD0488">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wavelet-HHL_glcm_ClusterProminence</w:t>
            </w:r>
          </w:p>
        </w:tc>
      </w:tr>
      <w:tr w14:paraId="758356EB">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738B247D">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3C03B6A9">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wavelet-HHL_glcm_Imc2</w:t>
            </w:r>
          </w:p>
        </w:tc>
      </w:tr>
      <w:tr w14:paraId="097F3326">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4AAA7A4B">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09227215">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wavelet-HHL_glcm_MaximumProbability  </w:t>
            </w:r>
          </w:p>
        </w:tc>
      </w:tr>
      <w:tr w14:paraId="46D8E7F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6FD9F006">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16DA115D">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wavelet-HHH_glcm_ClusterProminence  </w:t>
            </w:r>
          </w:p>
        </w:tc>
      </w:tr>
      <w:tr w14:paraId="7889A4FB">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0A46C326">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57B93DED">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wavelet-HHH_glcm_Imc2 </w:t>
            </w:r>
          </w:p>
        </w:tc>
      </w:tr>
      <w:tr w14:paraId="44A4DF78">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bottom w:val="single" w:color="auto" w:sz="8" w:space="0"/>
            </w:tcBorders>
            <w:vAlign w:val="center"/>
          </w:tcPr>
          <w:p w14:paraId="538B2300">
            <w:pPr>
              <w:rPr>
                <w:rFonts w:ascii="Times New Roman" w:hAnsi="Times New Roman" w:eastAsia="宋体" w:cs="Times New Roman"/>
                <w:color w:val="000000" w:themeColor="text1"/>
                <w:szCs w:val="21"/>
                <w14:textFill>
                  <w14:solidFill>
                    <w14:schemeClr w14:val="tx1"/>
                  </w14:solidFill>
                </w14:textFill>
              </w:rPr>
            </w:pPr>
          </w:p>
        </w:tc>
        <w:tc>
          <w:tcPr>
            <w:tcW w:w="7894" w:type="dxa"/>
            <w:tcBorders>
              <w:bottom w:val="single" w:color="auto" w:sz="8" w:space="0"/>
            </w:tcBorders>
            <w:vAlign w:val="center"/>
          </w:tcPr>
          <w:p w14:paraId="1BCA8D8B">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wavelet-HHH_glcm_MaximumProbability  </w:t>
            </w:r>
          </w:p>
        </w:tc>
      </w:tr>
      <w:tr w14:paraId="5BB60AFD">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restart"/>
            <w:tcBorders>
              <w:top w:val="single" w:color="auto" w:sz="8" w:space="0"/>
            </w:tcBorders>
            <w:vAlign w:val="center"/>
          </w:tcPr>
          <w:p w14:paraId="041DCD7F">
            <w:pP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CE-T1WI (14)</w:t>
            </w:r>
          </w:p>
        </w:tc>
        <w:tc>
          <w:tcPr>
            <w:tcW w:w="7894" w:type="dxa"/>
            <w:tcBorders>
              <w:top w:val="single" w:color="auto" w:sz="8" w:space="0"/>
            </w:tcBorders>
            <w:vAlign w:val="center"/>
          </w:tcPr>
          <w:p w14:paraId="06613EE2">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original_gldm_DependenceEntropy     </w:t>
            </w:r>
          </w:p>
        </w:tc>
      </w:tr>
      <w:tr w14:paraId="180EAF8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71D07029">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646BD672">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original_gldm_DependenceNonUniformityNormalized   </w:t>
            </w:r>
          </w:p>
        </w:tc>
      </w:tr>
      <w:tr w14:paraId="0155CBF5">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066FA469">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0402FAA2">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log-sigma-1-0-mm-3D_glrlm_LongRunLowGrayLevelEmphasis</w:t>
            </w:r>
          </w:p>
        </w:tc>
      </w:tr>
      <w:tr w14:paraId="2D3A53B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537E24D5">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2957ED60">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log-sigma-3-0-mm-3D_glrlm_LongRunLowGrayLevelEmphasis </w:t>
            </w:r>
          </w:p>
        </w:tc>
      </w:tr>
      <w:tr w14:paraId="2C106AB4">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31A982A5">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4F05C982">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log-sigma-5-0-mm-3D_glrlm_LongRunLowGrayLevelEmphasis     </w:t>
            </w:r>
          </w:p>
        </w:tc>
      </w:tr>
      <w:tr w14:paraId="5D0CD2F2">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0CDA3324">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29E8A4F3">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log-sigma-5-0-mm-3D_gldm_DependenceNonUniformityNormalized  </w:t>
            </w:r>
          </w:p>
        </w:tc>
      </w:tr>
      <w:tr w14:paraId="556D4632">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5005717E">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7BDFD7F8">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wavelet-LHL_glszm_GrayLevelNonUniformityNormalized   </w:t>
            </w:r>
          </w:p>
        </w:tc>
      </w:tr>
      <w:tr w14:paraId="22F12269">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5C2AC4CE">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6FCCE81A">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wavelet-LHH_glrlm_LongRunEmphasis             </w:t>
            </w:r>
          </w:p>
        </w:tc>
      </w:tr>
      <w:tr w14:paraId="57EE3B5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17C1DE74">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037FC67C">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wavelet-LHH_glszm_GrayLevelNonUniformityNormalized</w:t>
            </w:r>
          </w:p>
        </w:tc>
      </w:tr>
      <w:tr w14:paraId="33F30932">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69667C13">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1BB2C317">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wavelet-LHH_gldm_LargeDependenceEmphasis </w:t>
            </w:r>
          </w:p>
        </w:tc>
      </w:tr>
      <w:tr w14:paraId="2F314538">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0DB493B7">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63939112">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wavelet-HHL_glcm_Imc2       </w:t>
            </w:r>
          </w:p>
        </w:tc>
      </w:tr>
      <w:tr w14:paraId="1703A289">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10393B7B">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7EAB91C1">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wavelet-HHH_glcm_Imc2  </w:t>
            </w:r>
          </w:p>
        </w:tc>
      </w:tr>
      <w:tr w14:paraId="3500DEE8">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vAlign w:val="center"/>
          </w:tcPr>
          <w:p w14:paraId="017F1A58">
            <w:pPr>
              <w:rPr>
                <w:rFonts w:ascii="Times New Roman" w:hAnsi="Times New Roman" w:eastAsia="宋体" w:cs="Times New Roman"/>
                <w:color w:val="000000" w:themeColor="text1"/>
                <w:szCs w:val="21"/>
                <w14:textFill>
                  <w14:solidFill>
                    <w14:schemeClr w14:val="tx1"/>
                  </w14:solidFill>
                </w14:textFill>
              </w:rPr>
            </w:pPr>
          </w:p>
        </w:tc>
        <w:tc>
          <w:tcPr>
            <w:tcW w:w="7894" w:type="dxa"/>
            <w:vAlign w:val="center"/>
          </w:tcPr>
          <w:p w14:paraId="04225AC5">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wavelet-HHH_glcm_MaximumProbability </w:t>
            </w:r>
          </w:p>
        </w:tc>
      </w:tr>
      <w:tr w14:paraId="56EC37B3">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bottom w:val="single" w:color="auto" w:sz="8" w:space="0"/>
            </w:tcBorders>
            <w:vAlign w:val="center"/>
          </w:tcPr>
          <w:p w14:paraId="7D74371D">
            <w:pPr>
              <w:rPr>
                <w:rFonts w:ascii="Times New Roman" w:hAnsi="Times New Roman" w:eastAsia="宋体" w:cs="Times New Roman"/>
                <w:color w:val="000000" w:themeColor="text1"/>
                <w:szCs w:val="21"/>
                <w14:textFill>
                  <w14:solidFill>
                    <w14:schemeClr w14:val="tx1"/>
                  </w14:solidFill>
                </w14:textFill>
              </w:rPr>
            </w:pPr>
          </w:p>
        </w:tc>
        <w:tc>
          <w:tcPr>
            <w:tcW w:w="7894" w:type="dxa"/>
            <w:tcBorders>
              <w:bottom w:val="single" w:color="auto" w:sz="8" w:space="0"/>
            </w:tcBorders>
            <w:vAlign w:val="center"/>
          </w:tcPr>
          <w:p w14:paraId="6E73435D">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wavelet-HHH_glrlm_RunVariance     </w:t>
            </w:r>
          </w:p>
        </w:tc>
      </w:tr>
      <w:tr w14:paraId="4C3DC71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restart"/>
            <w:tcBorders>
              <w:top w:val="single" w:color="auto" w:sz="8" w:space="0"/>
              <w:tl2br w:val="nil"/>
              <w:tr2bl w:val="nil"/>
            </w:tcBorders>
            <w:vAlign w:val="center"/>
          </w:tcPr>
          <w:p w14:paraId="3F21C40A">
            <w:pP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T2WI (7)</w:t>
            </w:r>
          </w:p>
        </w:tc>
        <w:tc>
          <w:tcPr>
            <w:tcW w:w="7894" w:type="dxa"/>
            <w:tcBorders>
              <w:top w:val="single" w:color="auto" w:sz="8" w:space="0"/>
              <w:tl2br w:val="nil"/>
              <w:tr2bl w:val="nil"/>
            </w:tcBorders>
            <w:vAlign w:val="center"/>
          </w:tcPr>
          <w:p w14:paraId="0D6A90B2">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original_glrlm_GrayLevelNonUniformityNormalized  </w:t>
            </w:r>
          </w:p>
        </w:tc>
      </w:tr>
      <w:tr w14:paraId="53E1AA6C">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790ABF2C">
            <w:pPr>
              <w:rPr>
                <w:rFonts w:ascii="Times New Roman" w:hAnsi="Times New Roman" w:eastAsia="宋体" w:cs="Times New Roman"/>
                <w:color w:val="0000FF"/>
                <w:szCs w:val="21"/>
              </w:rPr>
            </w:pPr>
          </w:p>
        </w:tc>
        <w:tc>
          <w:tcPr>
            <w:tcW w:w="7894" w:type="dxa"/>
            <w:tcBorders>
              <w:tl2br w:val="nil"/>
              <w:tr2bl w:val="nil"/>
            </w:tcBorders>
            <w:vAlign w:val="center"/>
          </w:tcPr>
          <w:p w14:paraId="2C54FFAF">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original_gldm_DependenceVariance   </w:t>
            </w:r>
          </w:p>
        </w:tc>
      </w:tr>
      <w:tr w14:paraId="11C47B3B">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1353E6E0">
            <w:pPr>
              <w:rPr>
                <w:rFonts w:ascii="Times New Roman" w:hAnsi="Times New Roman" w:eastAsia="宋体" w:cs="Times New Roman"/>
                <w:color w:val="0000FF"/>
                <w:szCs w:val="21"/>
              </w:rPr>
            </w:pPr>
          </w:p>
        </w:tc>
        <w:tc>
          <w:tcPr>
            <w:tcW w:w="7894" w:type="dxa"/>
            <w:tcBorders>
              <w:tl2br w:val="nil"/>
              <w:tr2bl w:val="nil"/>
            </w:tcBorders>
            <w:vAlign w:val="center"/>
          </w:tcPr>
          <w:p w14:paraId="14CCD999">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original_gldm_LargeDependenceLowGrayLevelEmphasis </w:t>
            </w:r>
          </w:p>
        </w:tc>
      </w:tr>
      <w:tr w14:paraId="112DDFE3">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39B84633">
            <w:pPr>
              <w:rPr>
                <w:rFonts w:ascii="Times New Roman" w:hAnsi="Times New Roman" w:eastAsia="宋体" w:cs="Times New Roman"/>
                <w:color w:val="0000FF"/>
                <w:szCs w:val="21"/>
              </w:rPr>
            </w:pPr>
          </w:p>
        </w:tc>
        <w:tc>
          <w:tcPr>
            <w:tcW w:w="7894" w:type="dxa"/>
            <w:tcBorders>
              <w:tl2br w:val="nil"/>
              <w:tr2bl w:val="nil"/>
            </w:tcBorders>
            <w:vAlign w:val="center"/>
          </w:tcPr>
          <w:p w14:paraId="6D69DC1B">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original_ngtdm_Busyness </w:t>
            </w:r>
          </w:p>
        </w:tc>
      </w:tr>
      <w:tr w14:paraId="6C97F442">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27F2C67B">
            <w:pPr>
              <w:rPr>
                <w:rFonts w:ascii="Times New Roman" w:hAnsi="Times New Roman" w:eastAsia="宋体" w:cs="Times New Roman"/>
                <w:color w:val="0000FF"/>
                <w:szCs w:val="21"/>
              </w:rPr>
            </w:pPr>
          </w:p>
        </w:tc>
        <w:tc>
          <w:tcPr>
            <w:tcW w:w="7894" w:type="dxa"/>
            <w:tcBorders>
              <w:tl2br w:val="nil"/>
              <w:tr2bl w:val="nil"/>
            </w:tcBorders>
            <w:vAlign w:val="center"/>
          </w:tcPr>
          <w:p w14:paraId="27B52D4F">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wavelet-HHL_glszm_SizeZoneNonUniformityNormalized  </w:t>
            </w:r>
          </w:p>
        </w:tc>
      </w:tr>
      <w:tr w14:paraId="68B40173">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1C826989">
            <w:pPr>
              <w:rPr>
                <w:rFonts w:ascii="Times New Roman" w:hAnsi="Times New Roman" w:eastAsia="宋体" w:cs="Times New Roman"/>
                <w:color w:val="0000FF"/>
                <w:szCs w:val="21"/>
              </w:rPr>
            </w:pPr>
          </w:p>
        </w:tc>
        <w:tc>
          <w:tcPr>
            <w:tcW w:w="7894" w:type="dxa"/>
            <w:tcBorders>
              <w:tl2br w:val="nil"/>
              <w:tr2bl w:val="nil"/>
            </w:tcBorders>
            <w:vAlign w:val="center"/>
          </w:tcPr>
          <w:p w14:paraId="5217736D">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wavelet-HHH_glcm_ClusterProminence </w:t>
            </w:r>
          </w:p>
        </w:tc>
      </w:tr>
      <w:tr w14:paraId="3D5A9998">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7" w:type="dxa"/>
            <w:vMerge w:val="continue"/>
            <w:tcBorders>
              <w:tl2br w:val="nil"/>
              <w:tr2bl w:val="nil"/>
            </w:tcBorders>
            <w:vAlign w:val="center"/>
          </w:tcPr>
          <w:p w14:paraId="5CA88559">
            <w:pPr>
              <w:rPr>
                <w:rFonts w:ascii="Times New Roman" w:hAnsi="Times New Roman" w:eastAsia="宋体" w:cs="Times New Roman"/>
                <w:color w:val="0000FF"/>
                <w:szCs w:val="21"/>
              </w:rPr>
            </w:pPr>
          </w:p>
        </w:tc>
        <w:tc>
          <w:tcPr>
            <w:tcW w:w="7894" w:type="dxa"/>
            <w:tcBorders>
              <w:tl2br w:val="nil"/>
              <w:tr2bl w:val="nil"/>
            </w:tcBorders>
            <w:vAlign w:val="center"/>
          </w:tcPr>
          <w:p w14:paraId="481088BD">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wavelet-HHH_glszm_SizeZoneNonUniformityNormalized</w:t>
            </w:r>
          </w:p>
        </w:tc>
      </w:tr>
    </w:tbl>
    <w:p w14:paraId="57C33B60">
      <w:pPr>
        <w:rPr>
          <w:rFonts w:ascii="Times New Roman" w:hAnsi="Times New Roman" w:cs="Times New Roman"/>
          <w:b/>
          <w:bCs/>
          <w:szCs w:val="21"/>
        </w:rPr>
      </w:pPr>
    </w:p>
    <w:p w14:paraId="77C9C5F0">
      <w:pPr>
        <w:rPr>
          <w:rFonts w:ascii="Times New Roman" w:hAnsi="Times New Roman" w:cs="Times New Roman"/>
          <w:b/>
          <w:bCs/>
          <w:szCs w:val="21"/>
        </w:rPr>
      </w:pPr>
    </w:p>
    <w:p w14:paraId="12BB6FE4">
      <w:pPr>
        <w:rPr>
          <w:rFonts w:ascii="Times New Roman" w:hAnsi="Times New Roman" w:cs="Times New Roman"/>
          <w:b/>
          <w:bCs/>
          <w:szCs w:val="21"/>
        </w:rPr>
      </w:pPr>
    </w:p>
    <w:p w14:paraId="3BC0404A">
      <w:pPr>
        <w:rPr>
          <w:rFonts w:ascii="Times New Roman" w:hAnsi="Times New Roman" w:cs="Times New Roman"/>
          <w:b/>
          <w:bCs/>
          <w:szCs w:val="21"/>
        </w:rPr>
      </w:pPr>
    </w:p>
    <w:p w14:paraId="596F3524">
      <w:pPr>
        <w:jc w:val="center"/>
        <w:rPr>
          <w:rFonts w:ascii="Times New Roman" w:hAnsi="Times New Roman" w:cs="Times New Roman"/>
          <w:b/>
          <w:bCs/>
          <w:szCs w:val="21"/>
        </w:rPr>
      </w:pPr>
      <w:r>
        <w:rPr>
          <w:rFonts w:ascii="Times New Roman" w:hAnsi="Times New Roman" w:cs="Times New Roman"/>
          <w:b/>
          <w:bCs/>
          <w:szCs w:val="21"/>
        </w:rPr>
        <w:drawing>
          <wp:inline distT="0" distB="0" distL="114300" distR="114300">
            <wp:extent cx="4039870" cy="3096895"/>
            <wp:effectExtent l="0" t="0" r="5080" b="6985"/>
            <wp:docPr id="2" name="图片 2" descr="Supplement Fig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upplement Figure1"/>
                    <pic:cNvPicPr>
                      <a:picLocks noChangeAspect="1"/>
                    </pic:cNvPicPr>
                  </pic:nvPicPr>
                  <pic:blipFill>
                    <a:blip r:embed="rId4"/>
                    <a:srcRect/>
                    <a:stretch>
                      <a:fillRect/>
                    </a:stretch>
                  </pic:blipFill>
                  <pic:spPr>
                    <a:xfrm>
                      <a:off x="0" y="0"/>
                      <a:ext cx="4040124" cy="3096768"/>
                    </a:xfrm>
                    <a:prstGeom prst="rect">
                      <a:avLst/>
                    </a:prstGeom>
                  </pic:spPr>
                </pic:pic>
              </a:graphicData>
            </a:graphic>
          </wp:inline>
        </w:drawing>
      </w:r>
    </w:p>
    <w:p w14:paraId="1A569340">
      <w:pPr>
        <w:rPr>
          <w:rFonts w:ascii="Times New Roman" w:hAnsi="Times New Roman" w:cs="Times New Roman"/>
          <w:b/>
          <w:bCs/>
          <w:szCs w:val="21"/>
        </w:rPr>
      </w:pPr>
    </w:p>
    <w:p w14:paraId="065BCAAE">
      <w:pPr>
        <w:rPr>
          <w:rFonts w:ascii="Times New Roman" w:hAnsi="Times New Roman" w:cs="Times New Roman"/>
          <w:szCs w:val="21"/>
        </w:rPr>
      </w:pPr>
      <w:r>
        <w:rPr>
          <w:rFonts w:ascii="Times New Roman" w:hAnsi="Times New Roman" w:cs="Times New Roman"/>
          <w:b/>
          <w:bCs/>
          <w:szCs w:val="21"/>
        </w:rPr>
        <w:t xml:space="preserve">Supplementary </w:t>
      </w:r>
      <w:r>
        <w:rPr>
          <w:rFonts w:hint="eastAsia" w:ascii="Times New Roman" w:hAnsi="Times New Roman" w:cs="Times New Roman"/>
          <w:b/>
          <w:bCs/>
          <w:szCs w:val="21"/>
        </w:rPr>
        <w:t>Figure S1</w:t>
      </w:r>
      <w:r>
        <w:rPr>
          <w:rFonts w:ascii="Times New Roman" w:hAnsi="Times New Roman" w:cs="Times New Roman"/>
          <w:b/>
          <w:bCs/>
          <w:szCs w:val="21"/>
        </w:rPr>
        <w:t xml:space="preserve">. </w:t>
      </w:r>
      <w:r>
        <w:rPr>
          <w:rFonts w:ascii="Times New Roman" w:hAnsi="Times New Roman" w:cs="Times New Roman"/>
          <w:szCs w:val="21"/>
        </w:rPr>
        <w:t>Performance comparison of peritumoral radiomics signatures with different peritumoral VOI</w:t>
      </w:r>
      <w:r>
        <w:rPr>
          <w:rFonts w:hint="eastAsia" w:ascii="Times New Roman" w:hAnsi="Times New Roman" w:cs="Times New Roman"/>
          <w:szCs w:val="21"/>
        </w:rPr>
        <w:t xml:space="preserve">s. Note that "VOI_i" represents </w:t>
      </w:r>
      <w:r>
        <w:rPr>
          <w:rFonts w:ascii="Times New Roman" w:hAnsi="Times New Roman" w:cs="Times New Roman"/>
          <w:szCs w:val="21"/>
        </w:rPr>
        <w:t>the peritumoral VOIs obtained by dilating the intratumoral VOI from</w:t>
      </w:r>
      <w:r>
        <w:rPr>
          <w:rFonts w:hint="eastAsia" w:ascii="Times New Roman" w:hAnsi="Times New Roman" w:cs="Times New Roman"/>
          <w:szCs w:val="21"/>
        </w:rPr>
        <w:t xml:space="preserve"> </w:t>
      </w:r>
      <w:r>
        <w:rPr>
          <w:rFonts w:ascii="Times New Roman" w:hAnsi="Times New Roman" w:cs="Times New Roman"/>
          <w:szCs w:val="21"/>
        </w:rPr>
        <w:t>a circular structural element with a radius size (number of a pixel) of 2.</w:t>
      </w:r>
    </w:p>
    <w:p w14:paraId="0A7B332E">
      <w:pPr>
        <w:rPr>
          <w:rFonts w:ascii="Times New Roman" w:hAnsi="Times New Roman" w:cs="Times New Roman"/>
          <w:szCs w:val="21"/>
        </w:rPr>
      </w:pPr>
    </w:p>
    <w:p w14:paraId="33672781">
      <w:pPr>
        <w:rPr>
          <w:rFonts w:ascii="Times New Roman" w:hAnsi="Times New Roman" w:cs="Times New Roman"/>
          <w:b/>
          <w:bCs/>
          <w:szCs w:val="21"/>
        </w:rPr>
      </w:pPr>
    </w:p>
    <w:p w14:paraId="176357C2">
      <w:pPr>
        <w:rPr>
          <w:rFonts w:ascii="Times New Roman" w:hAnsi="Times New Roman" w:cs="Times New Roman"/>
          <w:b/>
          <w:bCs/>
          <w:szCs w:val="21"/>
        </w:rPr>
      </w:pPr>
    </w:p>
    <w:p w14:paraId="592A636C">
      <w:pPr>
        <w:rPr>
          <w:rFonts w:ascii="Times New Roman" w:hAnsi="Times New Roman" w:cs="Times New Roman"/>
          <w:b/>
          <w:bCs/>
          <w:szCs w:val="21"/>
        </w:rPr>
      </w:pPr>
    </w:p>
    <w:p w14:paraId="4A351E0B">
      <w:pPr>
        <w:rPr>
          <w:rFonts w:ascii="Times New Roman" w:hAnsi="Times New Roman" w:cs="Times New Roman"/>
          <w:b/>
          <w:bCs/>
          <w:szCs w:val="21"/>
        </w:rPr>
      </w:pPr>
    </w:p>
    <w:p w14:paraId="72CE76D7">
      <w:pPr>
        <w:rPr>
          <w:rFonts w:ascii="Times New Roman" w:hAnsi="Times New Roman" w:cs="Times New Roman"/>
          <w:b/>
          <w:bCs/>
          <w:szCs w:val="21"/>
        </w:rPr>
      </w:pPr>
    </w:p>
    <w:sectPr>
      <w:pgSz w:w="14742" w:h="22680" w:orient="landscape"/>
      <w:pgMar w:top="1440" w:right="1077" w:bottom="1440" w:left="107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A2sjQB0iamJgZmhko6SsGpxcWZ+XkgBUZGtQAo1RipLQAAAA=="/>
    <w:docVar w:name="commondata" w:val="eyJoZGlkIjoiMDA3OTkwODhlYmVkNGMwY2M2ZmU1ODlhOTI1NmIwODQifQ=="/>
  </w:docVars>
  <w:rsids>
    <w:rsidRoot w:val="00D9628B"/>
    <w:rsid w:val="0001568A"/>
    <w:rsid w:val="00022D66"/>
    <w:rsid w:val="00027563"/>
    <w:rsid w:val="00040191"/>
    <w:rsid w:val="00045539"/>
    <w:rsid w:val="00060C85"/>
    <w:rsid w:val="00080BEB"/>
    <w:rsid w:val="00087D33"/>
    <w:rsid w:val="00093212"/>
    <w:rsid w:val="000B0D5D"/>
    <w:rsid w:val="000C612F"/>
    <w:rsid w:val="000D45F3"/>
    <w:rsid w:val="000D7522"/>
    <w:rsid w:val="000F213B"/>
    <w:rsid w:val="000F4319"/>
    <w:rsid w:val="000F4CA3"/>
    <w:rsid w:val="000F6098"/>
    <w:rsid w:val="00126F77"/>
    <w:rsid w:val="001402E0"/>
    <w:rsid w:val="001457ED"/>
    <w:rsid w:val="00152F1A"/>
    <w:rsid w:val="00160A20"/>
    <w:rsid w:val="001628E7"/>
    <w:rsid w:val="00164F0F"/>
    <w:rsid w:val="00184467"/>
    <w:rsid w:val="0018593F"/>
    <w:rsid w:val="00186D5C"/>
    <w:rsid w:val="001912CF"/>
    <w:rsid w:val="00192F5C"/>
    <w:rsid w:val="001D1861"/>
    <w:rsid w:val="001E002B"/>
    <w:rsid w:val="002045D3"/>
    <w:rsid w:val="002110E8"/>
    <w:rsid w:val="002300E8"/>
    <w:rsid w:val="00230663"/>
    <w:rsid w:val="0023459D"/>
    <w:rsid w:val="00240EFC"/>
    <w:rsid w:val="00255358"/>
    <w:rsid w:val="00255DBC"/>
    <w:rsid w:val="002708E7"/>
    <w:rsid w:val="002722D7"/>
    <w:rsid w:val="00285622"/>
    <w:rsid w:val="00295F3C"/>
    <w:rsid w:val="00300636"/>
    <w:rsid w:val="003011E5"/>
    <w:rsid w:val="003164FF"/>
    <w:rsid w:val="00334198"/>
    <w:rsid w:val="00344A2D"/>
    <w:rsid w:val="00353150"/>
    <w:rsid w:val="00353711"/>
    <w:rsid w:val="00356E79"/>
    <w:rsid w:val="00370F6D"/>
    <w:rsid w:val="0037123F"/>
    <w:rsid w:val="0037779F"/>
    <w:rsid w:val="00390FEF"/>
    <w:rsid w:val="00393E64"/>
    <w:rsid w:val="00397ADE"/>
    <w:rsid w:val="003A22FE"/>
    <w:rsid w:val="003A5D57"/>
    <w:rsid w:val="003A7EA7"/>
    <w:rsid w:val="003B09BA"/>
    <w:rsid w:val="003B2302"/>
    <w:rsid w:val="003B611B"/>
    <w:rsid w:val="003D299B"/>
    <w:rsid w:val="003E0888"/>
    <w:rsid w:val="003E4355"/>
    <w:rsid w:val="004027BF"/>
    <w:rsid w:val="00403E30"/>
    <w:rsid w:val="00406438"/>
    <w:rsid w:val="00410B8E"/>
    <w:rsid w:val="0041649A"/>
    <w:rsid w:val="00441288"/>
    <w:rsid w:val="0044744A"/>
    <w:rsid w:val="00454802"/>
    <w:rsid w:val="0046555F"/>
    <w:rsid w:val="0047523B"/>
    <w:rsid w:val="004921E6"/>
    <w:rsid w:val="004A1E23"/>
    <w:rsid w:val="004A4C35"/>
    <w:rsid w:val="004A61A9"/>
    <w:rsid w:val="004C57EE"/>
    <w:rsid w:val="004D140B"/>
    <w:rsid w:val="004F51BF"/>
    <w:rsid w:val="00512AD3"/>
    <w:rsid w:val="00515CD9"/>
    <w:rsid w:val="00540246"/>
    <w:rsid w:val="005454DC"/>
    <w:rsid w:val="00545EAF"/>
    <w:rsid w:val="00547BF0"/>
    <w:rsid w:val="00556527"/>
    <w:rsid w:val="005632A7"/>
    <w:rsid w:val="005666AC"/>
    <w:rsid w:val="005766AA"/>
    <w:rsid w:val="005858C5"/>
    <w:rsid w:val="00591228"/>
    <w:rsid w:val="005A06D6"/>
    <w:rsid w:val="005A140C"/>
    <w:rsid w:val="005A564A"/>
    <w:rsid w:val="005A6D92"/>
    <w:rsid w:val="005B0C1F"/>
    <w:rsid w:val="005B1853"/>
    <w:rsid w:val="005D038A"/>
    <w:rsid w:val="005D2665"/>
    <w:rsid w:val="005F6879"/>
    <w:rsid w:val="006025F4"/>
    <w:rsid w:val="006274DF"/>
    <w:rsid w:val="00642EC5"/>
    <w:rsid w:val="00644426"/>
    <w:rsid w:val="0065023B"/>
    <w:rsid w:val="00651B4A"/>
    <w:rsid w:val="00653A22"/>
    <w:rsid w:val="00663315"/>
    <w:rsid w:val="006A2717"/>
    <w:rsid w:val="006A6F7A"/>
    <w:rsid w:val="006B1DCA"/>
    <w:rsid w:val="006B63EE"/>
    <w:rsid w:val="006D7300"/>
    <w:rsid w:val="006E7FAD"/>
    <w:rsid w:val="006F7EEA"/>
    <w:rsid w:val="00711DD5"/>
    <w:rsid w:val="00736C2C"/>
    <w:rsid w:val="00751426"/>
    <w:rsid w:val="00754A79"/>
    <w:rsid w:val="00755745"/>
    <w:rsid w:val="00764B41"/>
    <w:rsid w:val="00774C3E"/>
    <w:rsid w:val="007935E6"/>
    <w:rsid w:val="007A16EF"/>
    <w:rsid w:val="007B3872"/>
    <w:rsid w:val="007C2CBD"/>
    <w:rsid w:val="007C5259"/>
    <w:rsid w:val="007D152F"/>
    <w:rsid w:val="007F2FC5"/>
    <w:rsid w:val="00800155"/>
    <w:rsid w:val="00806082"/>
    <w:rsid w:val="00817007"/>
    <w:rsid w:val="00830D41"/>
    <w:rsid w:val="00840C48"/>
    <w:rsid w:val="008520D1"/>
    <w:rsid w:val="00855385"/>
    <w:rsid w:val="00857350"/>
    <w:rsid w:val="00857DC3"/>
    <w:rsid w:val="008614E9"/>
    <w:rsid w:val="00866A9B"/>
    <w:rsid w:val="008743F3"/>
    <w:rsid w:val="008876F7"/>
    <w:rsid w:val="00891916"/>
    <w:rsid w:val="008935F8"/>
    <w:rsid w:val="0089540A"/>
    <w:rsid w:val="00896969"/>
    <w:rsid w:val="008C087E"/>
    <w:rsid w:val="008C1E6F"/>
    <w:rsid w:val="008C557A"/>
    <w:rsid w:val="008D42BF"/>
    <w:rsid w:val="008D7B89"/>
    <w:rsid w:val="008D7ED6"/>
    <w:rsid w:val="008E3E12"/>
    <w:rsid w:val="008E5947"/>
    <w:rsid w:val="008E78E4"/>
    <w:rsid w:val="00901680"/>
    <w:rsid w:val="009030FC"/>
    <w:rsid w:val="009104CB"/>
    <w:rsid w:val="00915A74"/>
    <w:rsid w:val="00921032"/>
    <w:rsid w:val="00932CBB"/>
    <w:rsid w:val="00937606"/>
    <w:rsid w:val="00941AD1"/>
    <w:rsid w:val="009B46EC"/>
    <w:rsid w:val="009B4EA8"/>
    <w:rsid w:val="009C0D0B"/>
    <w:rsid w:val="009C4F61"/>
    <w:rsid w:val="009D21A4"/>
    <w:rsid w:val="009D2500"/>
    <w:rsid w:val="009E137E"/>
    <w:rsid w:val="009F2BAE"/>
    <w:rsid w:val="00A03A30"/>
    <w:rsid w:val="00A04BDB"/>
    <w:rsid w:val="00A07B18"/>
    <w:rsid w:val="00A11CC9"/>
    <w:rsid w:val="00A16757"/>
    <w:rsid w:val="00A168C2"/>
    <w:rsid w:val="00A16F29"/>
    <w:rsid w:val="00A266E9"/>
    <w:rsid w:val="00A30856"/>
    <w:rsid w:val="00A56490"/>
    <w:rsid w:val="00A61373"/>
    <w:rsid w:val="00A720EE"/>
    <w:rsid w:val="00A801A2"/>
    <w:rsid w:val="00A85AF5"/>
    <w:rsid w:val="00A87847"/>
    <w:rsid w:val="00A97D7A"/>
    <w:rsid w:val="00AA2553"/>
    <w:rsid w:val="00AB527F"/>
    <w:rsid w:val="00AB70B6"/>
    <w:rsid w:val="00AD26E5"/>
    <w:rsid w:val="00AD7C09"/>
    <w:rsid w:val="00AF601D"/>
    <w:rsid w:val="00B07892"/>
    <w:rsid w:val="00B61705"/>
    <w:rsid w:val="00B75A00"/>
    <w:rsid w:val="00B77E5A"/>
    <w:rsid w:val="00B83FF0"/>
    <w:rsid w:val="00B90BEE"/>
    <w:rsid w:val="00B938E0"/>
    <w:rsid w:val="00BA4ED2"/>
    <w:rsid w:val="00BA5E01"/>
    <w:rsid w:val="00BB5270"/>
    <w:rsid w:val="00BC4016"/>
    <w:rsid w:val="00BD4A26"/>
    <w:rsid w:val="00C1215F"/>
    <w:rsid w:val="00C15153"/>
    <w:rsid w:val="00C2550A"/>
    <w:rsid w:val="00C362C5"/>
    <w:rsid w:val="00C409D9"/>
    <w:rsid w:val="00C65923"/>
    <w:rsid w:val="00C950E4"/>
    <w:rsid w:val="00CA6137"/>
    <w:rsid w:val="00CB0954"/>
    <w:rsid w:val="00CB7398"/>
    <w:rsid w:val="00CB760C"/>
    <w:rsid w:val="00CD0CB4"/>
    <w:rsid w:val="00CE5386"/>
    <w:rsid w:val="00D045DE"/>
    <w:rsid w:val="00D207EA"/>
    <w:rsid w:val="00D3040A"/>
    <w:rsid w:val="00D36326"/>
    <w:rsid w:val="00D366D1"/>
    <w:rsid w:val="00D412EE"/>
    <w:rsid w:val="00D416C3"/>
    <w:rsid w:val="00D427C7"/>
    <w:rsid w:val="00D57225"/>
    <w:rsid w:val="00D6422F"/>
    <w:rsid w:val="00D6425B"/>
    <w:rsid w:val="00D83004"/>
    <w:rsid w:val="00D9628B"/>
    <w:rsid w:val="00DB4EEF"/>
    <w:rsid w:val="00DC732E"/>
    <w:rsid w:val="00DC7EDC"/>
    <w:rsid w:val="00DD3311"/>
    <w:rsid w:val="00DD6BE7"/>
    <w:rsid w:val="00DE4F1B"/>
    <w:rsid w:val="00DE7E06"/>
    <w:rsid w:val="00E300DF"/>
    <w:rsid w:val="00E30BF4"/>
    <w:rsid w:val="00E340FD"/>
    <w:rsid w:val="00E35FCE"/>
    <w:rsid w:val="00E55D99"/>
    <w:rsid w:val="00E63AC8"/>
    <w:rsid w:val="00E7696F"/>
    <w:rsid w:val="00E869B0"/>
    <w:rsid w:val="00E8749B"/>
    <w:rsid w:val="00E91E3E"/>
    <w:rsid w:val="00EA0095"/>
    <w:rsid w:val="00EA3D30"/>
    <w:rsid w:val="00EA7D3E"/>
    <w:rsid w:val="00EB7A85"/>
    <w:rsid w:val="00EC280E"/>
    <w:rsid w:val="00EE143C"/>
    <w:rsid w:val="00EE5A92"/>
    <w:rsid w:val="00EE7D11"/>
    <w:rsid w:val="00F06951"/>
    <w:rsid w:val="00F070A4"/>
    <w:rsid w:val="00F1516A"/>
    <w:rsid w:val="00F1623D"/>
    <w:rsid w:val="00F3061A"/>
    <w:rsid w:val="00F43D26"/>
    <w:rsid w:val="00F70CF4"/>
    <w:rsid w:val="00F727B8"/>
    <w:rsid w:val="00F9459F"/>
    <w:rsid w:val="00FB24D6"/>
    <w:rsid w:val="00FB776B"/>
    <w:rsid w:val="00FC5C3F"/>
    <w:rsid w:val="00FF493A"/>
    <w:rsid w:val="03223893"/>
    <w:rsid w:val="08F26AA6"/>
    <w:rsid w:val="0A323DD6"/>
    <w:rsid w:val="1C5A11FD"/>
    <w:rsid w:val="2B14398C"/>
    <w:rsid w:val="2D623799"/>
    <w:rsid w:val="2ED979B0"/>
    <w:rsid w:val="348A27EC"/>
    <w:rsid w:val="58782CE6"/>
    <w:rsid w:val="58D27FCC"/>
    <w:rsid w:val="59405599"/>
    <w:rsid w:val="5BE66116"/>
    <w:rsid w:val="64404143"/>
    <w:rsid w:val="66161F31"/>
    <w:rsid w:val="6F29788F"/>
    <w:rsid w:val="78B7006D"/>
    <w:rsid w:val="7FB872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未处理的提及1"/>
    <w:basedOn w:val="6"/>
    <w:semiHidden/>
    <w:unhideWhenUsed/>
    <w:qFormat/>
    <w:uiPriority w:val="99"/>
    <w:rPr>
      <w:color w:val="605E5C"/>
      <w:shd w:val="clear" w:color="auto" w:fill="E1DFDD"/>
    </w:rPr>
  </w:style>
  <w:style w:type="table" w:customStyle="1" w:styleId="12">
    <w:name w:val="网格型1"/>
    <w:basedOn w:val="4"/>
    <w:qFormat/>
    <w:uiPriority w:val="0"/>
    <w:pPr>
      <w:spacing w:after="160" w:line="256" w:lineRule="auto"/>
    </w:pPr>
    <w:rPr>
      <w:rFonts w:ascii="Times New Roman" w:hAnsi="Times New Roman" w:eastAsia="Times New Roman"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4">
    <w:name w:val="未处理的提及2"/>
    <w:basedOn w:val="6"/>
    <w:semiHidden/>
    <w:unhideWhenUsed/>
    <w:qFormat/>
    <w:uiPriority w:val="99"/>
    <w:rPr>
      <w:color w:val="605E5C"/>
      <w:shd w:val="clear" w:color="auto" w:fill="E1DFDD"/>
    </w:rPr>
  </w:style>
  <w:style w:type="table" w:customStyle="1" w:styleId="15">
    <w:name w:val="网格型2"/>
    <w:basedOn w:val="4"/>
    <w:qFormat/>
    <w:uiPriority w:val="39"/>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380C3A-F354-4970-A253-EAA6B38752B0}">
  <ds:schemaRefs/>
</ds:datastoreItem>
</file>

<file path=docProps/app.xml><?xml version="1.0" encoding="utf-8"?>
<Properties xmlns="http://schemas.openxmlformats.org/officeDocument/2006/extended-properties" xmlns:vt="http://schemas.openxmlformats.org/officeDocument/2006/docPropsVTypes">
  <Template>Normal</Template>
  <Pages>4</Pages>
  <Words>752</Words>
  <Characters>6260</Characters>
  <Lines>54</Lines>
  <Paragraphs>15</Paragraphs>
  <TotalTime>1</TotalTime>
  <ScaleCrop>false</ScaleCrop>
  <LinksUpToDate>false</LinksUpToDate>
  <CharactersWithSpaces>6983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2021-12-02T14:14:00Z</dcterms:created>
  <dc:creator>鄢 梦</dc:creator>
  <cp:lastModifiedBy>soundy潇</cp:lastModifiedBy>
  <dcterms:modified xsi:type="dcterms:W3CDTF">2024-07-17T03:03:05Z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964102F2EE374F6388E32B4F5797717D</vt:lpwstr>
  </property>
</Properties>
</file>