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>SUPPLEMENTARY INFORMATION</w:t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i/>
          <w:iCs/>
          <w:kern w:val="44"/>
          <w:sz w:val="24"/>
          <w:szCs w:val="24"/>
        </w:rPr>
      </w:pPr>
      <w:bookmarkStart w:id="0" w:name="OLE_LINK8"/>
      <w:bookmarkStart w:id="1" w:name="_Hlk149121113"/>
      <w:bookmarkStart w:id="2" w:name="OLE_LINK13"/>
      <w:r>
        <w:rPr>
          <w:rFonts w:ascii="Times New Roman" w:hAnsi="Times New Roman" w:eastAsia="宋体" w:cs="Times New Roman"/>
          <w:b/>
          <w:bCs/>
          <w:i/>
          <w:iCs/>
          <w:kern w:val="44"/>
          <w:sz w:val="24"/>
          <w:szCs w:val="24"/>
        </w:rPr>
        <w:t>Optimized Design and Economic</w:t>
      </w:r>
      <w:r>
        <w:rPr>
          <w:rFonts w:hint="eastAsia" w:ascii="Times New Roman" w:hAnsi="Times New Roman" w:cs="Times New Roman"/>
          <w:b/>
          <w:bCs/>
          <w:i/>
          <w:iCs/>
          <w:kern w:val="44"/>
          <w:sz w:val="24"/>
          <w:szCs w:val="24"/>
          <w:lang w:val="en-US" w:eastAsia="zh-CN"/>
        </w:rPr>
        <w:t>al</w:t>
      </w:r>
      <w:r>
        <w:rPr>
          <w:rFonts w:ascii="Times New Roman" w:hAnsi="Times New Roman" w:eastAsia="宋体" w:cs="Times New Roman"/>
          <w:b/>
          <w:bCs/>
          <w:i/>
          <w:iCs/>
          <w:kern w:val="44"/>
          <w:sz w:val="24"/>
          <w:szCs w:val="24"/>
        </w:rPr>
        <w:t xml:space="preserve"> Analysis of Eco-Sponge water-logging Prevention System for Converter Stations</w:t>
      </w:r>
      <w:bookmarkEnd w:id="0"/>
    </w:p>
    <w:p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Zhengdong Wan </w:t>
      </w:r>
      <w:r>
        <w:rPr>
          <w:rFonts w:hint="eastAsia" w:ascii="Times New Roman" w:hAnsi="Times New Roman" w:cs="Times New Roman"/>
          <w:b/>
          <w:bCs/>
          <w:i/>
          <w:iCs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Liangzheng WU </w:t>
      </w:r>
      <w:r>
        <w:rPr>
          <w:rFonts w:hint="eastAsia" w:ascii="Times New Roman" w:hAnsi="Times New Roman" w:cs="Times New Roman"/>
          <w:b/>
          <w:bCs/>
          <w:i/>
          <w:iCs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and Yan Huang </w:t>
      </w:r>
      <w:r>
        <w:rPr>
          <w:rFonts w:hint="eastAsia" w:ascii="Times New Roman" w:hAnsi="Times New Roman" w:cs="Times New Roman"/>
          <w:b/>
          <w:bCs/>
          <w:i/>
          <w:iCs/>
          <w:sz w:val="20"/>
          <w:szCs w:val="20"/>
          <w:vertAlign w:val="superscript"/>
          <w:lang w:val="en-US" w:eastAsia="zh-CN"/>
        </w:rPr>
        <w:t>1</w:t>
      </w:r>
    </w:p>
    <w:p>
      <w:pPr>
        <w:jc w:val="center"/>
        <w:rPr>
          <w:rFonts w:ascii="Times New Roman" w:hAnsi="Times New Roman" w:eastAsia="Calibri" w:cs="Times New Roman"/>
          <w:b/>
          <w:kern w:val="0"/>
          <w:sz w:val="21"/>
          <w:szCs w:val="21"/>
          <w:highlight w:val="none"/>
          <w:lang w:val="en-GB" w:eastAsia="en-ZA"/>
        </w:rPr>
      </w:pPr>
      <w:r>
        <w:rPr>
          <w:rFonts w:hint="eastAsia" w:ascii="Times New Roman" w:hAnsi="Times New Roman" w:cs="Times New Roman"/>
          <w:b/>
          <w:bCs/>
          <w:i/>
          <w:iCs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energy Development Research Institute, China Southern Power Grid, Guangdong, Guangzhou 510530, China</w:t>
      </w:r>
      <w:bookmarkEnd w:id="1"/>
      <w:bookmarkEnd w:id="2"/>
      <w:bookmarkStart w:id="4" w:name="_GoBack"/>
      <w:bookmarkEnd w:id="4"/>
    </w:p>
    <w:p>
      <w:pPr>
        <w:widowControl/>
        <w:spacing w:after="160" w:line="276" w:lineRule="auto"/>
        <w:jc w:val="center"/>
        <w:rPr>
          <w:rFonts w:ascii="Times New Roman" w:hAnsi="Times New Roman" w:eastAsia="Calibri" w:cs="Times New Roman"/>
          <w:bCs/>
          <w:kern w:val="0"/>
          <w:sz w:val="21"/>
          <w:szCs w:val="21"/>
          <w:highlight w:val="none"/>
          <w:lang w:val="en-GB" w:eastAsia="en-ZA"/>
        </w:rPr>
      </w:pPr>
      <w:r>
        <w:rPr>
          <w:rFonts w:ascii="Times New Roman" w:hAnsi="Times New Roman" w:eastAsia="Calibri" w:cs="Times New Roman"/>
          <w:b/>
          <w:kern w:val="0"/>
          <w:sz w:val="21"/>
          <w:szCs w:val="21"/>
          <w:highlight w:val="none"/>
          <w:lang w:val="en-GB" w:eastAsia="en-ZA"/>
        </w:rPr>
        <w:t>Fig</w:t>
      </w:r>
      <w:r>
        <w:rPr>
          <w:rFonts w:hint="eastAsia" w:ascii="Times New Roman" w:hAnsi="Times New Roman" w:eastAsia="宋体" w:cs="Times New Roman"/>
          <w:b/>
          <w:kern w:val="0"/>
          <w:sz w:val="21"/>
          <w:szCs w:val="21"/>
          <w:highlight w:val="none"/>
          <w:lang w:val="en-US" w:eastAsia="zh-CN"/>
        </w:rPr>
        <w:t xml:space="preserve">ure </w:t>
      </w:r>
      <w:r>
        <w:rPr>
          <w:rFonts w:hint="eastAsia" w:ascii="Times New Roman" w:hAnsi="Times New Roman" w:cs="Times New Roman"/>
          <w:b/>
          <w:kern w:val="0"/>
          <w:sz w:val="21"/>
          <w:szCs w:val="21"/>
          <w:highlight w:val="none"/>
          <w:lang w:val="en-US" w:eastAsia="zh-CN"/>
        </w:rPr>
        <w:t>S</w:t>
      </w:r>
      <w:r>
        <w:rPr>
          <w:rFonts w:ascii="Times New Roman" w:hAnsi="Times New Roman" w:eastAsia="Calibri" w:cs="Times New Roman"/>
          <w:b/>
          <w:kern w:val="0"/>
          <w:sz w:val="21"/>
          <w:szCs w:val="21"/>
          <w:highlight w:val="none"/>
          <w:lang w:val="en-GB" w:eastAsia="en-ZA"/>
        </w:rPr>
        <w:t>1</w:t>
      </w:r>
      <w:r>
        <w:rPr>
          <w:rFonts w:ascii="Times New Roman" w:hAnsi="Times New Roman" w:cs="Times New Roman"/>
          <w:b/>
          <w:kern w:val="0"/>
          <w:sz w:val="21"/>
          <w:szCs w:val="21"/>
          <w:highlight w:val="none"/>
        </w:rPr>
        <w:t>.</w:t>
      </w:r>
      <w:r>
        <w:rPr>
          <w:rFonts w:ascii="Times New Roman" w:hAnsi="Times New Roman" w:eastAsia="Calibri" w:cs="Times New Roman"/>
          <w:b/>
          <w:kern w:val="0"/>
          <w:sz w:val="21"/>
          <w:szCs w:val="21"/>
          <w:highlight w:val="none"/>
          <w:lang w:val="en-GB" w:eastAsia="en-ZA"/>
        </w:rPr>
        <w:t xml:space="preserve"> </w:t>
      </w:r>
      <w:bookmarkStart w:id="3" w:name="OLE_LINK15"/>
      <w:r>
        <w:rPr>
          <w:rFonts w:ascii="Times New Roman" w:hAnsi="Times New Roman" w:eastAsia="Calibri" w:cs="Times New Roman"/>
          <w:bCs/>
          <w:kern w:val="0"/>
          <w:sz w:val="21"/>
          <w:szCs w:val="21"/>
          <w:highlight w:val="none"/>
          <w:lang w:val="en-GB" w:eastAsia="en-ZA"/>
        </w:rPr>
        <w:t>Map of the molecular catchment partitioning</w:t>
      </w:r>
      <w:bookmarkEnd w:id="3"/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Calibri" w:cs="Times New Roman"/>
          <w:kern w:val="0"/>
          <w:sz w:val="21"/>
          <w:szCs w:val="21"/>
        </w:rPr>
        <w:drawing>
          <wp:inline distT="0" distB="0" distL="114300" distR="114300">
            <wp:extent cx="2875280" cy="2617470"/>
            <wp:effectExtent l="0" t="0" r="5080" b="3810"/>
            <wp:docPr id="1" name="图片 1" descr="f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>Table S1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SMMM model parameters rate-setting</w:t>
      </w:r>
    </w:p>
    <w:tbl>
      <w:tblPr>
        <w:tblStyle w:val="5"/>
        <w:tblW w:w="8522" w:type="dxa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3120"/>
        <w:gridCol w:w="1293"/>
        <w:gridCol w:w="1371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Parameter names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Specific values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Data sources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Area of Sub-catchments 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actual measurement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Width of sub-catchments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Area/Flow length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Impermeable Area Ratio of sub-catchments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0-100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actual measurement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Water storage in the low-lying land</w:t>
            </w: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permeability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1.27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Model Brochure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impermeability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3.81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Model Brochure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Manning N value</w:t>
            </w: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permeability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Model Brochure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impermeability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0.013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Model Brochure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Percentage of impermeable water storage without the low-lying land 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25%</w:t>
            </w:r>
          </w:p>
        </w:tc>
        <w:tc>
          <w:tcPr>
            <w:tcW w:w="137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Model Brochure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Horton equation</w:t>
            </w: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Maximum rate of infiltration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371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7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Minimum rate of infiltration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71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7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attenuation constant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71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585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Node parameters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Pipe network information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8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Pipe parameters</w:t>
            </w:r>
          </w:p>
        </w:tc>
        <w:tc>
          <w:tcPr>
            <w:tcW w:w="129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Pipe network information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YTQ3MmMwNTNjZTk5MzBiZTk5NDZiZjA5OWRmN2UifQ=="/>
  </w:docVars>
  <w:rsids>
    <w:rsidRoot w:val="179D6212"/>
    <w:rsid w:val="00016786"/>
    <w:rsid w:val="000B27A3"/>
    <w:rsid w:val="001773B0"/>
    <w:rsid w:val="003C1EA5"/>
    <w:rsid w:val="00536946"/>
    <w:rsid w:val="005D0A2E"/>
    <w:rsid w:val="00917CF2"/>
    <w:rsid w:val="009F50FE"/>
    <w:rsid w:val="00BE4B3D"/>
    <w:rsid w:val="00C24E42"/>
    <w:rsid w:val="00D73487"/>
    <w:rsid w:val="06B22C67"/>
    <w:rsid w:val="095F50EF"/>
    <w:rsid w:val="0E7301F4"/>
    <w:rsid w:val="179D6212"/>
    <w:rsid w:val="217052E1"/>
    <w:rsid w:val="25813270"/>
    <w:rsid w:val="2783300F"/>
    <w:rsid w:val="288C1CDA"/>
    <w:rsid w:val="29376AC2"/>
    <w:rsid w:val="2C4A3E4F"/>
    <w:rsid w:val="32E268EC"/>
    <w:rsid w:val="3BDA3CE7"/>
    <w:rsid w:val="3C86012D"/>
    <w:rsid w:val="4D873B72"/>
    <w:rsid w:val="5E2E43C3"/>
    <w:rsid w:val="693E70B0"/>
    <w:rsid w:val="70B42DCD"/>
    <w:rsid w:val="774E3A13"/>
    <w:rsid w:val="77B9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Hyperlink"/>
    <w:autoRedefine/>
    <w:qFormat/>
    <w:uiPriority w:val="99"/>
    <w:rPr>
      <w:color w:val="auto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19BE7-CB06-470B-A190-E3F1DB5A3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909</Characters>
  <Lines>7</Lines>
  <Paragraphs>2</Paragraphs>
  <TotalTime>0</TotalTime>
  <ScaleCrop>false</ScaleCrop>
  <LinksUpToDate>false</LinksUpToDate>
  <CharactersWithSpaces>1066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2023-10-18T13:38:00Z</dcterms:created>
  <dc:creator>Kati</dc:creator>
  <cp:lastModifiedBy>Kati</cp:lastModifiedBy>
  <dcterms:modified xsi:type="dcterms:W3CDTF">2024-05-09T13:20:42Z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3DE26027AB9E4C3584A1912872F0544E_11</vt:lpwstr>
  </property>
</Properties>
</file>