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1708" w14:textId="77777777" w:rsidR="009B68BD" w:rsidRPr="00DE70CB" w:rsidRDefault="00F916B1" w:rsidP="009B68BD">
      <w:pPr>
        <w:rPr>
          <w:b/>
          <w:bCs/>
          <w:lang w:val="en-US"/>
        </w:rPr>
      </w:pPr>
      <w:r w:rsidRPr="00DE70CB">
        <w:rPr>
          <w:b/>
          <w:bCs/>
          <w:lang w:val="en-US"/>
        </w:rPr>
        <w:t>Table 1</w:t>
      </w:r>
      <w:r w:rsidR="008A53E1">
        <w:rPr>
          <w:b/>
          <w:bCs/>
          <w:lang w:val="en-US"/>
        </w:rPr>
        <w:t xml:space="preserve">:  </w:t>
      </w:r>
      <w:r w:rsidR="009B68BD" w:rsidRPr="00DE70CB">
        <w:rPr>
          <w:b/>
          <w:bCs/>
          <w:lang w:val="en-US"/>
        </w:rPr>
        <w:t>Table 1</w:t>
      </w:r>
      <w:r w:rsidR="009B68BD">
        <w:rPr>
          <w:b/>
          <w:bCs/>
          <w:lang w:val="en-US"/>
        </w:rPr>
        <w:t xml:space="preserve">:  Role of Vaccines and Immunoglobulin in Post Exposure Prophylaxis of wounds at risk of developing Tetanus. 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753"/>
        <w:gridCol w:w="1933"/>
        <w:gridCol w:w="2268"/>
        <w:gridCol w:w="2409"/>
        <w:gridCol w:w="2268"/>
      </w:tblGrid>
      <w:tr w:rsidR="00605D7A" w14:paraId="5B7E9B83" w14:textId="57C0E06D" w:rsidTr="00BA1622">
        <w:tc>
          <w:tcPr>
            <w:tcW w:w="1838" w:type="dxa"/>
          </w:tcPr>
          <w:p w14:paraId="3F782B12" w14:textId="4E98DED7" w:rsidR="00605D7A" w:rsidRPr="00787CD8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      </w:t>
            </w:r>
          </w:p>
        </w:tc>
        <w:tc>
          <w:tcPr>
            <w:tcW w:w="1701" w:type="dxa"/>
          </w:tcPr>
          <w:p w14:paraId="4A0287C2" w14:textId="76F659EE" w:rsidR="00605D7A" w:rsidRPr="00787CD8" w:rsidRDefault="008A53E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Main component </w:t>
            </w:r>
          </w:p>
        </w:tc>
        <w:tc>
          <w:tcPr>
            <w:tcW w:w="1753" w:type="dxa"/>
          </w:tcPr>
          <w:p w14:paraId="00192011" w14:textId="083DE839" w:rsidR="00605D7A" w:rsidRPr="00787CD8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7CD8">
              <w:rPr>
                <w:b/>
                <w:bCs/>
                <w:sz w:val="20"/>
                <w:szCs w:val="20"/>
                <w:lang w:val="en-US"/>
              </w:rPr>
              <w:t>Mechanism of Action</w:t>
            </w:r>
          </w:p>
        </w:tc>
        <w:tc>
          <w:tcPr>
            <w:tcW w:w="1933" w:type="dxa"/>
          </w:tcPr>
          <w:p w14:paraId="5EEFED70" w14:textId="336C2809" w:rsidR="00605D7A" w:rsidRPr="00787CD8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7CD8">
              <w:rPr>
                <w:b/>
                <w:bCs/>
                <w:sz w:val="20"/>
                <w:szCs w:val="20"/>
                <w:lang w:val="en-US"/>
              </w:rPr>
              <w:t>Indication for use</w:t>
            </w:r>
          </w:p>
        </w:tc>
        <w:tc>
          <w:tcPr>
            <w:tcW w:w="6945" w:type="dxa"/>
            <w:gridSpan w:val="3"/>
          </w:tcPr>
          <w:p w14:paraId="1D6EA047" w14:textId="1AD50CB4" w:rsidR="00605D7A" w:rsidRPr="00787CD8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                      </w:t>
            </w:r>
            <w:r w:rsidR="00787CD8">
              <w:rPr>
                <w:sz w:val="20"/>
                <w:szCs w:val="20"/>
                <w:lang w:val="en-US"/>
              </w:rPr>
              <w:t xml:space="preserve">                                      </w:t>
            </w:r>
            <w:r w:rsidRPr="00787CD8">
              <w:rPr>
                <w:sz w:val="20"/>
                <w:szCs w:val="20"/>
                <w:lang w:val="en-US"/>
              </w:rPr>
              <w:t xml:space="preserve"> </w:t>
            </w:r>
            <w:r w:rsidRPr="00787CD8">
              <w:rPr>
                <w:b/>
                <w:bCs/>
                <w:sz w:val="20"/>
                <w:szCs w:val="20"/>
                <w:lang w:val="en-US"/>
              </w:rPr>
              <w:t>Wound type</w:t>
            </w:r>
          </w:p>
        </w:tc>
      </w:tr>
      <w:tr w:rsidR="00605D7A" w14:paraId="74E921FE" w14:textId="77777777" w:rsidTr="00BA1622">
        <w:tc>
          <w:tcPr>
            <w:tcW w:w="7225" w:type="dxa"/>
            <w:gridSpan w:val="4"/>
          </w:tcPr>
          <w:p w14:paraId="51A0C943" w14:textId="77777777" w:rsidR="00605D7A" w:rsidRPr="00787CD8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055E669" w14:textId="774DF9AC" w:rsidR="00605D7A" w:rsidRPr="008A53E1" w:rsidRDefault="00605D7A" w:rsidP="00787CD8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A53E1">
              <w:rPr>
                <w:b/>
                <w:bCs/>
                <w:i/>
                <w:iCs/>
                <w:sz w:val="20"/>
                <w:szCs w:val="20"/>
                <w:lang w:val="en-US"/>
              </w:rPr>
              <w:t>Clean</w:t>
            </w:r>
          </w:p>
        </w:tc>
        <w:tc>
          <w:tcPr>
            <w:tcW w:w="2409" w:type="dxa"/>
          </w:tcPr>
          <w:p w14:paraId="1A75002C" w14:textId="266396C5" w:rsidR="00605D7A" w:rsidRPr="008A53E1" w:rsidRDefault="00605D7A" w:rsidP="00787CD8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A53E1">
              <w:rPr>
                <w:b/>
                <w:bCs/>
                <w:i/>
                <w:iCs/>
                <w:sz w:val="20"/>
                <w:szCs w:val="20"/>
                <w:lang w:val="en-US"/>
              </w:rPr>
              <w:t>Tetanus prone</w:t>
            </w:r>
          </w:p>
        </w:tc>
        <w:tc>
          <w:tcPr>
            <w:tcW w:w="2268" w:type="dxa"/>
          </w:tcPr>
          <w:p w14:paraId="15944A0A" w14:textId="6CBD9E78" w:rsidR="00605D7A" w:rsidRPr="008A53E1" w:rsidRDefault="00605D7A" w:rsidP="00787CD8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A53E1">
              <w:rPr>
                <w:b/>
                <w:bCs/>
                <w:i/>
                <w:iCs/>
                <w:sz w:val="20"/>
                <w:szCs w:val="20"/>
                <w:lang w:val="en-US"/>
              </w:rPr>
              <w:t>High risk-Tetanus prone</w:t>
            </w:r>
          </w:p>
        </w:tc>
      </w:tr>
      <w:tr w:rsidR="00787CD8" w14:paraId="2819E9EE" w14:textId="38079850" w:rsidTr="00BA1622">
        <w:tc>
          <w:tcPr>
            <w:tcW w:w="1838" w:type="dxa"/>
          </w:tcPr>
          <w:p w14:paraId="69CE99EB" w14:textId="35F3C90D" w:rsidR="00605D7A" w:rsidRPr="00787CD8" w:rsidRDefault="00605D7A">
            <w:pPr>
              <w:rPr>
                <w:sz w:val="20"/>
                <w:szCs w:val="20"/>
                <w:lang w:val="en-US"/>
              </w:rPr>
            </w:pPr>
          </w:p>
          <w:p w14:paraId="6474DB27" w14:textId="67BF102C" w:rsidR="00605D7A" w:rsidRDefault="008A53E1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Vaccine:</w:t>
            </w:r>
          </w:p>
          <w:p w14:paraId="27CDACB6" w14:textId="4CA31FDD" w:rsidR="008A53E1" w:rsidRDefault="008A53E1">
            <w:pPr>
              <w:rPr>
                <w:sz w:val="20"/>
                <w:szCs w:val="20"/>
                <w:lang w:val="en-US"/>
              </w:rPr>
            </w:pPr>
            <w:r w:rsidRPr="008A53E1">
              <w:rPr>
                <w:sz w:val="20"/>
                <w:szCs w:val="20"/>
                <w:lang w:val="en-US"/>
              </w:rPr>
              <w:t xml:space="preserve">Tetanus Toxoid Containing </w:t>
            </w:r>
            <w:proofErr w:type="gramStart"/>
            <w:r w:rsidRPr="008A53E1">
              <w:rPr>
                <w:sz w:val="20"/>
                <w:szCs w:val="20"/>
                <w:lang w:val="en-US"/>
              </w:rPr>
              <w:t>Vaccine</w:t>
            </w:r>
            <w:r w:rsidR="00A61C4D">
              <w:rPr>
                <w:sz w:val="20"/>
                <w:szCs w:val="20"/>
                <w:lang w:val="en-US"/>
              </w:rPr>
              <w:t>(</w:t>
            </w:r>
            <w:proofErr w:type="gramEnd"/>
            <w:r w:rsidR="00A61C4D">
              <w:rPr>
                <w:sz w:val="20"/>
                <w:szCs w:val="20"/>
                <w:lang w:val="en-US"/>
              </w:rPr>
              <w:t>TTCV)</w:t>
            </w:r>
          </w:p>
          <w:p w14:paraId="290A35F5" w14:textId="48948479" w:rsidR="00BA1622" w:rsidRPr="008A53E1" w:rsidRDefault="00BA162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[ </w:t>
            </w:r>
            <w:r w:rsidRPr="004368C9">
              <w:rPr>
                <w:i/>
                <w:iCs/>
                <w:sz w:val="18"/>
                <w:szCs w:val="18"/>
                <w:lang w:val="en-US"/>
              </w:rPr>
              <w:t xml:space="preserve">Infanrix </w:t>
            </w:r>
            <w:proofErr w:type="spellStart"/>
            <w:r w:rsidRPr="004368C9">
              <w:rPr>
                <w:i/>
                <w:iCs/>
                <w:sz w:val="18"/>
                <w:szCs w:val="18"/>
                <w:lang w:val="en-US"/>
              </w:rPr>
              <w:t>hexa</w:t>
            </w:r>
            <w:proofErr w:type="spellEnd"/>
            <w:r w:rsidRPr="004368C9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368C9">
              <w:rPr>
                <w:i/>
                <w:iCs/>
                <w:sz w:val="18"/>
                <w:szCs w:val="18"/>
                <w:lang w:val="en-US"/>
              </w:rPr>
              <w:t>Vaxelis</w:t>
            </w:r>
            <w:proofErr w:type="spellEnd"/>
            <w:r w:rsidRPr="004368C9">
              <w:rPr>
                <w:i/>
                <w:iCs/>
                <w:sz w:val="18"/>
                <w:szCs w:val="18"/>
                <w:lang w:val="en-US"/>
              </w:rPr>
              <w:t xml:space="preserve">, Boostrix-IPV, </w:t>
            </w:r>
            <w:proofErr w:type="spellStart"/>
            <w:r w:rsidR="009E619C" w:rsidRPr="004368C9">
              <w:rPr>
                <w:i/>
                <w:iCs/>
                <w:sz w:val="18"/>
                <w:szCs w:val="18"/>
                <w:lang w:val="en-US"/>
              </w:rPr>
              <w:t>repevax</w:t>
            </w:r>
            <w:proofErr w:type="spellEnd"/>
            <w:r w:rsidR="009E619C" w:rsidRPr="004368C9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E619C" w:rsidRPr="004368C9">
              <w:rPr>
                <w:i/>
                <w:iCs/>
                <w:sz w:val="18"/>
                <w:szCs w:val="18"/>
                <w:lang w:val="en-US"/>
              </w:rPr>
              <w:t>revaxis</w:t>
            </w:r>
            <w:proofErr w:type="spellEnd"/>
            <w:r>
              <w:rPr>
                <w:sz w:val="20"/>
                <w:szCs w:val="20"/>
                <w:lang w:val="en-US"/>
              </w:rPr>
              <w:t>]</w:t>
            </w:r>
            <w:r w:rsidR="004368C9">
              <w:rPr>
                <w:sz w:val="20"/>
                <w:szCs w:val="20"/>
                <w:lang w:val="en-US"/>
              </w:rPr>
              <w:t>[12]</w:t>
            </w:r>
          </w:p>
          <w:p w14:paraId="2320DFA3" w14:textId="49781C25" w:rsidR="00605D7A" w:rsidRPr="00787CD8" w:rsidRDefault="00605D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29C3337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62B84A7A" w14:textId="2D8DFEDE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Tetanus Toxoid contains a non-toxigenic </w:t>
            </w:r>
            <w:proofErr w:type="spellStart"/>
            <w:r w:rsidRPr="00787CD8">
              <w:rPr>
                <w:sz w:val="20"/>
                <w:szCs w:val="20"/>
                <w:lang w:val="en-US"/>
              </w:rPr>
              <w:t>physico</w:t>
            </w:r>
            <w:proofErr w:type="spellEnd"/>
            <w:r w:rsidRPr="00787CD8">
              <w:rPr>
                <w:sz w:val="20"/>
                <w:szCs w:val="20"/>
                <w:lang w:val="en-US"/>
              </w:rPr>
              <w:t>-chemically similar agent.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16</w:t>
            </w:r>
            <w:r w:rsidR="004368C9">
              <w:rPr>
                <w:sz w:val="20"/>
                <w:szCs w:val="20"/>
                <w:lang w:val="en-US"/>
              </w:rPr>
              <w:t>]</w:t>
            </w:r>
            <w:r w:rsidRPr="00787CD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53" w:type="dxa"/>
          </w:tcPr>
          <w:p w14:paraId="7F9ACFF7" w14:textId="5E1EE80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3F302B09" w14:textId="10121C6C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>Induces active immunity and generates an immune response with a long-lasting effect specially when followed through with</w:t>
            </w:r>
            <w:r w:rsidR="008A53E1">
              <w:rPr>
                <w:sz w:val="20"/>
                <w:szCs w:val="20"/>
                <w:lang w:val="en-US"/>
              </w:rPr>
              <w:t xml:space="preserve"> all</w:t>
            </w:r>
            <w:r w:rsidRPr="00787CD8">
              <w:rPr>
                <w:sz w:val="20"/>
                <w:szCs w:val="20"/>
                <w:lang w:val="en-US"/>
              </w:rPr>
              <w:t xml:space="preserve"> booster shots totaling 5 doses. </w:t>
            </w:r>
          </w:p>
        </w:tc>
        <w:tc>
          <w:tcPr>
            <w:tcW w:w="1933" w:type="dxa"/>
          </w:tcPr>
          <w:p w14:paraId="18D51A29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35EFC24D" w14:textId="6A0AB92B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>Used</w:t>
            </w:r>
            <w:r w:rsidRPr="00787CD8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="001268C3">
              <w:rPr>
                <w:sz w:val="20"/>
                <w:szCs w:val="20"/>
                <w:u w:val="single"/>
                <w:lang w:val="en-US"/>
              </w:rPr>
              <w:t xml:space="preserve">in the </w:t>
            </w:r>
            <w:r w:rsidR="0019327E">
              <w:rPr>
                <w:sz w:val="20"/>
                <w:szCs w:val="20"/>
                <w:u w:val="single"/>
                <w:lang w:val="en-US"/>
              </w:rPr>
              <w:t xml:space="preserve">immunization schedule </w:t>
            </w:r>
            <w:r w:rsidR="0019327E" w:rsidRPr="00787CD8">
              <w:rPr>
                <w:sz w:val="20"/>
                <w:szCs w:val="20"/>
                <w:lang w:val="en-US"/>
              </w:rPr>
              <w:t>to</w:t>
            </w:r>
            <w:r w:rsidRPr="00787CD8">
              <w:rPr>
                <w:sz w:val="20"/>
                <w:szCs w:val="20"/>
                <w:lang w:val="en-US"/>
              </w:rPr>
              <w:t xml:space="preserve"> build/induce active immunity </w:t>
            </w:r>
            <w:r w:rsidRPr="00787CD8">
              <w:rPr>
                <w:sz w:val="20"/>
                <w:szCs w:val="20"/>
                <w:u w:val="single"/>
                <w:lang w:val="en-US"/>
              </w:rPr>
              <w:t>and also administered</w:t>
            </w:r>
            <w:r w:rsidR="00DE70CB" w:rsidRPr="00787CD8">
              <w:rPr>
                <w:sz w:val="20"/>
                <w:szCs w:val="20"/>
                <w:u w:val="single"/>
                <w:lang w:val="en-US"/>
              </w:rPr>
              <w:t xml:space="preserve"> following</w:t>
            </w:r>
            <w:r w:rsidRPr="00787CD8">
              <w:rPr>
                <w:sz w:val="20"/>
                <w:szCs w:val="20"/>
                <w:u w:val="single"/>
                <w:lang w:val="en-US"/>
              </w:rPr>
              <w:t xml:space="preserve"> post </w:t>
            </w:r>
            <w:r w:rsidRPr="0019327E">
              <w:rPr>
                <w:sz w:val="20"/>
                <w:szCs w:val="20"/>
                <w:u w:val="single"/>
                <w:lang w:val="en-US"/>
              </w:rPr>
              <w:t xml:space="preserve">exposure </w:t>
            </w:r>
            <w:r w:rsidR="0019327E" w:rsidRPr="0019327E">
              <w:rPr>
                <w:sz w:val="20"/>
                <w:szCs w:val="20"/>
                <w:u w:val="single"/>
                <w:lang w:val="en-US"/>
              </w:rPr>
              <w:t xml:space="preserve">as </w:t>
            </w:r>
            <w:r w:rsidR="00E95AA5" w:rsidRPr="0019327E">
              <w:rPr>
                <w:sz w:val="20"/>
                <w:szCs w:val="20"/>
                <w:u w:val="single"/>
                <w:lang w:val="en-US"/>
              </w:rPr>
              <w:t>prophylaxis</w:t>
            </w:r>
            <w:r w:rsidR="00E95AA5">
              <w:rPr>
                <w:sz w:val="20"/>
                <w:szCs w:val="20"/>
                <w:u w:val="single"/>
                <w:lang w:val="en-US"/>
              </w:rPr>
              <w:t xml:space="preserve"> (</w:t>
            </w:r>
            <w:r w:rsidR="0019327E">
              <w:rPr>
                <w:sz w:val="20"/>
                <w:szCs w:val="20"/>
                <w:u w:val="single"/>
                <w:lang w:val="en-US"/>
              </w:rPr>
              <w:t>PEP)</w:t>
            </w:r>
            <w:r w:rsidR="0019327E">
              <w:rPr>
                <w:sz w:val="20"/>
                <w:szCs w:val="20"/>
                <w:lang w:val="en-US"/>
              </w:rPr>
              <w:t xml:space="preserve"> </w:t>
            </w:r>
            <w:r w:rsidRPr="00787CD8">
              <w:rPr>
                <w:sz w:val="20"/>
                <w:szCs w:val="20"/>
                <w:lang w:val="en-US"/>
              </w:rPr>
              <w:t>when conditions are met</w:t>
            </w:r>
            <w:r w:rsidR="00243AB5" w:rsidRPr="00787CD8">
              <w:rPr>
                <w:sz w:val="20"/>
                <w:szCs w:val="20"/>
                <w:lang w:val="en-US"/>
              </w:rPr>
              <w:t xml:space="preserve"> as a reinforcing dose</w:t>
            </w:r>
            <w:r w:rsidR="00002256">
              <w:rPr>
                <w:sz w:val="20"/>
                <w:szCs w:val="20"/>
                <w:lang w:val="en-US"/>
              </w:rPr>
              <w:t>/</w:t>
            </w:r>
            <w:r w:rsidR="008A53E1">
              <w:rPr>
                <w:sz w:val="20"/>
                <w:szCs w:val="20"/>
                <w:lang w:val="en-US"/>
              </w:rPr>
              <w:t>immunization</w:t>
            </w:r>
            <w:r w:rsidRPr="00787CD8">
              <w:rPr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2268" w:type="dxa"/>
          </w:tcPr>
          <w:p w14:paraId="03C12E45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49FDC922" w14:textId="161B8E81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Only indicated </w:t>
            </w:r>
            <w:r w:rsidR="0019327E">
              <w:rPr>
                <w:sz w:val="20"/>
                <w:szCs w:val="20"/>
                <w:lang w:val="en-US"/>
              </w:rPr>
              <w:t xml:space="preserve">as PEP </w:t>
            </w:r>
            <w:r w:rsidRPr="00787CD8">
              <w:rPr>
                <w:sz w:val="20"/>
                <w:szCs w:val="20"/>
                <w:lang w:val="en-US"/>
              </w:rPr>
              <w:t xml:space="preserve">if born before 1961 or if </w:t>
            </w:r>
            <w:r w:rsidRPr="0019327E">
              <w:rPr>
                <w:i/>
                <w:iCs/>
                <w:sz w:val="20"/>
                <w:szCs w:val="20"/>
                <w:lang w:val="en-US"/>
              </w:rPr>
              <w:t>priming course</w:t>
            </w:r>
            <w:r w:rsidRPr="00787CD8">
              <w:rPr>
                <w:sz w:val="20"/>
                <w:szCs w:val="20"/>
                <w:lang w:val="en-US"/>
              </w:rPr>
              <w:t xml:space="preserve"> </w:t>
            </w:r>
            <w:r w:rsidR="0019327E" w:rsidRPr="00787CD8">
              <w:rPr>
                <w:sz w:val="20"/>
                <w:szCs w:val="20"/>
                <w:lang w:val="en-US"/>
              </w:rPr>
              <w:t>of TTCV</w:t>
            </w:r>
            <w:r w:rsidRPr="00787CD8">
              <w:rPr>
                <w:sz w:val="20"/>
                <w:szCs w:val="20"/>
                <w:lang w:val="en-US"/>
              </w:rPr>
              <w:t xml:space="preserve"> in early life were not received</w:t>
            </w:r>
            <w:r w:rsidR="00E95AA5">
              <w:rPr>
                <w:sz w:val="20"/>
                <w:szCs w:val="20"/>
                <w:lang w:val="en-US"/>
              </w:rPr>
              <w:t xml:space="preserve"> or when </w:t>
            </w:r>
            <w:r w:rsidR="00E95AA5" w:rsidRPr="00787CD8">
              <w:rPr>
                <w:sz w:val="20"/>
                <w:szCs w:val="20"/>
                <w:lang w:val="en-US"/>
              </w:rPr>
              <w:t>immunization history</w:t>
            </w:r>
            <w:r w:rsidR="00E95AA5">
              <w:rPr>
                <w:sz w:val="20"/>
                <w:szCs w:val="20"/>
                <w:lang w:val="en-US"/>
              </w:rPr>
              <w:t xml:space="preserve"> is </w:t>
            </w:r>
            <w:r w:rsidR="004368C9" w:rsidRPr="00787CD8">
              <w:rPr>
                <w:sz w:val="20"/>
                <w:szCs w:val="20"/>
                <w:lang w:val="en-US"/>
              </w:rPr>
              <w:t>uncertain.</w:t>
            </w:r>
            <w:r w:rsidR="004368C9">
              <w:rPr>
                <w:sz w:val="20"/>
                <w:szCs w:val="20"/>
                <w:lang w:val="en-US"/>
              </w:rPr>
              <w:t xml:space="preserve"> 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2409" w:type="dxa"/>
          </w:tcPr>
          <w:p w14:paraId="7E23FE9B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5F4B8413" w14:textId="10F75603" w:rsidR="00243AB5" w:rsidRPr="00787CD8" w:rsidRDefault="00243AB5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Indicated </w:t>
            </w:r>
            <w:r w:rsidR="0019327E">
              <w:rPr>
                <w:sz w:val="20"/>
                <w:szCs w:val="20"/>
                <w:lang w:val="en-US"/>
              </w:rPr>
              <w:t xml:space="preserve">as PEP </w:t>
            </w:r>
            <w:r w:rsidR="00DE70CB" w:rsidRPr="00787CD8">
              <w:rPr>
                <w:sz w:val="20"/>
                <w:szCs w:val="20"/>
                <w:lang w:val="en-US"/>
              </w:rPr>
              <w:t xml:space="preserve">even </w:t>
            </w:r>
            <w:r w:rsidRPr="00787CD8">
              <w:rPr>
                <w:sz w:val="20"/>
                <w:szCs w:val="20"/>
                <w:lang w:val="en-US"/>
              </w:rPr>
              <w:t xml:space="preserve">if the </w:t>
            </w:r>
            <w:r w:rsidRPr="00002256">
              <w:rPr>
                <w:i/>
                <w:iCs/>
                <w:sz w:val="20"/>
                <w:szCs w:val="20"/>
                <w:lang w:val="en-US"/>
              </w:rPr>
              <w:t xml:space="preserve">priming </w:t>
            </w:r>
            <w:r w:rsidR="00002256">
              <w:rPr>
                <w:i/>
                <w:iCs/>
                <w:sz w:val="20"/>
                <w:szCs w:val="20"/>
                <w:lang w:val="en-US"/>
              </w:rPr>
              <w:t>course</w:t>
            </w:r>
            <w:r w:rsidRPr="00787CD8">
              <w:rPr>
                <w:sz w:val="20"/>
                <w:szCs w:val="20"/>
                <w:lang w:val="en-US"/>
              </w:rPr>
              <w:t xml:space="preserve"> were complete but no subsequent doses were administered</w:t>
            </w:r>
            <w:r w:rsidR="00DE70CB" w:rsidRPr="00787CD8">
              <w:rPr>
                <w:sz w:val="20"/>
                <w:szCs w:val="20"/>
                <w:lang w:val="en-US"/>
              </w:rPr>
              <w:t xml:space="preserve"> when the presenting </w:t>
            </w:r>
            <w:r w:rsidR="0019327E" w:rsidRPr="00787CD8">
              <w:rPr>
                <w:sz w:val="20"/>
                <w:szCs w:val="20"/>
                <w:lang w:val="en-US"/>
              </w:rPr>
              <w:t>age &gt;</w:t>
            </w:r>
            <w:r w:rsidR="00DE70CB" w:rsidRPr="00787CD8">
              <w:rPr>
                <w:sz w:val="20"/>
                <w:szCs w:val="20"/>
                <w:lang w:val="en-US"/>
              </w:rPr>
              <w:t>5 years, or if the last dose &gt; 10 years.</w:t>
            </w:r>
            <w:r w:rsidRPr="00787CD8">
              <w:rPr>
                <w:sz w:val="20"/>
                <w:szCs w:val="20"/>
                <w:lang w:val="en-US"/>
              </w:rPr>
              <w:t xml:space="preserve"> 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  <w:p w14:paraId="7EF144D0" w14:textId="20184CEB" w:rsidR="00DE70CB" w:rsidRPr="00787CD8" w:rsidRDefault="00DE70CB" w:rsidP="00BA162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2859B50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7AA412DE" w14:textId="7FD0A675" w:rsidR="00DE70CB" w:rsidRPr="00787CD8" w:rsidRDefault="00DE70CB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Indicated </w:t>
            </w:r>
            <w:r w:rsidR="0019327E">
              <w:rPr>
                <w:sz w:val="20"/>
                <w:szCs w:val="20"/>
                <w:lang w:val="en-US"/>
              </w:rPr>
              <w:t xml:space="preserve">as PEP </w:t>
            </w:r>
            <w:r w:rsidRPr="00787CD8">
              <w:rPr>
                <w:sz w:val="20"/>
                <w:szCs w:val="20"/>
                <w:lang w:val="en-US"/>
              </w:rPr>
              <w:t xml:space="preserve">even if the </w:t>
            </w:r>
            <w:r w:rsidR="00240719" w:rsidRPr="00002256">
              <w:rPr>
                <w:i/>
                <w:iCs/>
                <w:sz w:val="20"/>
                <w:szCs w:val="20"/>
                <w:lang w:val="en-US"/>
              </w:rPr>
              <w:t xml:space="preserve">priming </w:t>
            </w:r>
            <w:r w:rsidR="00240719">
              <w:rPr>
                <w:i/>
                <w:iCs/>
                <w:sz w:val="20"/>
                <w:szCs w:val="20"/>
                <w:lang w:val="en-US"/>
              </w:rPr>
              <w:t>course</w:t>
            </w:r>
            <w:r w:rsidR="00240719" w:rsidRPr="00787CD8">
              <w:rPr>
                <w:sz w:val="20"/>
                <w:szCs w:val="20"/>
                <w:lang w:val="en-US"/>
              </w:rPr>
              <w:t xml:space="preserve"> </w:t>
            </w:r>
            <w:r w:rsidRPr="00787CD8">
              <w:rPr>
                <w:sz w:val="20"/>
                <w:szCs w:val="20"/>
                <w:lang w:val="en-US"/>
              </w:rPr>
              <w:t xml:space="preserve">were complete but no subsequent doses were administered when presenting age &gt;5 years, or if the last dose &gt; 10 years. 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  <w:p w14:paraId="166B0AB5" w14:textId="412E2671" w:rsidR="00DE70CB" w:rsidRPr="00787CD8" w:rsidRDefault="00DE70CB" w:rsidP="00BA1622">
            <w:pPr>
              <w:rPr>
                <w:sz w:val="20"/>
                <w:szCs w:val="20"/>
                <w:lang w:val="en-US"/>
              </w:rPr>
            </w:pPr>
          </w:p>
        </w:tc>
      </w:tr>
      <w:tr w:rsidR="00787CD8" w14:paraId="748786ED" w14:textId="23868CD6" w:rsidTr="00BA1622">
        <w:tc>
          <w:tcPr>
            <w:tcW w:w="1838" w:type="dxa"/>
          </w:tcPr>
          <w:p w14:paraId="0CFEFCB9" w14:textId="2D320AAB" w:rsidR="00605D7A" w:rsidRPr="00787CD8" w:rsidRDefault="00605D7A">
            <w:pPr>
              <w:rPr>
                <w:sz w:val="20"/>
                <w:szCs w:val="20"/>
                <w:lang w:val="en-US"/>
              </w:rPr>
            </w:pPr>
          </w:p>
          <w:p w14:paraId="73D00434" w14:textId="4B56E4F9" w:rsidR="00605D7A" w:rsidRDefault="00605D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7CD8">
              <w:rPr>
                <w:b/>
                <w:bCs/>
                <w:sz w:val="20"/>
                <w:szCs w:val="20"/>
                <w:lang w:val="en-US"/>
              </w:rPr>
              <w:t>Immunoglobulin</w:t>
            </w:r>
            <w:r w:rsidR="008A53E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5F9B106D" w14:textId="63403560" w:rsidR="008A53E1" w:rsidRPr="008A53E1" w:rsidRDefault="008A53E1">
            <w:pPr>
              <w:rPr>
                <w:sz w:val="20"/>
                <w:szCs w:val="20"/>
                <w:lang w:val="en-US"/>
              </w:rPr>
            </w:pPr>
            <w:r w:rsidRPr="008A53E1">
              <w:rPr>
                <w:sz w:val="20"/>
                <w:szCs w:val="20"/>
                <w:lang w:val="en-US"/>
              </w:rPr>
              <w:t xml:space="preserve">Tetanus </w:t>
            </w:r>
            <w:proofErr w:type="gramStart"/>
            <w:r w:rsidRPr="008A53E1">
              <w:rPr>
                <w:sz w:val="20"/>
                <w:szCs w:val="20"/>
                <w:lang w:val="en-US"/>
              </w:rPr>
              <w:t>Immunoglobulin</w:t>
            </w:r>
            <w:r w:rsidR="00A61C4D">
              <w:rPr>
                <w:sz w:val="20"/>
                <w:szCs w:val="20"/>
                <w:lang w:val="en-US"/>
              </w:rPr>
              <w:t>(</w:t>
            </w:r>
            <w:proofErr w:type="gramEnd"/>
            <w:r w:rsidR="00A61C4D">
              <w:rPr>
                <w:sz w:val="20"/>
                <w:szCs w:val="20"/>
                <w:lang w:val="en-US"/>
              </w:rPr>
              <w:t>TIG)</w:t>
            </w:r>
            <w:r w:rsidRPr="008A53E1">
              <w:rPr>
                <w:sz w:val="20"/>
                <w:szCs w:val="20"/>
                <w:lang w:val="en-US"/>
              </w:rPr>
              <w:t>, Human Normal Immunoglobulin</w:t>
            </w:r>
            <w:r w:rsidR="00A61C4D">
              <w:rPr>
                <w:sz w:val="20"/>
                <w:szCs w:val="20"/>
                <w:lang w:val="en-US"/>
              </w:rPr>
              <w:t>(HNIG)</w:t>
            </w:r>
            <w:r w:rsidR="009B68BD">
              <w:rPr>
                <w:sz w:val="20"/>
                <w:szCs w:val="20"/>
                <w:lang w:val="en-US"/>
              </w:rPr>
              <w:t>[</w:t>
            </w:r>
            <w:r w:rsidR="009B68BD" w:rsidRPr="004368C9">
              <w:rPr>
                <w:i/>
                <w:iCs/>
                <w:sz w:val="18"/>
                <w:szCs w:val="18"/>
                <w:lang w:val="en-US"/>
              </w:rPr>
              <w:t>Subgam</w:t>
            </w:r>
            <w:r w:rsidR="004368C9" w:rsidRPr="004368C9">
              <w:rPr>
                <w:i/>
                <w:iCs/>
                <w:sz w:val="18"/>
                <w:szCs w:val="18"/>
                <w:lang w:val="en-US"/>
              </w:rPr>
              <w:t>16%</w:t>
            </w:r>
            <w:r w:rsidR="009B68BD" w:rsidRPr="004368C9">
              <w:rPr>
                <w:i/>
                <w:iCs/>
                <w:sz w:val="18"/>
                <w:szCs w:val="18"/>
                <w:lang w:val="en-US"/>
              </w:rPr>
              <w:t>, Cuvitru</w:t>
            </w:r>
            <w:r w:rsidR="004368C9" w:rsidRPr="004368C9">
              <w:rPr>
                <w:i/>
                <w:iCs/>
                <w:sz w:val="18"/>
                <w:szCs w:val="18"/>
                <w:lang w:val="en-US"/>
              </w:rPr>
              <w:t>20%,Gammanorm16.5</w:t>
            </w:r>
            <w:r w:rsidR="004368C9" w:rsidRPr="004368C9">
              <w:rPr>
                <w:sz w:val="18"/>
                <w:szCs w:val="18"/>
                <w:lang w:val="en-US"/>
              </w:rPr>
              <w:t>%</w:t>
            </w:r>
            <w:r w:rsidR="004368C9">
              <w:rPr>
                <w:sz w:val="20"/>
                <w:szCs w:val="20"/>
                <w:lang w:val="en-US"/>
              </w:rPr>
              <w:t>][12]</w:t>
            </w:r>
          </w:p>
          <w:p w14:paraId="05301B5E" w14:textId="7C9C2331" w:rsidR="00605D7A" w:rsidRPr="00787CD8" w:rsidRDefault="00605D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04547DF2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60F26ED1" w14:textId="6572DF3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>This contains Tetanus anti-toxin antibodies mainly immunoglobulin</w:t>
            </w:r>
            <w:r w:rsidR="00BA1622">
              <w:rPr>
                <w:sz w:val="20"/>
                <w:szCs w:val="20"/>
                <w:lang w:val="en-US"/>
              </w:rPr>
              <w:t>-</w:t>
            </w:r>
            <w:r w:rsidRPr="00787CD8">
              <w:rPr>
                <w:sz w:val="20"/>
                <w:szCs w:val="20"/>
                <w:lang w:val="en-US"/>
              </w:rPr>
              <w:t xml:space="preserve"> G</w:t>
            </w:r>
            <w:r w:rsidR="009B68BD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53" w:type="dxa"/>
          </w:tcPr>
          <w:p w14:paraId="5514AD73" w14:textId="530E26C6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219698B4" w14:textId="7EC963C4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>Provides an immediate but short-lived protection by raising the IgG antibodies and neutralizing the toxin. Does not trigger the native adaptive response.</w:t>
            </w:r>
          </w:p>
        </w:tc>
        <w:tc>
          <w:tcPr>
            <w:tcW w:w="1933" w:type="dxa"/>
          </w:tcPr>
          <w:p w14:paraId="557B484A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296CE3AB" w14:textId="166C4DAD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Used </w:t>
            </w:r>
            <w:r w:rsidRPr="00787CD8">
              <w:rPr>
                <w:sz w:val="20"/>
                <w:szCs w:val="20"/>
                <w:u w:val="single"/>
                <w:lang w:val="en-US"/>
              </w:rPr>
              <w:t xml:space="preserve">only </w:t>
            </w:r>
            <w:r w:rsidR="001268C3">
              <w:rPr>
                <w:sz w:val="20"/>
                <w:szCs w:val="20"/>
                <w:u w:val="single"/>
                <w:lang w:val="en-US"/>
              </w:rPr>
              <w:t xml:space="preserve">as </w:t>
            </w:r>
            <w:r w:rsidR="001268C3">
              <w:rPr>
                <w:sz w:val="20"/>
                <w:szCs w:val="20"/>
                <w:u w:val="single"/>
                <w:lang w:val="en-US"/>
              </w:rPr>
              <w:t>(PEP)</w:t>
            </w:r>
            <w:r w:rsidR="001268C3">
              <w:rPr>
                <w:sz w:val="20"/>
                <w:szCs w:val="20"/>
                <w:lang w:val="en-US"/>
              </w:rPr>
              <w:t xml:space="preserve"> </w:t>
            </w:r>
            <w:r w:rsidRPr="00787CD8">
              <w:rPr>
                <w:sz w:val="20"/>
                <w:szCs w:val="20"/>
                <w:lang w:val="en-US"/>
              </w:rPr>
              <w:t xml:space="preserve">when conditions for administration are met </w:t>
            </w:r>
            <w:r w:rsidRPr="00787CD8">
              <w:rPr>
                <w:sz w:val="20"/>
                <w:szCs w:val="20"/>
                <w:u w:val="single"/>
                <w:lang w:val="en-US"/>
              </w:rPr>
              <w:t>based on immunization status/date of last dose and nature of wound.</w:t>
            </w:r>
            <w:r w:rsidRPr="00787CD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346F7E42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5166EC64" w14:textId="295E49B7" w:rsidR="00243AB5" w:rsidRPr="00787CD8" w:rsidRDefault="00243AB5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>Not indicated.</w:t>
            </w:r>
            <w:r w:rsidR="009B68BD">
              <w:rPr>
                <w:sz w:val="20"/>
                <w:szCs w:val="20"/>
                <w:lang w:val="en-US"/>
              </w:rPr>
              <w:t xml:space="preserve"> 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2409" w:type="dxa"/>
          </w:tcPr>
          <w:p w14:paraId="3A5FD7B6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10EC4080" w14:textId="060D48CE" w:rsidR="00243AB5" w:rsidRPr="00787CD8" w:rsidRDefault="00BA1622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Only indicated </w:t>
            </w:r>
            <w:r>
              <w:rPr>
                <w:sz w:val="20"/>
                <w:szCs w:val="20"/>
                <w:lang w:val="en-US"/>
              </w:rPr>
              <w:t xml:space="preserve">as PEP </w:t>
            </w:r>
            <w:r w:rsidRPr="00787CD8">
              <w:rPr>
                <w:sz w:val="20"/>
                <w:szCs w:val="20"/>
                <w:lang w:val="en-US"/>
              </w:rPr>
              <w:t xml:space="preserve">if born before 1961 or if </w:t>
            </w:r>
            <w:r w:rsidRPr="0019327E">
              <w:rPr>
                <w:i/>
                <w:iCs/>
                <w:sz w:val="20"/>
                <w:szCs w:val="20"/>
                <w:lang w:val="en-US"/>
              </w:rPr>
              <w:t>priming course</w:t>
            </w:r>
            <w:r w:rsidRPr="00787CD8">
              <w:rPr>
                <w:sz w:val="20"/>
                <w:szCs w:val="20"/>
                <w:lang w:val="en-US"/>
              </w:rPr>
              <w:t xml:space="preserve"> of TTCV in early life were not received</w:t>
            </w:r>
            <w:r>
              <w:rPr>
                <w:sz w:val="20"/>
                <w:szCs w:val="20"/>
                <w:lang w:val="en-US"/>
              </w:rPr>
              <w:t xml:space="preserve"> or when </w:t>
            </w:r>
            <w:r w:rsidRPr="00787CD8">
              <w:rPr>
                <w:sz w:val="20"/>
                <w:szCs w:val="20"/>
                <w:lang w:val="en-US"/>
              </w:rPr>
              <w:t>immunization history</w:t>
            </w:r>
            <w:r>
              <w:rPr>
                <w:sz w:val="20"/>
                <w:szCs w:val="20"/>
                <w:lang w:val="en-US"/>
              </w:rPr>
              <w:t xml:space="preserve"> is </w:t>
            </w:r>
            <w:r w:rsidRPr="00787CD8">
              <w:rPr>
                <w:sz w:val="20"/>
                <w:szCs w:val="20"/>
                <w:lang w:val="en-US"/>
              </w:rPr>
              <w:t>uncertain</w:t>
            </w:r>
            <w:r w:rsidR="009B68BD">
              <w:rPr>
                <w:sz w:val="20"/>
                <w:szCs w:val="20"/>
                <w:lang w:val="en-US"/>
              </w:rPr>
              <w:t xml:space="preserve">. 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</w:tc>
        <w:tc>
          <w:tcPr>
            <w:tcW w:w="2268" w:type="dxa"/>
          </w:tcPr>
          <w:p w14:paraId="78FA84CF" w14:textId="77777777" w:rsidR="00605D7A" w:rsidRPr="00787CD8" w:rsidRDefault="00605D7A" w:rsidP="00BA1622">
            <w:pPr>
              <w:rPr>
                <w:sz w:val="20"/>
                <w:szCs w:val="20"/>
                <w:lang w:val="en-US"/>
              </w:rPr>
            </w:pPr>
          </w:p>
          <w:p w14:paraId="3DC60098" w14:textId="4D7962A8" w:rsidR="00DE70CB" w:rsidRPr="00787CD8" w:rsidRDefault="00DE70CB" w:rsidP="00BA1622">
            <w:pPr>
              <w:rPr>
                <w:sz w:val="20"/>
                <w:szCs w:val="20"/>
                <w:lang w:val="en-US"/>
              </w:rPr>
            </w:pPr>
            <w:r w:rsidRPr="00787CD8">
              <w:rPr>
                <w:sz w:val="20"/>
                <w:szCs w:val="20"/>
                <w:lang w:val="en-US"/>
              </w:rPr>
              <w:t xml:space="preserve">Indicated </w:t>
            </w:r>
            <w:r w:rsidR="0019327E">
              <w:rPr>
                <w:sz w:val="20"/>
                <w:szCs w:val="20"/>
                <w:lang w:val="en-US"/>
              </w:rPr>
              <w:t xml:space="preserve">as PEP </w:t>
            </w:r>
            <w:r w:rsidRPr="00787CD8">
              <w:rPr>
                <w:sz w:val="20"/>
                <w:szCs w:val="20"/>
                <w:lang w:val="en-US"/>
              </w:rPr>
              <w:t xml:space="preserve">even if the </w:t>
            </w:r>
            <w:r w:rsidR="00240719" w:rsidRPr="00002256">
              <w:rPr>
                <w:i/>
                <w:iCs/>
                <w:sz w:val="20"/>
                <w:szCs w:val="20"/>
                <w:lang w:val="en-US"/>
              </w:rPr>
              <w:t xml:space="preserve">priming </w:t>
            </w:r>
            <w:r w:rsidR="00240719">
              <w:rPr>
                <w:i/>
                <w:iCs/>
                <w:sz w:val="20"/>
                <w:szCs w:val="20"/>
                <w:lang w:val="en-US"/>
              </w:rPr>
              <w:t>course</w:t>
            </w:r>
            <w:r w:rsidR="00240719" w:rsidRPr="00787CD8">
              <w:rPr>
                <w:sz w:val="20"/>
                <w:szCs w:val="20"/>
                <w:lang w:val="en-US"/>
              </w:rPr>
              <w:t xml:space="preserve"> </w:t>
            </w:r>
            <w:r w:rsidRPr="00787CD8">
              <w:rPr>
                <w:sz w:val="20"/>
                <w:szCs w:val="20"/>
                <w:lang w:val="en-US"/>
              </w:rPr>
              <w:t xml:space="preserve">were complete but no subsequent doses were administered when presenting age &gt;5 years, or if the last dose &gt; 10 years. </w:t>
            </w:r>
            <w:r w:rsidR="004368C9">
              <w:rPr>
                <w:sz w:val="20"/>
                <w:szCs w:val="20"/>
                <w:lang w:val="en-US"/>
              </w:rPr>
              <w:t>[</w:t>
            </w:r>
            <w:r w:rsidR="009B68BD">
              <w:rPr>
                <w:sz w:val="20"/>
                <w:szCs w:val="20"/>
                <w:lang w:val="en-US"/>
              </w:rPr>
              <w:t>12</w:t>
            </w:r>
            <w:r w:rsidR="004368C9">
              <w:rPr>
                <w:sz w:val="20"/>
                <w:szCs w:val="20"/>
                <w:lang w:val="en-US"/>
              </w:rPr>
              <w:t>]</w:t>
            </w:r>
          </w:p>
          <w:p w14:paraId="7BD5A15D" w14:textId="397C84AC" w:rsidR="00DE70CB" w:rsidRPr="00787CD8" w:rsidRDefault="00DE70CB" w:rsidP="00BA1622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0EA6B048" w14:textId="6456CDB1" w:rsidR="00F916B1" w:rsidRDefault="00F916B1" w:rsidP="00E5390B">
      <w:pPr>
        <w:rPr>
          <w:lang w:val="en-US"/>
        </w:rPr>
      </w:pPr>
    </w:p>
    <w:sectPr w:rsidR="00F916B1" w:rsidSect="00605D7A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46423" w14:textId="77777777" w:rsidR="00187F36" w:rsidRDefault="00187F36" w:rsidP="008A53E1">
      <w:r>
        <w:separator/>
      </w:r>
    </w:p>
  </w:endnote>
  <w:endnote w:type="continuationSeparator" w:id="0">
    <w:p w14:paraId="4CCA3724" w14:textId="77777777" w:rsidR="00187F36" w:rsidRDefault="00187F36" w:rsidP="008A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">
    <w:altName w:val="Cambria"/>
    <w:panose1 w:val="020B0604020202020204"/>
    <w:charset w:val="00"/>
    <w:family w:val="roman"/>
    <w:notTrueType/>
    <w:pitch w:val="default"/>
  </w:font>
  <w:font w:name="ZapfDingbat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B7B40" w14:textId="77777777" w:rsidR="008A53E1" w:rsidRPr="00787CD8" w:rsidRDefault="008A53E1" w:rsidP="008A53E1">
    <w:pPr>
      <w:pStyle w:val="NormalWeb"/>
      <w:numPr>
        <w:ilvl w:val="0"/>
        <w:numId w:val="1"/>
      </w:numPr>
      <w:rPr>
        <w:sz w:val="20"/>
        <w:szCs w:val="20"/>
        <w:lang w:val="en-US"/>
      </w:rPr>
    </w:pPr>
    <w:r w:rsidRPr="00787CD8">
      <w:rPr>
        <w:b/>
        <w:bCs/>
        <w:sz w:val="20"/>
        <w:szCs w:val="20"/>
        <w:lang w:val="en-US"/>
      </w:rPr>
      <w:t>Clean wound</w:t>
    </w:r>
    <w:r w:rsidRPr="00787CD8">
      <w:rPr>
        <w:sz w:val="20"/>
        <w:szCs w:val="20"/>
        <w:lang w:val="en-US"/>
      </w:rPr>
      <w:t xml:space="preserve">: wounds less than 6 hours old, non-penetrating with negligible tissue damage </w:t>
    </w:r>
  </w:p>
  <w:p w14:paraId="12F43BE4" w14:textId="77777777" w:rsidR="008A53E1" w:rsidRPr="00787CD8" w:rsidRDefault="008A53E1" w:rsidP="008A53E1">
    <w:pPr>
      <w:pStyle w:val="NormalWeb"/>
      <w:numPr>
        <w:ilvl w:val="0"/>
        <w:numId w:val="1"/>
      </w:numPr>
      <w:rPr>
        <w:sz w:val="20"/>
        <w:szCs w:val="20"/>
        <w:lang w:val="en-US"/>
      </w:rPr>
    </w:pPr>
    <w:r w:rsidRPr="00787CD8">
      <w:rPr>
        <w:rFonts w:ascii="Frutiger" w:hAnsi="Frutiger"/>
        <w:b/>
        <w:bCs/>
        <w:sz w:val="20"/>
        <w:szCs w:val="20"/>
      </w:rPr>
      <w:t>Tetanus-prone wounds</w:t>
    </w:r>
    <w:r w:rsidRPr="00787CD8">
      <w:rPr>
        <w:rFonts w:ascii="Frutiger" w:hAnsi="Frutiger"/>
        <w:sz w:val="20"/>
        <w:szCs w:val="20"/>
        <w:lang w:val="en-US"/>
      </w:rPr>
      <w:t xml:space="preserve">: </w:t>
    </w:r>
    <w:r w:rsidRPr="00787CD8">
      <w:rPr>
        <w:rFonts w:ascii="Frutiger" w:hAnsi="Frutiger"/>
        <w:sz w:val="20"/>
        <w:szCs w:val="20"/>
      </w:rPr>
      <w:t>puncture-type injuries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ZapfDingbats" w:hAnsi="ZapfDingbats"/>
        <w:color w:val="00A85B"/>
        <w:sz w:val="20"/>
        <w:szCs w:val="20"/>
      </w:rPr>
      <w:t> </w:t>
    </w:r>
    <w:r w:rsidRPr="00787CD8">
      <w:rPr>
        <w:rFonts w:ascii="Frutiger" w:hAnsi="Frutiger"/>
        <w:sz w:val="20"/>
        <w:szCs w:val="20"/>
      </w:rPr>
      <w:t>wounds containing foreign bodies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ZapfDingbats" w:hAnsi="ZapfDingbats"/>
        <w:color w:val="00A85B"/>
        <w:position w:val="2"/>
        <w:sz w:val="20"/>
        <w:szCs w:val="20"/>
      </w:rPr>
      <w:t> </w:t>
    </w:r>
    <w:r w:rsidRPr="00787CD8">
      <w:rPr>
        <w:rFonts w:ascii="Frutiger" w:hAnsi="Frutiger"/>
        <w:sz w:val="20"/>
        <w:szCs w:val="20"/>
      </w:rPr>
      <w:t>compound fractures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ZapfDingbats" w:hAnsi="ZapfDingbats"/>
        <w:color w:val="00A85B"/>
        <w:position w:val="2"/>
        <w:sz w:val="20"/>
        <w:szCs w:val="20"/>
      </w:rPr>
      <w:t> </w:t>
    </w:r>
    <w:r w:rsidRPr="00787CD8">
      <w:rPr>
        <w:rFonts w:ascii="Frutiger" w:hAnsi="Frutiger"/>
        <w:sz w:val="20"/>
        <w:szCs w:val="20"/>
      </w:rPr>
      <w:t>wounds or burns with systemic sepsis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ZapfDingbats" w:hAnsi="ZapfDingbats"/>
        <w:color w:val="00A85B"/>
        <w:sz w:val="20"/>
        <w:szCs w:val="20"/>
      </w:rPr>
      <w:t> </w:t>
    </w:r>
    <w:r w:rsidRPr="00787CD8">
      <w:rPr>
        <w:rFonts w:ascii="Frutiger" w:hAnsi="Frutiger"/>
        <w:sz w:val="20"/>
        <w:szCs w:val="20"/>
      </w:rPr>
      <w:t>certain animal bites and scratches</w:t>
    </w:r>
    <w:r w:rsidRPr="00787CD8">
      <w:rPr>
        <w:rFonts w:ascii="Frutiger" w:hAnsi="Frutiger"/>
        <w:sz w:val="20"/>
        <w:szCs w:val="20"/>
        <w:lang w:val="en-US"/>
      </w:rPr>
      <w:t xml:space="preserve">. </w:t>
    </w:r>
  </w:p>
  <w:p w14:paraId="3EAA540C" w14:textId="77777777" w:rsidR="008A53E1" w:rsidRPr="00002256" w:rsidRDefault="008A53E1" w:rsidP="008A53E1">
    <w:pPr>
      <w:pStyle w:val="NormalWeb"/>
      <w:numPr>
        <w:ilvl w:val="0"/>
        <w:numId w:val="1"/>
      </w:numPr>
      <w:rPr>
        <w:sz w:val="20"/>
        <w:szCs w:val="20"/>
        <w:lang w:val="en-US"/>
      </w:rPr>
    </w:pPr>
    <w:r w:rsidRPr="00787CD8">
      <w:rPr>
        <w:rFonts w:ascii="Frutiger" w:hAnsi="Frutiger"/>
        <w:b/>
        <w:bCs/>
        <w:sz w:val="20"/>
        <w:szCs w:val="20"/>
      </w:rPr>
      <w:t>High-risk tetanus-prone wounds</w:t>
    </w:r>
    <w:r w:rsidRPr="00787CD8">
      <w:rPr>
        <w:rFonts w:ascii="Frutiger" w:hAnsi="Frutiger"/>
        <w:b/>
        <w:bCs/>
        <w:sz w:val="20"/>
        <w:szCs w:val="20"/>
        <w:lang w:val="en-US"/>
      </w:rPr>
      <w:t>:</w:t>
    </w:r>
    <w:r w:rsidRPr="00787CD8">
      <w:rPr>
        <w:rFonts w:ascii="Frutiger" w:hAnsi="Frutiger"/>
        <w:sz w:val="20"/>
        <w:szCs w:val="20"/>
        <w:lang w:val="en-US"/>
      </w:rPr>
      <w:t xml:space="preserve"> </w:t>
    </w:r>
    <w:r w:rsidRPr="00787CD8">
      <w:rPr>
        <w:rFonts w:ascii="Frutiger" w:hAnsi="Frutiger"/>
        <w:sz w:val="20"/>
        <w:szCs w:val="20"/>
      </w:rPr>
      <w:t>heavy contamination with soil</w:t>
    </w:r>
    <w:r w:rsidRPr="00787CD8">
      <w:rPr>
        <w:rFonts w:ascii="Frutiger" w:hAnsi="Frutiger"/>
        <w:sz w:val="20"/>
        <w:szCs w:val="20"/>
        <w:lang w:val="en-US"/>
      </w:rPr>
      <w:t xml:space="preserve"> or </w:t>
    </w:r>
    <w:r w:rsidRPr="00787CD8">
      <w:rPr>
        <w:rFonts w:ascii="Frutiger" w:hAnsi="Frutiger"/>
        <w:sz w:val="20"/>
        <w:szCs w:val="20"/>
      </w:rPr>
      <w:t xml:space="preserve"> manure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Frutiger" w:hAnsi="Frutiger"/>
        <w:sz w:val="20"/>
        <w:szCs w:val="20"/>
      </w:rPr>
      <w:t>wounds or burns that show extensive devitalised tissue</w:t>
    </w:r>
    <w:r w:rsidRPr="00787CD8">
      <w:rPr>
        <w:rFonts w:ascii="Frutiger" w:hAnsi="Frutiger"/>
        <w:sz w:val="20"/>
        <w:szCs w:val="20"/>
        <w:lang w:val="en-US"/>
      </w:rPr>
      <w:t xml:space="preserve">, </w:t>
    </w:r>
    <w:r w:rsidRPr="00787CD8">
      <w:rPr>
        <w:rFonts w:ascii="ZapfDingbats" w:hAnsi="ZapfDingbats"/>
        <w:color w:val="00A85B"/>
        <w:position w:val="2"/>
        <w:sz w:val="20"/>
        <w:szCs w:val="20"/>
      </w:rPr>
      <w:t> </w:t>
    </w:r>
    <w:r w:rsidRPr="00787CD8">
      <w:rPr>
        <w:rFonts w:ascii="Frutiger" w:hAnsi="Frutiger"/>
        <w:sz w:val="20"/>
        <w:szCs w:val="20"/>
      </w:rPr>
      <w:t>wounds or burns that require surgical intervention that is delayed for more than six hours</w:t>
    </w:r>
    <w:r w:rsidRPr="00787CD8">
      <w:rPr>
        <w:rFonts w:ascii="Frutiger" w:hAnsi="Frutiger"/>
        <w:sz w:val="20"/>
        <w:szCs w:val="20"/>
        <w:lang w:val="en-US"/>
      </w:rPr>
      <w:t xml:space="preserve"> with light contamination.</w:t>
    </w:r>
  </w:p>
  <w:p w14:paraId="6CB3A0BE" w14:textId="18DBD8C7" w:rsidR="008A53E1" w:rsidRPr="008A53E1" w:rsidRDefault="008A53E1" w:rsidP="00E5390B">
    <w:pPr>
      <w:pStyle w:val="NormalWeb"/>
      <w:ind w:left="720"/>
      <w:rPr>
        <w:lang w:val="en-US"/>
      </w:rPr>
    </w:pPr>
    <w:r w:rsidRPr="00002256">
      <w:rPr>
        <w:rFonts w:ascii="Frutiger" w:hAnsi="Frutiger"/>
        <w:b/>
        <w:bCs/>
        <w:i/>
        <w:iCs/>
        <w:sz w:val="20"/>
        <w:szCs w:val="20"/>
        <w:lang w:val="en-US"/>
      </w:rPr>
      <w:t>Priming course</w:t>
    </w:r>
    <w:r>
      <w:rPr>
        <w:rFonts w:ascii="Frutiger" w:hAnsi="Frutiger"/>
        <w:b/>
        <w:bCs/>
        <w:sz w:val="20"/>
        <w:szCs w:val="20"/>
        <w:lang w:val="en-US"/>
      </w:rPr>
      <w:t>:</w:t>
    </w:r>
    <w:r>
      <w:rPr>
        <w:sz w:val="20"/>
        <w:szCs w:val="20"/>
        <w:lang w:val="en-US"/>
      </w:rPr>
      <w:t xml:space="preserve"> 3 doses of an appropriate TTCV given at </w:t>
    </w:r>
    <w:proofErr w:type="gramStart"/>
    <w:r>
      <w:rPr>
        <w:sz w:val="20"/>
        <w:szCs w:val="20"/>
        <w:lang w:val="en-US"/>
      </w:rPr>
      <w:t>1 month</w:t>
    </w:r>
    <w:proofErr w:type="gramEnd"/>
    <w:r>
      <w:rPr>
        <w:sz w:val="20"/>
        <w:szCs w:val="20"/>
        <w:lang w:val="en-US"/>
      </w:rPr>
      <w:t xml:space="preserve"> interval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6E830" w14:textId="77777777" w:rsidR="00187F36" w:rsidRDefault="00187F36" w:rsidP="008A53E1">
      <w:r>
        <w:separator/>
      </w:r>
    </w:p>
  </w:footnote>
  <w:footnote w:type="continuationSeparator" w:id="0">
    <w:p w14:paraId="7AE2E3D9" w14:textId="77777777" w:rsidR="00187F36" w:rsidRDefault="00187F36" w:rsidP="008A5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DA8"/>
    <w:multiLevelType w:val="hybridMultilevel"/>
    <w:tmpl w:val="FA0413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91F2E"/>
    <w:multiLevelType w:val="multilevel"/>
    <w:tmpl w:val="B45221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60748B"/>
    <w:multiLevelType w:val="multilevel"/>
    <w:tmpl w:val="B5C02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9455D"/>
    <w:multiLevelType w:val="multilevel"/>
    <w:tmpl w:val="64AC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vaa5zsphwz2x3ex222vwte309dzdsepp0z5&quot;&gt;My EndNote Library1&lt;record-ids&gt;&lt;item&gt;3&lt;/item&gt;&lt;/record-ids&gt;&lt;/item&gt;&lt;/Libraries&gt;"/>
  </w:docVars>
  <w:rsids>
    <w:rsidRoot w:val="00F916B1"/>
    <w:rsid w:val="00000344"/>
    <w:rsid w:val="00002256"/>
    <w:rsid w:val="00026CF4"/>
    <w:rsid w:val="000E16C6"/>
    <w:rsid w:val="000E2B12"/>
    <w:rsid w:val="001268C3"/>
    <w:rsid w:val="00187F36"/>
    <w:rsid w:val="0019327E"/>
    <w:rsid w:val="001C7628"/>
    <w:rsid w:val="00240719"/>
    <w:rsid w:val="00243793"/>
    <w:rsid w:val="00243AB5"/>
    <w:rsid w:val="00282BE8"/>
    <w:rsid w:val="002905EC"/>
    <w:rsid w:val="002E1064"/>
    <w:rsid w:val="003005B6"/>
    <w:rsid w:val="00310E8F"/>
    <w:rsid w:val="00325FDF"/>
    <w:rsid w:val="003439DA"/>
    <w:rsid w:val="00380494"/>
    <w:rsid w:val="003F2A2D"/>
    <w:rsid w:val="00425102"/>
    <w:rsid w:val="004368C9"/>
    <w:rsid w:val="00445E54"/>
    <w:rsid w:val="004B3E9E"/>
    <w:rsid w:val="004E0B07"/>
    <w:rsid w:val="00531F5E"/>
    <w:rsid w:val="005532A7"/>
    <w:rsid w:val="0055693B"/>
    <w:rsid w:val="00557807"/>
    <w:rsid w:val="00595CC8"/>
    <w:rsid w:val="00605D7A"/>
    <w:rsid w:val="00660487"/>
    <w:rsid w:val="00787CD8"/>
    <w:rsid w:val="0080414B"/>
    <w:rsid w:val="008A53E1"/>
    <w:rsid w:val="008A71A1"/>
    <w:rsid w:val="008C17A9"/>
    <w:rsid w:val="009B68BD"/>
    <w:rsid w:val="009D5019"/>
    <w:rsid w:val="009D5A0A"/>
    <w:rsid w:val="009E58E7"/>
    <w:rsid w:val="009E619C"/>
    <w:rsid w:val="009F6E19"/>
    <w:rsid w:val="00A61C4D"/>
    <w:rsid w:val="00B802CD"/>
    <w:rsid w:val="00BA1180"/>
    <w:rsid w:val="00BA1622"/>
    <w:rsid w:val="00BE36B1"/>
    <w:rsid w:val="00CE0B91"/>
    <w:rsid w:val="00D0576E"/>
    <w:rsid w:val="00D61424"/>
    <w:rsid w:val="00DE70CB"/>
    <w:rsid w:val="00E418D3"/>
    <w:rsid w:val="00E50297"/>
    <w:rsid w:val="00E5390B"/>
    <w:rsid w:val="00E57CD0"/>
    <w:rsid w:val="00E95AA5"/>
    <w:rsid w:val="00F916B1"/>
    <w:rsid w:val="00FB4F61"/>
    <w:rsid w:val="00FC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25224"/>
  <w15:chartTrackingRefBased/>
  <w15:docId w15:val="{4C1A4CAD-BD45-AC4F-A026-F0B86B90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K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link w:val="Heading1Char"/>
    <w:uiPriority w:val="9"/>
    <w:qFormat/>
    <w:rsid w:val="00F916B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16B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F916B1"/>
  </w:style>
  <w:style w:type="character" w:customStyle="1" w:styleId="al-author-name-more">
    <w:name w:val="al-author-name-more"/>
    <w:basedOn w:val="DefaultParagraphFont"/>
    <w:rsid w:val="00F916B1"/>
  </w:style>
  <w:style w:type="character" w:styleId="Emphasis">
    <w:name w:val="Emphasis"/>
    <w:basedOn w:val="DefaultParagraphFont"/>
    <w:uiPriority w:val="20"/>
    <w:qFormat/>
    <w:rsid w:val="00F916B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916B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E70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787C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5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3E1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8A5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3E1"/>
    <w:rPr>
      <w:rFonts w:cs="Arial Unicode MS"/>
    </w:rPr>
  </w:style>
  <w:style w:type="paragraph" w:customStyle="1" w:styleId="EndNoteBibliographyTitle">
    <w:name w:val="EndNote Bibliography Title"/>
    <w:basedOn w:val="Normal"/>
    <w:link w:val="EndNoteBibliographyTitleChar"/>
    <w:rsid w:val="009B68BD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68BD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B68BD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B68BD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4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8846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82735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633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4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60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7210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7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2023-03-29T14:44:00Z</dcterms:created>
  <dcterms:modified xsi:type="dcterms:W3CDTF">2023-03-30T07:07:00Z</dcterms:modified>
</cp:coreProperties>
</file>