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4E18347C" w14:textId="77777777" w:rsidR="002A6ABA" w:rsidRDefault="002A6ABA" w:rsidP="002A6A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</w:p>
    <w:p w14:paraId="11A262A0" w14:textId="77777777" w:rsidR="002A6ABA" w:rsidRDefault="002A6ABA" w:rsidP="002A6A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114300" distR="114300" wp14:anchorId="2122A84D" wp14:editId="499F43F3">
            <wp:extent cx="2599690" cy="1612265"/>
            <wp:effectExtent l="0" t="0" r="635" b="6985"/>
            <wp:docPr id="17" name="图片 17" descr="Figure S1 body weight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7" name="图片 17" descr="Figure S1 body weight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9690" cy="161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DAE44FB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1991525" w14:textId="77777777" w:rsidR="002A6ABA" w:rsidRDefault="002A6ABA" w:rsidP="002A6A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114300" distR="114300" wp14:anchorId="7DFEA108" wp14:editId="2C74B55B">
            <wp:extent cx="2346960" cy="1036320"/>
            <wp:effectExtent l="0" t="0" r="5715" b="1905"/>
            <wp:docPr id="18" name="图片 18" descr="Figure S2 Iba1 IHC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18" name="图片 18" descr="Figure S2 Iba1 IHC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346960" cy="1036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8CCFC9E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S3</w:t>
      </w:r>
    </w:p>
    <w:p w14:paraId="5B03FA83" w14:textId="77777777" w:rsidR="002A6ABA" w:rsidRDefault="002A6ABA" w:rsidP="002A6A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114300" distR="114300" wp14:anchorId="145E2ADE" wp14:editId="7B9F5312">
            <wp:extent cx="5271135" cy="2895600"/>
            <wp:effectExtent l="0" t="0" r="5715" b="0"/>
            <wp:docPr id="50" name="图片 50" descr="Figure S3 pathway genes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50" name="图片 50" descr="Figure S3 pathway genes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b/>
          <w:sz w:val="24"/>
          <w:szCs w:val="24"/>
        </w:rPr>
        <w:br w:type="page"/>
      </w:r>
    </w:p>
    <w:p w14:paraId="42AE4782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2FA30DA" w14:textId="77777777" w:rsidR="002A6ABA" w:rsidRDefault="002A6ABA" w:rsidP="002A6A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114300" distR="114300" wp14:anchorId="2A42E43C" wp14:editId="633A8DAA">
            <wp:extent cx="5273040" cy="7224395"/>
            <wp:effectExtent l="0" t="0" r="3810" b="5080"/>
            <wp:docPr id="38" name="图片 38" descr="Figure S4  in vitro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38" name="图片 38" descr="Figure S4  in vitro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7224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330E0E1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52FEEBB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114300" distR="114300" wp14:anchorId="5859919E" wp14:editId="7F343296">
            <wp:extent cx="5269230" cy="5857875"/>
            <wp:effectExtent l="0" t="0" r="7620" b="0"/>
            <wp:docPr id="39" name="图片 39" descr="Figure S5 AAV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39" name="图片 39" descr="Figure S5 AAV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857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E6515A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</w:p>
    <w:p w14:paraId="50CBC63B" w14:textId="77777777" w:rsidR="002A6ABA" w:rsidRDefault="002A6ABA" w:rsidP="002A6A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480ABC9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S6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74B1C81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114300" distR="114300" wp14:anchorId="10859CAE" wp14:editId="70D8802C">
            <wp:extent cx="5271770" cy="7123430"/>
            <wp:effectExtent l="0" t="0" r="5080" b="1270"/>
            <wp:docPr id="40" name="图片 40" descr="Figure S6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40" name="图片 40" descr="Figure S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7123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915C94" w14:textId="77777777" w:rsidR="002A6ABA" w:rsidRDefault="002A6ABA" w:rsidP="002A6A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E9959D5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S7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C17FF78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114300" distR="114300" wp14:anchorId="3CBA0455" wp14:editId="4744FD88">
            <wp:extent cx="5272405" cy="4721225"/>
            <wp:effectExtent l="0" t="0" r="4445" b="3175"/>
            <wp:docPr id="41" name="图片 41" descr="Figure S7 PC in vitro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41" name="图片 41" descr="Figure S7 PC in vitro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721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B07630" w14:textId="77777777" w:rsidR="002A6ABA" w:rsidRDefault="002A6ABA" w:rsidP="002A6A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FB2CFE1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9DDA64F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114300" distR="114300" wp14:anchorId="3CBF1D47" wp14:editId="0AD30297">
            <wp:extent cx="5274310" cy="4598035"/>
            <wp:effectExtent l="0" t="0" r="2540" b="2540"/>
            <wp:docPr id="42" name="图片 42" descr="Figure S8 body weight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42" name="图片 42" descr="Figure S8 body weight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598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41E7B0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</w:p>
    <w:p w14:paraId="76620D3F" w14:textId="77777777" w:rsidR="002A6ABA" w:rsidRDefault="002A6ABA" w:rsidP="002A6A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2AA32093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S9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F257673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114300" distR="114300" wp14:anchorId="5C170D81" wp14:editId="7B6E05F8">
            <wp:extent cx="5269230" cy="1304925"/>
            <wp:effectExtent l="0" t="0" r="7620" b="0"/>
            <wp:docPr id="43" name="图片 43" descr="Figure S9 GFAP expression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43" name="图片 43" descr="Figure S9 GFAP expression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3E0BD1" w14:textId="77777777" w:rsidR="002A6ABA" w:rsidRDefault="002A6ABA" w:rsidP="002A6A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46583C4C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S10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20E14B0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114300" distR="114300" wp14:anchorId="46E801D1" wp14:editId="4D9A792E">
            <wp:extent cx="5267960" cy="1167765"/>
            <wp:effectExtent l="0" t="0" r="8890" b="3810"/>
            <wp:docPr id="44" name="图片 44" descr="Figure S10 IHC C3 expression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44" name="图片 44" descr="Figure S10 IHC C3 expression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11677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3C7F0D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</w:p>
    <w:p w14:paraId="78E2EAC3" w14:textId="77777777" w:rsidR="002A6ABA" w:rsidRDefault="002A6ABA" w:rsidP="002A6A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34554143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S11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5B57C15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114300" distR="114300" wp14:anchorId="3A27B3C7" wp14:editId="20289982">
            <wp:extent cx="4398010" cy="6458585"/>
            <wp:effectExtent l="0" t="0" r="2540" b="8890"/>
            <wp:docPr id="45" name="图片 45" descr="Figure S11 C3-GFAP  expression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45" name="图片 45" descr="Figure S11 C3-GFAP  expression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398010" cy="6458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61C2D" w14:textId="77777777" w:rsidR="002A6ABA" w:rsidRDefault="002A6ABA" w:rsidP="002A6A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0E53CF6E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S12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04963B6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114300" distR="114300" wp14:anchorId="5095DD41" wp14:editId="2055D5F7">
            <wp:extent cx="3793490" cy="8303260"/>
            <wp:effectExtent l="0" t="0" r="6985" b="2540"/>
            <wp:docPr id="46" name="图片 46" descr="Figure S12 GFAP-Nrf2 expression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46" name="图片 46" descr="Figure S12 GFAP-Nrf2 expression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793490" cy="8303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831229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S13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15C8EF3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114300" distR="114300" wp14:anchorId="17FE25EC" wp14:editId="0C018343">
            <wp:extent cx="5269865" cy="2816225"/>
            <wp:effectExtent l="0" t="0" r="6985" b="3175"/>
            <wp:docPr id="47" name="图片 47" descr="Figure S13 ROS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47" name="图片 47" descr="Figure S13 ROS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16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E4FB3D" w14:textId="77777777" w:rsidR="002A6ABA" w:rsidRDefault="002A6ABA" w:rsidP="002A6ABA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br w:type="page"/>
      </w:r>
    </w:p>
    <w:p w14:paraId="1987097C" w14:textId="77777777" w:rsidR="002A6ABA" w:rsidRDefault="002A6ABA" w:rsidP="002A6ABA">
      <w:pPr>
        <w:spacing w:line="24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S14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C83A7F8" w14:textId="77777777" w:rsidR="002A6ABA" w:rsidRDefault="002A6ABA" w:rsidP="002A6ABA">
      <w:pPr>
        <w:spacing w:line="24pt" w:lineRule="auto"/>
        <w:sectPr w:rsidR="002A6ABA" w:rsidSect="002A6ABA">
          <w:footerReference w:type="default" r:id="rId17"/>
          <w:pgSz w:w="595.30pt" w:h="841.90pt"/>
          <w:pgMar w:top="72pt" w:right="90pt" w:bottom="72pt" w:left="90pt" w:header="42.55pt" w:footer="49.60pt" w:gutter="0pt"/>
          <w:cols w:space="21.25pt"/>
          <w:docGrid w:type="lines" w:linePitch="312"/>
        </w:sectPr>
      </w:pPr>
      <w:r>
        <w:rPr>
          <w:rFonts w:ascii="Times New Roman" w:hAnsi="Times New Roman" w:cs="Times New Roman" w:hint="eastAsia"/>
          <w:b/>
          <w:noProof/>
          <w:sz w:val="24"/>
          <w:szCs w:val="24"/>
        </w:rPr>
        <w:drawing>
          <wp:inline distT="0" distB="0" distL="114300" distR="114300" wp14:anchorId="3115617B" wp14:editId="1C4971BE">
            <wp:extent cx="5270500" cy="2091055"/>
            <wp:effectExtent l="0" t="0" r="6350" b="4445"/>
            <wp:docPr id="48" name="图片 48" descr="Figure S14 Nissel staining"/>
            <wp:cNvGraphicFramePr>
              <a:graphicFrameLocks xmlns:a="http://purl.oclc.org/ooxml/drawingml/main" noChangeAspect="1"/>
            </wp:cNvGraphicFramePr>
            <a:graphic xmlns:a="http://purl.oclc.org/ooxml/drawingml/main">
              <a:graphicData uri="http://purl.oclc.org/ooxml/drawingml/picture">
                <pic:pic xmlns:pic="http://purl.oclc.org/ooxml/drawingml/picture">
                  <pic:nvPicPr>
                    <pic:cNvPr id="48" name="图片 48" descr="Figure S14 Nissel staining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09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FD1B4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</w:p>
    <w:p w14:paraId="6CAC9C90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 xml:space="preserve">1 </w:t>
      </w:r>
    </w:p>
    <w:p w14:paraId="34FF26AA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weight of mice during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2.5 </w:t>
      </w:r>
      <w:r>
        <w:rPr>
          <w:rFonts w:ascii="Times New Roman" w:hAnsi="Times New Roman" w:cs="Times New Roman"/>
          <w:sz w:val="24"/>
          <w:szCs w:val="24"/>
        </w:rPr>
        <w:t>exposure and control (n = 20/group,</w:t>
      </w:r>
      <w:r>
        <w:rPr>
          <w:rFonts w:ascii="Times New Roman" w:hAnsi="Times New Roman" w:cs="Times New Roman"/>
          <w:i/>
          <w:sz w:val="24"/>
          <w:szCs w:val="24"/>
        </w:rPr>
        <w:t xml:space="preserve"> t</w:t>
      </w:r>
      <w:r>
        <w:rPr>
          <w:rFonts w:ascii="Times New Roman" w:hAnsi="Times New Roman" w:cs="Times New Roman"/>
          <w:sz w:val="24"/>
          <w:szCs w:val="24"/>
        </w:rPr>
        <w:t>-test)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3B7B2665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</w:p>
    <w:p w14:paraId="7E7CB3F9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1115C02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Expression of Iba1 </w:t>
      </w:r>
      <w:r>
        <w:rPr>
          <w:rFonts w:ascii="Times New Roman" w:hAnsi="Times New Roman" w:cs="Times New Roman"/>
          <w:sz w:val="24"/>
          <w:szCs w:val="24"/>
        </w:rPr>
        <w:t>in hippocampus of mice after 15-weeks of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2.5 </w:t>
      </w:r>
      <w:r>
        <w:rPr>
          <w:rFonts w:ascii="Times New Roman" w:hAnsi="Times New Roman" w:cs="Times New Roman"/>
          <w:sz w:val="24"/>
          <w:szCs w:val="24"/>
        </w:rPr>
        <w:t>exposure and control</w:t>
      </w:r>
      <w:r>
        <w:rPr>
          <w:rFonts w:ascii="Times New Roman" w:hAnsi="Times New Roman" w:cs="Times New Roman" w:hint="eastAsia"/>
          <w:sz w:val="24"/>
          <w:szCs w:val="24"/>
        </w:rPr>
        <w:t xml:space="preserve">. </w:t>
      </w:r>
    </w:p>
    <w:p w14:paraId="620378A3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</w:p>
    <w:p w14:paraId="3A380318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1DB8F8E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mRNA expression of genes (</w:t>
      </w:r>
      <w:r>
        <w:rPr>
          <w:rFonts w:ascii="Times New Roman" w:hAnsi="Times New Roman" w:cs="Times New Roman"/>
          <w:i/>
          <w:sz w:val="24"/>
          <w:szCs w:val="24"/>
        </w:rPr>
        <w:t>Jak2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Nlrc5</w:t>
      </w:r>
      <w:r>
        <w:rPr>
          <w:rFonts w:ascii="Times New Roman" w:hAnsi="Times New Roman" w:cs="Times New Roman" w:hint="eastAsia"/>
          <w:i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Cxcl10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i/>
          <w:sz w:val="24"/>
          <w:szCs w:val="24"/>
        </w:rPr>
        <w:t xml:space="preserve"> Cxcr3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Stat3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Nf-kb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i/>
          <w:sz w:val="24"/>
          <w:szCs w:val="24"/>
        </w:rPr>
        <w:t>Rel</w:t>
      </w:r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i/>
          <w:sz w:val="24"/>
          <w:szCs w:val="24"/>
        </w:rPr>
        <w:t>Ccl2</w:t>
      </w:r>
      <w:r>
        <w:rPr>
          <w:rFonts w:ascii="Times New Roman" w:hAnsi="Times New Roman" w:cs="Times New Roman" w:hint="eastAsia"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in </w:t>
      </w:r>
      <w:r>
        <w:rPr>
          <w:rFonts w:ascii="Times New Roman" w:hAnsi="Times New Roman" w:cs="Times New Roman"/>
          <w:sz w:val="24"/>
          <w:szCs w:val="24"/>
        </w:rPr>
        <w:t>hippocampus of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2.5 </w:t>
      </w:r>
      <w:r>
        <w:rPr>
          <w:rFonts w:ascii="Times New Roman" w:hAnsi="Times New Roman" w:cs="Times New Roman"/>
          <w:sz w:val="24"/>
          <w:szCs w:val="24"/>
        </w:rPr>
        <w:t>exposed and control</w:t>
      </w:r>
      <w:r>
        <w:rPr>
          <w:rFonts w:ascii="Times New Roman" w:hAnsi="Times New Roman" w:cs="Times New Roman" w:hint="eastAsia"/>
          <w:sz w:val="24"/>
          <w:szCs w:val="24"/>
        </w:rPr>
        <w:t xml:space="preserve"> mice </w:t>
      </w:r>
      <w:r>
        <w:rPr>
          <w:rFonts w:ascii="Times New Roman" w:hAnsi="Times New Roman" w:cs="Times New Roman"/>
          <w:sz w:val="24"/>
          <w:szCs w:val="24"/>
        </w:rPr>
        <w:t xml:space="preserve">(n = </w:t>
      </w:r>
      <w:r>
        <w:rPr>
          <w:rFonts w:ascii="Times New Roman" w:hAnsi="Times New Roman" w:cs="Times New Roman" w:hint="eastAsia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>/group,</w:t>
      </w:r>
      <w:r>
        <w:rPr>
          <w:rFonts w:ascii="Times New Roman" w:hAnsi="Times New Roman" w:cs="Times New Roman"/>
          <w:i/>
          <w:sz w:val="24"/>
          <w:szCs w:val="24"/>
        </w:rPr>
        <w:t xml:space="preserve"> t</w:t>
      </w:r>
      <w:r>
        <w:rPr>
          <w:rFonts w:ascii="Times New Roman" w:hAnsi="Times New Roman" w:cs="Times New Roman"/>
          <w:sz w:val="24"/>
          <w:szCs w:val="24"/>
        </w:rPr>
        <w:t>-test)</w:t>
      </w:r>
      <w:r>
        <w:rPr>
          <w:rFonts w:ascii="Times New Roman" w:hAnsi="Times New Roman" w:cs="Times New Roman" w:hint="eastAsia"/>
          <w:sz w:val="24"/>
          <w:szCs w:val="24"/>
        </w:rPr>
        <w:t>.</w:t>
      </w:r>
    </w:p>
    <w:p w14:paraId="2F1EFA47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</w:p>
    <w:p w14:paraId="52743867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4FA4B39D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A: Schematic of </w:t>
      </w:r>
      <w:r>
        <w:rPr>
          <w:rFonts w:ascii="Times New Roman" w:hAnsi="Times New Roman" w:cs="Times New Roman"/>
          <w:sz w:val="24"/>
          <w:szCs w:val="24"/>
        </w:rPr>
        <w:t>primarily cultured astrocytes model</w:t>
      </w:r>
      <w:r>
        <w:rPr>
          <w:rFonts w:ascii="Times New Roman" w:hAnsi="Times New Roman" w:cs="Times New Roman" w:hint="eastAsia"/>
          <w:sz w:val="24"/>
          <w:szCs w:val="24"/>
        </w:rPr>
        <w:t>. B: CCK-8 test for</w:t>
      </w:r>
      <w:r>
        <w:rPr>
          <w:rFonts w:ascii="Times New Roman" w:hAnsi="Times New Roman" w:cs="Times New Roman"/>
          <w:sz w:val="24"/>
          <w:szCs w:val="24"/>
        </w:rPr>
        <w:t xml:space="preserve"> primarily cultured astrocytes exposed to</w:t>
      </w:r>
      <w:r>
        <w:rPr>
          <w:rFonts w:ascii="Times New Roman" w:hAnsi="Times New Roman" w:cs="Times New Roman" w:hint="eastAsia"/>
          <w:sz w:val="24"/>
          <w:szCs w:val="24"/>
        </w:rPr>
        <w:t xml:space="preserve"> different concentrations of PM</w:t>
      </w:r>
      <w:r>
        <w:rPr>
          <w:rFonts w:ascii="Times New Roman" w:hAnsi="Times New Roman" w:cs="Times New Roman" w:hint="eastAsia"/>
          <w:sz w:val="24"/>
          <w:szCs w:val="24"/>
          <w:vertAlign w:val="subscript"/>
        </w:rPr>
        <w:t xml:space="preserve">2.5 </w:t>
      </w:r>
      <w:r>
        <w:rPr>
          <w:rFonts w:ascii="Times New Roman" w:hAnsi="Times New Roman" w:cs="Times New Roman"/>
          <w:sz w:val="24"/>
          <w:szCs w:val="24"/>
        </w:rPr>
        <w:t xml:space="preserve">(n =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/group,</w:t>
      </w:r>
      <w:r>
        <w:rPr>
          <w:rFonts w:ascii="Times New Roman" w:hAnsi="Times New Roman" w:cs="Times New Roman"/>
          <w:i/>
          <w:sz w:val="24"/>
          <w:szCs w:val="24"/>
        </w:rPr>
        <w:t xml:space="preserve"> t</w:t>
      </w:r>
      <w:r>
        <w:rPr>
          <w:rFonts w:ascii="Times New Roman" w:hAnsi="Times New Roman" w:cs="Times New Roman"/>
          <w:sz w:val="24"/>
          <w:szCs w:val="24"/>
        </w:rPr>
        <w:t>-test)</w:t>
      </w:r>
      <w:r>
        <w:rPr>
          <w:rFonts w:ascii="Times New Roman" w:hAnsi="Times New Roman" w:cs="Times New Roman" w:hint="eastAsia"/>
          <w:sz w:val="24"/>
          <w:szCs w:val="24"/>
        </w:rPr>
        <w:t>. C</w:t>
      </w:r>
      <w:r>
        <w:rPr>
          <w:rFonts w:ascii="Times New Roman" w:hAnsi="Times New Roman" w:cs="Times New Roman"/>
          <w:sz w:val="24"/>
          <w:szCs w:val="24"/>
        </w:rPr>
        <w:t xml:space="preserve">: mRNA expression of </w:t>
      </w:r>
      <w:r>
        <w:rPr>
          <w:rFonts w:ascii="Times New Roman" w:hAnsi="Times New Roman" w:cs="Times New Roman"/>
          <w:i/>
          <w:sz w:val="24"/>
          <w:szCs w:val="24"/>
        </w:rPr>
        <w:t>Gfap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>
        <w:rPr>
          <w:rFonts w:ascii="Times New Roman" w:hAnsi="Times New Roman" w:cs="Times New Roman"/>
          <w:i/>
          <w:sz w:val="24"/>
          <w:szCs w:val="24"/>
        </w:rPr>
        <w:t>C3</w:t>
      </w:r>
      <w:r>
        <w:rPr>
          <w:rFonts w:ascii="Times New Roman" w:hAnsi="Times New Roman" w:cs="Times New Roman"/>
          <w:sz w:val="24"/>
          <w:szCs w:val="24"/>
        </w:rPr>
        <w:t xml:space="preserve">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 (n = 3/group, one-way ANOVA).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: Co-expression of C3 and GFAP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exposure. 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: Protein levels of Nrf2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exposure. </w:t>
      </w:r>
      <w:r>
        <w:rPr>
          <w:rFonts w:ascii="Times New Roman" w:hAnsi="Times New Roman" w:cs="Times New Roman" w:hint="eastAsia"/>
          <w:sz w:val="24"/>
          <w:szCs w:val="24"/>
        </w:rPr>
        <w:t>F</w:t>
      </w:r>
      <w:r>
        <w:rPr>
          <w:rFonts w:ascii="Times New Roman" w:hAnsi="Times New Roman" w:cs="Times New Roman"/>
          <w:sz w:val="24"/>
          <w:szCs w:val="24"/>
        </w:rPr>
        <w:t>: Nrf2 pathway gene expression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 (n = 3/group, one-way ANOVA). </w:t>
      </w:r>
      <w:r>
        <w:rPr>
          <w:rFonts w:ascii="Times New Roman" w:hAnsi="Times New Roman" w:cs="Times New Roman" w:hint="eastAsia"/>
          <w:sz w:val="24"/>
          <w:szCs w:val="24"/>
        </w:rPr>
        <w:t>G</w:t>
      </w:r>
      <w:r>
        <w:rPr>
          <w:rFonts w:ascii="Times New Roman" w:hAnsi="Times New Roman" w:cs="Times New Roman"/>
          <w:sz w:val="24"/>
          <w:szCs w:val="24"/>
        </w:rPr>
        <w:t>: Co-expression of Nrf2 and GFAP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exposure. </w:t>
      </w:r>
      <w:r>
        <w:rPr>
          <w:rFonts w:ascii="Times New Roman" w:hAnsi="Times New Roman" w:cs="Times New Roman" w:hint="eastAsia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: Capacities of catalase and SOD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 (n = 3/group, one-way ANOVA).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: ROS generation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 (n=3/group, one-way ANOVA). 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&lt;0.05, **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&lt;0.01, ***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</w:t>
      </w:r>
    </w:p>
    <w:p w14:paraId="7C8B72F6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</w:p>
    <w:p w14:paraId="0CC63AE9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S5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BCEB3B8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A: The </w:t>
      </w:r>
      <w:r>
        <w:rPr>
          <w:rFonts w:ascii="Times New Roman" w:hAnsi="Times New Roman" w:cs="Times New Roman"/>
          <w:sz w:val="24"/>
          <w:szCs w:val="24"/>
        </w:rPr>
        <w:t>daily concentrations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its components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from TAP</w:t>
      </w:r>
      <w:r>
        <w:rPr>
          <w:rFonts w:ascii="Times New Roman" w:hAnsi="Times New Roman" w:cs="Times New Roman" w:hint="eastAsia"/>
          <w:sz w:val="24"/>
          <w:szCs w:val="24"/>
        </w:rPr>
        <w:t xml:space="preserve"> data (</w:t>
      </w:r>
      <w:r>
        <w:rPr>
          <w:rFonts w:ascii="Times New Roman" w:hAnsi="Times New Roman" w:cs="Times New Roman"/>
          <w:sz w:val="24"/>
          <w:szCs w:val="24"/>
        </w:rPr>
        <w:t>Sulfate (SO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2−</w:t>
      </w:r>
      <w:r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nitrate (NO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>
        <w:rPr>
          <w:rFonts w:ascii="Times New Roman" w:hAnsi="Times New Roman" w:cs="Times New Roman"/>
          <w:sz w:val="24"/>
          <w:szCs w:val="24"/>
        </w:rPr>
        <w:t>), ammonium (NH4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>), organic matter (OM), and black carbon (BC)</w:t>
      </w:r>
      <w:r>
        <w:rPr>
          <w:rFonts w:ascii="Times New Roman" w:hAnsi="Times New Roman" w:cs="Times New Roman" w:hint="eastAsia"/>
          <w:sz w:val="24"/>
          <w:szCs w:val="24"/>
        </w:rPr>
        <w:t xml:space="preserve">). B: </w:t>
      </w:r>
      <w:r>
        <w:rPr>
          <w:rFonts w:ascii="Times New Roman" w:hAnsi="Times New Roman" w:cs="Times New Roman"/>
          <w:sz w:val="24"/>
          <w:szCs w:val="24"/>
        </w:rPr>
        <w:t xml:space="preserve">mRNA expression levels of </w:t>
      </w:r>
      <w:r>
        <w:rPr>
          <w:rFonts w:ascii="Times New Roman" w:hAnsi="Times New Roman" w:cs="Times New Roman" w:hint="eastAsia"/>
          <w:sz w:val="24"/>
          <w:szCs w:val="24"/>
        </w:rPr>
        <w:t>genes</w:t>
      </w:r>
      <w:r>
        <w:rPr>
          <w:rFonts w:ascii="Times New Roman" w:hAnsi="Times New Roman" w:cs="Times New Roman"/>
          <w:sz w:val="24"/>
          <w:szCs w:val="24"/>
        </w:rPr>
        <w:t xml:space="preserve"> enriched</w:t>
      </w:r>
      <w:r>
        <w:rPr>
          <w:rFonts w:ascii="Times New Roman" w:hAnsi="Times New Roman" w:cs="Times New Roman" w:hint="eastAsia"/>
          <w:sz w:val="24"/>
          <w:szCs w:val="24"/>
        </w:rPr>
        <w:t xml:space="preserve"> in </w:t>
      </w:r>
      <w:r>
        <w:rPr>
          <w:rFonts w:ascii="Times New Roman" w:hAnsi="Times New Roman" w:cs="Times New Roman"/>
          <w:sz w:val="24"/>
          <w:szCs w:val="24"/>
        </w:rPr>
        <w:t>chemokine signaling</w:t>
      </w:r>
      <w:r>
        <w:rPr>
          <w:rFonts w:ascii="Times New Roman" w:hAnsi="Times New Roman" w:cs="Times New Roman" w:hint="eastAsia"/>
          <w:sz w:val="24"/>
          <w:szCs w:val="24"/>
        </w:rPr>
        <w:t xml:space="preserve"> pathway</w:t>
      </w:r>
      <w:r>
        <w:rPr>
          <w:rFonts w:ascii="Times New Roman" w:hAnsi="Times New Roman" w:cs="Times New Roman"/>
          <w:sz w:val="24"/>
          <w:szCs w:val="24"/>
        </w:rPr>
        <w:t xml:space="preserve">(n = </w:t>
      </w:r>
      <w:r>
        <w:rPr>
          <w:rFonts w:ascii="Times New Roman" w:hAnsi="Times New Roman" w:cs="Times New Roman" w:hint="eastAsia"/>
          <w:sz w:val="24"/>
          <w:szCs w:val="24"/>
        </w:rPr>
        <w:t>5</w:t>
      </w:r>
      <w:r>
        <w:rPr>
          <w:rFonts w:ascii="Times New Roman" w:hAnsi="Times New Roman" w:cs="Times New Roman"/>
          <w:sz w:val="24"/>
          <w:szCs w:val="24"/>
        </w:rPr>
        <w:t>/group,</w:t>
      </w:r>
      <w:r>
        <w:rPr>
          <w:rFonts w:ascii="Times New Roman" w:hAnsi="Times New Roman" w:cs="Times New Roman"/>
          <w:i/>
          <w:sz w:val="24"/>
          <w:szCs w:val="24"/>
        </w:rPr>
        <w:t xml:space="preserve"> t</w:t>
      </w:r>
      <w:r>
        <w:rPr>
          <w:rFonts w:ascii="Times New Roman" w:hAnsi="Times New Roman" w:cs="Times New Roman"/>
          <w:sz w:val="24"/>
          <w:szCs w:val="24"/>
        </w:rPr>
        <w:t>-test)</w:t>
      </w:r>
      <w:r>
        <w:rPr>
          <w:rFonts w:ascii="Times New Roman" w:hAnsi="Times New Roman" w:cs="Times New Roman" w:hint="eastAsia"/>
          <w:sz w:val="24"/>
          <w:szCs w:val="24"/>
        </w:rPr>
        <w:t xml:space="preserve"> . </w:t>
      </w:r>
      <w:r>
        <w:rPr>
          <w:rFonts w:ascii="Times New Roman" w:hAnsi="Times New Roman" w:cs="Times New Roman"/>
          <w:sz w:val="24"/>
          <w:szCs w:val="24"/>
        </w:rPr>
        <w:t xml:space="preserve">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&lt;0.05, **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&lt;0.01, ***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</w:t>
      </w:r>
    </w:p>
    <w:p w14:paraId="33D160BA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</w:p>
    <w:p w14:paraId="027892F8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S6 </w:t>
      </w:r>
      <w:r>
        <w:rPr>
          <w:rFonts w:ascii="Times New Roman" w:hAnsi="Times New Roman" w:cs="Times New Roman"/>
          <w:b/>
          <w:sz w:val="24"/>
          <w:szCs w:val="24"/>
        </w:rPr>
        <w:t>Activation of Nrf2 hampered A1 polarization of astrocytes during PM</w:t>
      </w:r>
      <w:r>
        <w:rPr>
          <w:rFonts w:ascii="Times New Roman" w:hAnsi="Times New Roman" w:cs="Times New Roman"/>
          <w:b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b/>
          <w:sz w:val="24"/>
          <w:szCs w:val="24"/>
        </w:rPr>
        <w:t xml:space="preserve"> exposure. </w:t>
      </w:r>
    </w:p>
    <w:p w14:paraId="66AAEDF0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A: </w:t>
      </w:r>
      <w:r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 w:hint="eastAsia"/>
          <w:sz w:val="24"/>
          <w:szCs w:val="24"/>
        </w:rPr>
        <w:t xml:space="preserve">ypothesis for </w:t>
      </w:r>
      <w:r>
        <w:rPr>
          <w:rFonts w:ascii="Times New Roman" w:hAnsi="Times New Roman" w:cs="Times New Roman"/>
          <w:sz w:val="24"/>
          <w:szCs w:val="24"/>
        </w:rPr>
        <w:t>the role of</w:t>
      </w:r>
      <w:r>
        <w:rPr>
          <w:rFonts w:ascii="Times New Roman" w:hAnsi="Times New Roman" w:cs="Times New Roman" w:hint="eastAsia"/>
          <w:sz w:val="24"/>
          <w:szCs w:val="24"/>
        </w:rPr>
        <w:t xml:space="preserve"> astrocytic Nrf2 play</w:t>
      </w:r>
      <w:r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during</w:t>
      </w:r>
      <w:r>
        <w:rPr>
          <w:rFonts w:ascii="Times New Roman" w:hAnsi="Times New Roman" w:cs="Times New Roman" w:hint="eastAsia"/>
          <w:sz w:val="24"/>
          <w:szCs w:val="24"/>
        </w:rPr>
        <w:t xml:space="preserve"> PM</w:t>
      </w:r>
      <w:r>
        <w:rPr>
          <w:rFonts w:ascii="Times New Roman" w:hAnsi="Times New Roman" w:cs="Times New Roman" w:hint="eastAsia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exposure</w:t>
      </w:r>
      <w:r>
        <w:rPr>
          <w:rFonts w:ascii="Times New Roman" w:hAnsi="Times New Roman" w:cs="Times New Roman" w:hint="eastAsia"/>
          <w:sz w:val="24"/>
          <w:szCs w:val="24"/>
        </w:rPr>
        <w:t>. B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 w:hint="eastAsia"/>
          <w:sz w:val="24"/>
          <w:szCs w:val="24"/>
        </w:rPr>
        <w:t xml:space="preserve"> CCK-8 test for</w:t>
      </w:r>
      <w:r>
        <w:rPr>
          <w:rFonts w:ascii="Times New Roman" w:hAnsi="Times New Roman" w:cs="Times New Roman"/>
          <w:sz w:val="24"/>
          <w:szCs w:val="24"/>
        </w:rPr>
        <w:t xml:space="preserve"> primarily cultured astrocytes exposed to</w:t>
      </w:r>
      <w:r>
        <w:rPr>
          <w:rFonts w:ascii="Times New Roman" w:hAnsi="Times New Roman" w:cs="Times New Roman" w:hint="eastAsia"/>
          <w:sz w:val="24"/>
          <w:szCs w:val="24"/>
        </w:rPr>
        <w:t xml:space="preserve"> different concentrations of DMF</w:t>
      </w:r>
      <w:r>
        <w:rPr>
          <w:rFonts w:ascii="Times New Roman" w:hAnsi="Times New Roman" w:cs="Times New Roman"/>
          <w:sz w:val="24"/>
          <w:szCs w:val="24"/>
        </w:rPr>
        <w:t xml:space="preserve"> (n = </w:t>
      </w:r>
      <w:r>
        <w:rPr>
          <w:rFonts w:ascii="Times New Roman" w:hAnsi="Times New Roman" w:cs="Times New Roman" w:hint="eastAsia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/group,</w:t>
      </w:r>
      <w:r>
        <w:rPr>
          <w:rFonts w:ascii="Times New Roman" w:hAnsi="Times New Roman" w:cs="Times New Roman"/>
          <w:i/>
          <w:sz w:val="24"/>
          <w:szCs w:val="24"/>
        </w:rPr>
        <w:t xml:space="preserve"> t</w:t>
      </w:r>
      <w:r>
        <w:rPr>
          <w:rFonts w:ascii="Times New Roman" w:hAnsi="Times New Roman" w:cs="Times New Roman"/>
          <w:sz w:val="24"/>
          <w:szCs w:val="24"/>
        </w:rPr>
        <w:t>-test)</w:t>
      </w:r>
      <w:r>
        <w:rPr>
          <w:rFonts w:ascii="Times New Roman" w:hAnsi="Times New Roman" w:cs="Times New Roman" w:hint="eastAsia"/>
          <w:sz w:val="24"/>
          <w:szCs w:val="24"/>
        </w:rPr>
        <w:t xml:space="preserve"> C:</w:t>
      </w:r>
      <w:r>
        <w:rPr>
          <w:rFonts w:ascii="Times New Roman" w:hAnsi="Times New Roman" w:cs="Times New Roman"/>
          <w:sz w:val="24"/>
          <w:szCs w:val="24"/>
        </w:rPr>
        <w:t xml:space="preserve">Nrf2 pathway gene expression in primarily cultured astrocytes </w:t>
      </w:r>
      <w:r>
        <w:rPr>
          <w:rFonts w:ascii="Times New Roman" w:hAnsi="Times New Roman" w:cs="Times New Roman" w:hint="eastAsia"/>
          <w:sz w:val="24"/>
          <w:szCs w:val="24"/>
        </w:rPr>
        <w:t>after</w:t>
      </w:r>
      <w:r>
        <w:rPr>
          <w:rFonts w:ascii="Times New Roman" w:hAnsi="Times New Roman" w:cs="Times New Roman"/>
          <w:sz w:val="24"/>
          <w:szCs w:val="24"/>
        </w:rPr>
        <w:t xml:space="preserve">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or without DMF treatment</w:t>
      </w:r>
      <w:r>
        <w:rPr>
          <w:rFonts w:ascii="Times New Roman" w:hAnsi="Times New Roman" w:cs="Times New Roman"/>
          <w:sz w:val="24"/>
          <w:szCs w:val="24"/>
        </w:rPr>
        <w:t xml:space="preserve"> (n=3/group, one-way ANOVA).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: Protein levels of Nrf2</w:t>
      </w:r>
      <w:r>
        <w:rPr>
          <w:rFonts w:ascii="Times New Roman" w:hAnsi="Times New Roman" w:cs="Times New Roman" w:hint="eastAsia"/>
          <w:sz w:val="24"/>
          <w:szCs w:val="24"/>
        </w:rPr>
        <w:t>, HO-1, Nqo-1</w:t>
      </w:r>
      <w:r>
        <w:rPr>
          <w:rFonts w:ascii="Times New Roman" w:hAnsi="Times New Roman" w:cs="Times New Roman"/>
          <w:sz w:val="24"/>
          <w:szCs w:val="24"/>
        </w:rPr>
        <w:t xml:space="preserve">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or without DMF treatment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/>
          <w:sz w:val="24"/>
          <w:szCs w:val="24"/>
        </w:rPr>
        <w:t>: Co-expression of C3 and GFAP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exposure. </w:t>
      </w:r>
      <w:r>
        <w:rPr>
          <w:rFonts w:ascii="Times New Roman" w:hAnsi="Times New Roman" w:cs="Times New Roman" w:hint="eastAsia"/>
          <w:sz w:val="24"/>
          <w:szCs w:val="24"/>
        </w:rPr>
        <w:t xml:space="preserve">F: </w:t>
      </w:r>
      <w:r>
        <w:rPr>
          <w:rFonts w:ascii="Times New Roman" w:hAnsi="Times New Roman" w:cs="Times New Roman"/>
          <w:sz w:val="24"/>
          <w:szCs w:val="24"/>
        </w:rPr>
        <w:t xml:space="preserve">Protein levels of </w:t>
      </w:r>
      <w:r>
        <w:rPr>
          <w:rFonts w:ascii="Times New Roman" w:hAnsi="Times New Roman" w:cs="Times New Roman" w:hint="eastAsia"/>
          <w:sz w:val="24"/>
          <w:szCs w:val="24"/>
        </w:rPr>
        <w:t>C3</w:t>
      </w:r>
      <w:r>
        <w:rPr>
          <w:rFonts w:ascii="Times New Roman" w:hAnsi="Times New Roman" w:cs="Times New Roman"/>
          <w:sz w:val="24"/>
          <w:szCs w:val="24"/>
        </w:rPr>
        <w:t xml:space="preserve">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or without DMF treatment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G</w:t>
      </w:r>
      <w:r>
        <w:rPr>
          <w:rFonts w:ascii="Times New Roman" w:hAnsi="Times New Roman" w:cs="Times New Roman"/>
          <w:sz w:val="24"/>
          <w:szCs w:val="24"/>
        </w:rPr>
        <w:t xml:space="preserve">: Co-expression of </w:t>
      </w:r>
      <w:r>
        <w:rPr>
          <w:rFonts w:ascii="Times New Roman" w:hAnsi="Times New Roman" w:cs="Times New Roman" w:hint="eastAsia"/>
          <w:sz w:val="24"/>
          <w:szCs w:val="24"/>
        </w:rPr>
        <w:t>C3</w:t>
      </w:r>
      <w:r>
        <w:rPr>
          <w:rFonts w:ascii="Times New Roman" w:hAnsi="Times New Roman" w:cs="Times New Roman"/>
          <w:sz w:val="24"/>
          <w:szCs w:val="24"/>
        </w:rPr>
        <w:t xml:space="preserve"> and GFAP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or without DMF treatment</w:t>
      </w:r>
      <w:r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 w:hint="eastAsia"/>
          <w:sz w:val="24"/>
          <w:szCs w:val="24"/>
        </w:rPr>
        <w:t xml:space="preserve"> H</w:t>
      </w:r>
      <w:r>
        <w:rPr>
          <w:rFonts w:ascii="Times New Roman" w:hAnsi="Times New Roman" w:cs="Times New Roman"/>
          <w:sz w:val="24"/>
          <w:szCs w:val="24"/>
        </w:rPr>
        <w:t>: ROS generation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or without DMF treatment</w:t>
      </w:r>
      <w:r>
        <w:rPr>
          <w:rFonts w:ascii="Times New Roman" w:hAnsi="Times New Roman" w:cs="Times New Roman"/>
          <w:sz w:val="24"/>
          <w:szCs w:val="24"/>
        </w:rPr>
        <w:t xml:space="preserve"> (n=3/group, one-way ANOVA). </w:t>
      </w:r>
      <w:r>
        <w:rPr>
          <w:rFonts w:ascii="Times New Roman" w:hAnsi="Times New Roman" w:cs="Times New Roman" w:hint="eastAsia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Capacities of catalase and SOD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</w:t>
      </w:r>
      <w:r>
        <w:rPr>
          <w:rFonts w:ascii="Times New Roman" w:hAnsi="Times New Roman" w:cs="Times New Roman" w:hint="eastAsia"/>
          <w:sz w:val="24"/>
          <w:szCs w:val="24"/>
        </w:rPr>
        <w:t xml:space="preserve"> with or without DMF treatment</w:t>
      </w:r>
      <w:r>
        <w:rPr>
          <w:rFonts w:ascii="Times New Roman" w:hAnsi="Times New Roman" w:cs="Times New Roman"/>
          <w:sz w:val="24"/>
          <w:szCs w:val="24"/>
        </w:rPr>
        <w:t xml:space="preserve"> (n=3/group, one-way ANOVA). </w:t>
      </w:r>
      <w:r>
        <w:rPr>
          <w:rFonts w:ascii="Times New Roman" w:hAnsi="Times New Roman" w:cs="Times New Roman" w:hint="eastAsia"/>
          <w:sz w:val="24"/>
          <w:szCs w:val="24"/>
        </w:rPr>
        <w:t>J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 w:hint="eastAsia"/>
          <w:sz w:val="24"/>
          <w:szCs w:val="24"/>
        </w:rPr>
        <w:t>Schematic illustration for astrocytic Nrf2 activation played a protective role in PM</w:t>
      </w:r>
      <w:r>
        <w:rPr>
          <w:rFonts w:ascii="Times New Roman" w:hAnsi="Times New Roman" w:cs="Times New Roman" w:hint="eastAsia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 w:hint="eastAsia"/>
          <w:sz w:val="24"/>
          <w:szCs w:val="24"/>
        </w:rPr>
        <w:t xml:space="preserve"> trea</w:t>
      </w:r>
      <w:r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 w:hint="eastAsia"/>
          <w:sz w:val="24"/>
          <w:szCs w:val="24"/>
        </w:rPr>
        <w:t>ment</w:t>
      </w:r>
      <w:r>
        <w:rPr>
          <w:rFonts w:ascii="Times New Roman" w:hAnsi="Times New Roman" w:cs="Times New Roman"/>
          <w:sz w:val="24"/>
          <w:szCs w:val="24"/>
        </w:rPr>
        <w:t xml:space="preserve">. 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&lt;0.05, **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&lt;0.01, ***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</w:t>
      </w:r>
    </w:p>
    <w:p w14:paraId="4676F2B8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</w:p>
    <w:p w14:paraId="5C4A6837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S7</w:t>
      </w:r>
    </w:p>
    <w:p w14:paraId="2D8CEAFC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 w:hint="eastAsia"/>
          <w:sz w:val="24"/>
          <w:szCs w:val="24"/>
        </w:rPr>
        <w:t xml:space="preserve"> CCK-8 test for </w:t>
      </w:r>
      <w:r>
        <w:rPr>
          <w:rFonts w:ascii="Times New Roman" w:hAnsi="Times New Roman" w:cs="Times New Roman"/>
          <w:sz w:val="24"/>
          <w:szCs w:val="24"/>
        </w:rPr>
        <w:t>primarily cultured astrocytes exposed to</w:t>
      </w:r>
      <w:r>
        <w:rPr>
          <w:rFonts w:ascii="Times New Roman" w:hAnsi="Times New Roman" w:cs="Times New Roman" w:hint="eastAsia"/>
          <w:sz w:val="24"/>
          <w:szCs w:val="24"/>
        </w:rPr>
        <w:t xml:space="preserve"> different concentrations of phytochemicals (PC, LBP, and phillyrin).</w:t>
      </w:r>
      <w:r>
        <w:rPr>
          <w:rFonts w:ascii="Times New Roman" w:hAnsi="Times New Roman" w:cs="Times New Roman" w:hint="eastAsia"/>
          <w:bCs/>
          <w:sz w:val="24"/>
          <w:szCs w:val="24"/>
        </w:rPr>
        <w:t xml:space="preserve"> B: </w:t>
      </w:r>
      <w:r>
        <w:rPr>
          <w:rFonts w:ascii="Times New Roman" w:hAnsi="Times New Roman" w:cs="Times New Roman"/>
          <w:sz w:val="24"/>
          <w:szCs w:val="24"/>
        </w:rPr>
        <w:t xml:space="preserve">Protein levels of </w:t>
      </w:r>
      <w:r>
        <w:rPr>
          <w:rFonts w:ascii="Times New Roman" w:hAnsi="Times New Roman" w:cs="Times New Roman" w:hint="eastAsia"/>
          <w:sz w:val="24"/>
          <w:szCs w:val="24"/>
        </w:rPr>
        <w:t>C3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Nrf2 in primarily cultured astrocytes after </w:t>
      </w:r>
      <w:r>
        <w:rPr>
          <w:rFonts w:ascii="Times New Roman" w:hAnsi="Times New Roman" w:cs="Times New Roman" w:hint="eastAsia"/>
          <w:sz w:val="24"/>
          <w:szCs w:val="24"/>
        </w:rPr>
        <w:t>PC or LBP treatment. C</w:t>
      </w:r>
      <w:r>
        <w:rPr>
          <w:rFonts w:ascii="Times New Roman" w:hAnsi="Times New Roman" w:cs="Times New Roman"/>
          <w:sz w:val="24"/>
          <w:szCs w:val="24"/>
        </w:rPr>
        <w:t>: Capacities of catalase and SOD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 (n = 3/group, one-way ANOVA). </w:t>
      </w:r>
      <w:r>
        <w:rPr>
          <w:rFonts w:ascii="Times New Roman" w:hAnsi="Times New Roman" w:cs="Times New Roman" w:hint="eastAsia"/>
          <w:sz w:val="24"/>
          <w:szCs w:val="24"/>
        </w:rPr>
        <w:t>D</w:t>
      </w:r>
      <w:r>
        <w:rPr>
          <w:rFonts w:ascii="Times New Roman" w:hAnsi="Times New Roman" w:cs="Times New Roman"/>
          <w:sz w:val="24"/>
          <w:szCs w:val="24"/>
        </w:rPr>
        <w:t>: ROS generation in primarily cultured astrocytes after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exposure (n=3/group, one-way ANOVA). 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&lt;0.05, **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&lt;0.01, ***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</w:t>
      </w:r>
    </w:p>
    <w:p w14:paraId="121F99B2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</w:p>
    <w:p w14:paraId="6157F477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S8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64A58EB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A: The </w:t>
      </w:r>
      <w:r>
        <w:rPr>
          <w:rFonts w:ascii="Times New Roman" w:hAnsi="Times New Roman" w:cs="Times New Roman"/>
          <w:sz w:val="24"/>
          <w:szCs w:val="24"/>
        </w:rPr>
        <w:t>daily concentrations</w:t>
      </w:r>
      <w:r>
        <w:rPr>
          <w:rFonts w:ascii="Times New Roman" w:hAnsi="Times New Roman" w:cs="Times New Roman" w:hint="eastAsia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PM</w:t>
      </w:r>
      <w:r>
        <w:rPr>
          <w:rFonts w:ascii="Times New Roman" w:hAnsi="Times New Roman" w:cs="Times New Roman"/>
          <w:sz w:val="24"/>
          <w:szCs w:val="24"/>
          <w:vertAlign w:val="subscript"/>
        </w:rPr>
        <w:t>2.5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and </w:t>
      </w:r>
      <w:r>
        <w:rPr>
          <w:rFonts w:ascii="Times New Roman" w:hAnsi="Times New Roman" w:cs="Times New Roman"/>
          <w:sz w:val="24"/>
          <w:szCs w:val="24"/>
        </w:rPr>
        <w:t>its components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from TAP</w:t>
      </w:r>
      <w:r>
        <w:rPr>
          <w:rFonts w:ascii="Times New Roman" w:hAnsi="Times New Roman" w:cs="Times New Roman" w:hint="eastAsia"/>
          <w:sz w:val="24"/>
          <w:szCs w:val="24"/>
        </w:rPr>
        <w:t xml:space="preserve"> data (</w:t>
      </w:r>
      <w:r>
        <w:rPr>
          <w:rFonts w:ascii="Times New Roman" w:hAnsi="Times New Roman" w:cs="Times New Roman"/>
          <w:sz w:val="24"/>
          <w:szCs w:val="24"/>
        </w:rPr>
        <w:t>Sulfate (SO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2−</w:t>
      </w:r>
      <w:r>
        <w:rPr>
          <w:rFonts w:ascii="Times New Roman" w:hAnsi="Times New Roman" w:cs="Times New Roman"/>
          <w:sz w:val="24"/>
          <w:szCs w:val="24"/>
        </w:rPr>
        <w:t>),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nitrate (NO</w:t>
      </w:r>
      <w:r>
        <w:rPr>
          <w:rFonts w:ascii="Times New Roman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−</w:t>
      </w:r>
      <w:r>
        <w:rPr>
          <w:rFonts w:ascii="Times New Roman" w:hAnsi="Times New Roman" w:cs="Times New Roman"/>
          <w:sz w:val="24"/>
          <w:szCs w:val="24"/>
        </w:rPr>
        <w:t>), ammonium (NH4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), organic matter (OM), and black carbon </w:t>
      </w:r>
      <w:r>
        <w:rPr>
          <w:rFonts w:ascii="Times New Roman" w:hAnsi="Times New Roman" w:cs="Times New Roman"/>
          <w:sz w:val="24"/>
          <w:szCs w:val="24"/>
        </w:rPr>
        <w:lastRenderedPageBreak/>
        <w:t>(BC)</w:t>
      </w:r>
      <w:r>
        <w:rPr>
          <w:rFonts w:ascii="Times New Roman" w:hAnsi="Times New Roman" w:cs="Times New Roman" w:hint="eastAsia"/>
          <w:sz w:val="24"/>
          <w:szCs w:val="24"/>
        </w:rPr>
        <w:t xml:space="preserve">). B: The </w:t>
      </w:r>
      <w:r>
        <w:rPr>
          <w:rFonts w:ascii="Times New Roman" w:hAnsi="Times New Roman" w:cs="Times New Roman"/>
          <w:sz w:val="24"/>
          <w:szCs w:val="24"/>
        </w:rPr>
        <w:t>weight of mice after 15 weeks of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2.5 </w:t>
      </w:r>
      <w:r>
        <w:rPr>
          <w:rFonts w:ascii="Times New Roman" w:hAnsi="Times New Roman" w:cs="Times New Roman"/>
          <w:sz w:val="24"/>
          <w:szCs w:val="24"/>
        </w:rPr>
        <w:t>exposure, with or without PC supplement.</w:t>
      </w:r>
    </w:p>
    <w:p w14:paraId="6D41E11F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</w:p>
    <w:p w14:paraId="1366537B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S9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579D5AD7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GFAP expression in murine CA</w:t>
      </w:r>
      <w:r>
        <w:rPr>
          <w:rFonts w:ascii="Times New Roman" w:hAnsi="Times New Roman" w:cs="Times New Roman" w:hint="eastAsia"/>
          <w:sz w:val="24"/>
          <w:szCs w:val="24"/>
        </w:rPr>
        <w:t>3 and DG</w:t>
      </w:r>
      <w:r>
        <w:rPr>
          <w:rFonts w:ascii="Times New Roman" w:hAnsi="Times New Roman" w:cs="Times New Roman"/>
          <w:sz w:val="24"/>
          <w:szCs w:val="24"/>
        </w:rPr>
        <w:t xml:space="preserve"> region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after 15-weeks of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2.5 </w:t>
      </w:r>
      <w:r>
        <w:rPr>
          <w:rFonts w:ascii="Times New Roman" w:hAnsi="Times New Roman" w:cs="Times New Roman"/>
          <w:sz w:val="24"/>
          <w:szCs w:val="24"/>
        </w:rPr>
        <w:t xml:space="preserve">exposure, with or without PC supplement (n = 5/group, one-way ANOVA). 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&lt;0.05, **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&lt;0.01, ***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</w:t>
      </w:r>
    </w:p>
    <w:p w14:paraId="4AB2DD0C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</w:p>
    <w:p w14:paraId="4AD6E143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sz w:val="24"/>
          <w:szCs w:val="24"/>
        </w:rPr>
        <w:t>0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08CA141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C3 expression in murine CA</w:t>
      </w:r>
      <w:r>
        <w:rPr>
          <w:rFonts w:ascii="Times New Roman" w:hAnsi="Times New Roman" w:cs="Times New Roman" w:hint="eastAsia"/>
          <w:sz w:val="24"/>
          <w:szCs w:val="24"/>
        </w:rPr>
        <w:t>3 and DG</w:t>
      </w:r>
      <w:r>
        <w:rPr>
          <w:rFonts w:ascii="Times New Roman" w:hAnsi="Times New Roman" w:cs="Times New Roman"/>
          <w:sz w:val="24"/>
          <w:szCs w:val="24"/>
        </w:rPr>
        <w:t xml:space="preserve"> region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after 15-weeks of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2.5 </w:t>
      </w:r>
      <w:r>
        <w:rPr>
          <w:rFonts w:ascii="Times New Roman" w:hAnsi="Times New Roman" w:cs="Times New Roman"/>
          <w:sz w:val="24"/>
          <w:szCs w:val="24"/>
        </w:rPr>
        <w:t xml:space="preserve">exposure, with or without PC supplement (n = 5/group, one-way ANOVA). 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&lt;0.05, **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 xml:space="preserve">&lt;0.01, *** </w:t>
      </w:r>
      <w:r>
        <w:rPr>
          <w:rFonts w:ascii="Times New Roman" w:hAnsi="Times New Roman" w:cs="Times New Roman"/>
          <w:i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&lt;0.001</w:t>
      </w:r>
    </w:p>
    <w:p w14:paraId="1E131341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</w:p>
    <w:p w14:paraId="5CD679E1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2B0EA1B4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Co-expression of GFAP and C3 in murine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CA</w:t>
      </w:r>
      <w:r>
        <w:rPr>
          <w:rFonts w:ascii="Times New Roman" w:hAnsi="Times New Roman" w:cs="Times New Roman" w:hint="eastAsia"/>
          <w:sz w:val="24"/>
          <w:szCs w:val="24"/>
        </w:rPr>
        <w:t>3 and DG</w:t>
      </w:r>
      <w:r>
        <w:rPr>
          <w:rFonts w:ascii="Times New Roman" w:hAnsi="Times New Roman" w:cs="Times New Roman"/>
          <w:sz w:val="24"/>
          <w:szCs w:val="24"/>
        </w:rPr>
        <w:t xml:space="preserve"> region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after 15-weeks of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2.5 </w:t>
      </w:r>
      <w:r>
        <w:rPr>
          <w:rFonts w:ascii="Times New Roman" w:hAnsi="Times New Roman" w:cs="Times New Roman"/>
          <w:sz w:val="24"/>
          <w:szCs w:val="24"/>
        </w:rPr>
        <w:t xml:space="preserve">exposure, with or without PC supplement. </w:t>
      </w:r>
    </w:p>
    <w:p w14:paraId="6B5E3E9F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</w:p>
    <w:p w14:paraId="19953780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0C7EE5F8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Co-expression of GFAP and </w:t>
      </w:r>
      <w:r>
        <w:rPr>
          <w:rFonts w:ascii="Times New Roman" w:hAnsi="Times New Roman" w:cs="Times New Roman" w:hint="eastAsia"/>
          <w:sz w:val="24"/>
          <w:szCs w:val="24"/>
        </w:rPr>
        <w:t>Nrf2</w:t>
      </w:r>
      <w:r>
        <w:rPr>
          <w:rFonts w:ascii="Times New Roman" w:hAnsi="Times New Roman" w:cs="Times New Roman"/>
          <w:sz w:val="24"/>
          <w:szCs w:val="24"/>
        </w:rPr>
        <w:t xml:space="preserve"> in murine</w:t>
      </w:r>
      <w:r>
        <w:rPr>
          <w:rFonts w:ascii="Times New Roman" w:hAnsi="Times New Roman" w:cs="Times New Roman" w:hint="eastAsia"/>
          <w:sz w:val="24"/>
          <w:szCs w:val="24"/>
        </w:rPr>
        <w:t xml:space="preserve">CA1, </w:t>
      </w:r>
      <w:r>
        <w:rPr>
          <w:rFonts w:ascii="Times New Roman" w:hAnsi="Times New Roman" w:cs="Times New Roman"/>
          <w:sz w:val="24"/>
          <w:szCs w:val="24"/>
        </w:rPr>
        <w:t>CA</w:t>
      </w:r>
      <w:r>
        <w:rPr>
          <w:rFonts w:ascii="Times New Roman" w:hAnsi="Times New Roman" w:cs="Times New Roman" w:hint="eastAsia"/>
          <w:sz w:val="24"/>
          <w:szCs w:val="24"/>
        </w:rPr>
        <w:t>3 and DG</w:t>
      </w:r>
      <w:r>
        <w:rPr>
          <w:rFonts w:ascii="Times New Roman" w:hAnsi="Times New Roman" w:cs="Times New Roman"/>
          <w:sz w:val="24"/>
          <w:szCs w:val="24"/>
        </w:rPr>
        <w:t xml:space="preserve"> region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after 15-weeks of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2.5 </w:t>
      </w:r>
      <w:r>
        <w:rPr>
          <w:rFonts w:ascii="Times New Roman" w:hAnsi="Times New Roman" w:cs="Times New Roman"/>
          <w:sz w:val="24"/>
          <w:szCs w:val="24"/>
        </w:rPr>
        <w:t xml:space="preserve">exposure, with or without PC supplement. </w:t>
      </w:r>
    </w:p>
    <w:p w14:paraId="7B4924F8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</w:p>
    <w:p w14:paraId="401C420B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sz w:val="24"/>
          <w:szCs w:val="24"/>
        </w:rPr>
        <w:t>3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171E74E5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ROS generation in murine CA</w:t>
      </w:r>
      <w:r>
        <w:rPr>
          <w:rFonts w:ascii="Times New Roman" w:hAnsi="Times New Roman" w:cs="Times New Roman" w:hint="eastAsia"/>
          <w:sz w:val="24"/>
          <w:szCs w:val="24"/>
        </w:rPr>
        <w:t>3 and DG</w:t>
      </w:r>
      <w:r>
        <w:rPr>
          <w:rFonts w:ascii="Times New Roman" w:hAnsi="Times New Roman" w:cs="Times New Roman"/>
          <w:sz w:val="24"/>
          <w:szCs w:val="24"/>
        </w:rPr>
        <w:t xml:space="preserve"> region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 xml:space="preserve"> after 15-weeks of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2.5 </w:t>
      </w:r>
      <w:r>
        <w:rPr>
          <w:rFonts w:ascii="Times New Roman" w:hAnsi="Times New Roman" w:cs="Times New Roman"/>
          <w:sz w:val="24"/>
          <w:szCs w:val="24"/>
        </w:rPr>
        <w:t xml:space="preserve">exposure, with or without PC supplement. </w:t>
      </w:r>
    </w:p>
    <w:p w14:paraId="067720F4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</w:p>
    <w:p w14:paraId="2337E71E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>
        <w:rPr>
          <w:rFonts w:ascii="Times New Roman" w:hAnsi="Times New Roman" w:cs="Times New Roman" w:hint="eastAsia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2AA1F66" w14:textId="77777777" w:rsidR="002A6ABA" w:rsidRDefault="002A6ABA" w:rsidP="002A6ABA">
      <w:pPr>
        <w:spacing w:line="18pt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Representative images of Nissl staining on the CA</w:t>
      </w:r>
      <w:r>
        <w:rPr>
          <w:rFonts w:ascii="Times New Roman" w:hAnsi="Times New Roman" w:cs="Times New Roman" w:hint="eastAsia"/>
          <w:sz w:val="24"/>
          <w:szCs w:val="24"/>
        </w:rPr>
        <w:t>3 and DG</w:t>
      </w:r>
      <w:r>
        <w:rPr>
          <w:rFonts w:ascii="Times New Roman" w:hAnsi="Times New Roman" w:cs="Times New Roman"/>
          <w:sz w:val="24"/>
          <w:szCs w:val="24"/>
        </w:rPr>
        <w:t xml:space="preserve"> region</w:t>
      </w:r>
      <w:r>
        <w:rPr>
          <w:rFonts w:ascii="Times New Roman" w:hAnsi="Times New Roman" w:cs="Times New Roman" w:hint="eastAsia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of mice after 15-weeks of PM</w:t>
      </w:r>
      <w:r>
        <w:rPr>
          <w:rFonts w:ascii="Times New Roman" w:hAnsi="Times New Roman" w:cs="Times New Roman"/>
          <w:sz w:val="24"/>
          <w:szCs w:val="24"/>
          <w:vertAlign w:val="subscript"/>
        </w:rPr>
        <w:t xml:space="preserve">2.5 </w:t>
      </w:r>
      <w:r>
        <w:rPr>
          <w:rFonts w:ascii="Times New Roman" w:hAnsi="Times New Roman" w:cs="Times New Roman"/>
          <w:sz w:val="24"/>
          <w:szCs w:val="24"/>
        </w:rPr>
        <w:t>exposure, with or without PC supplement.</w:t>
      </w:r>
    </w:p>
    <w:p w14:paraId="43835A0E" w14:textId="77777777" w:rsidR="002A6ABA" w:rsidRDefault="002A6ABA" w:rsidP="002A6ABA"/>
    <w:p w14:paraId="29F49A41" w14:textId="77777777" w:rsidR="008C374B" w:rsidRDefault="008C374B"/>
    <w:sectPr w:rsidR="008C374B" w:rsidSect="002A6ABA">
      <w:pgSz w:w="595.30pt" w:h="841.90pt"/>
      <w:pgMar w:top="72pt" w:right="90pt" w:bottom="72pt" w:left="90pt" w:header="42.55pt" w:footer="49.60pt" w:gutter="0pt"/>
      <w:cols w:space="21.25pt"/>
      <w:docGrid w:type="lines" w:linePitch="312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>
  <w:p w14:paraId="42ACD1B0" w14:textId="77777777" w:rsidR="00000000" w:rsidRDefault="00000000">
    <w:pPr>
      <w:pStyle w:val="Foot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919FAC3" wp14:editId="64B5C9B4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1828800" cy="1828800"/>
          <wp:effectExtent l="0" t="0" r="0" b="0"/>
          <wp:wrapNone/>
          <wp:docPr id="1" name="文本框 1"/>
          <wp:cNvGraphicFramePr/>
          <a:graphic xmlns:a="http://purl.oclc.org/ooxml/drawingml/main">
            <a:graphicData uri="http://schemas.microsoft.com/office/word/2010/wordprocessingShape">
              <wp:wsp>
                <wp:cNvSpPr txBox="1"/>
                <wp:spPr>
                  <a:xfrm>
                    <a:off x="0" y="0"/>
                    <a:ext cx="1828800" cy="1828800"/>
                  </a:xfrm>
                  <a:prstGeom prst="rect">
                    <a:avLst/>
                  </a:prstGeom>
                  <a:noFill/>
                  <a:ln w="6350">
                    <a:noFill/>
                  </a:ln>
                </wp:spPr>
                <wp:style>
                  <a:lnRef idx="0">
                    <a:schemeClr val="accent1"/>
                  </a:lnRef>
                  <a:fillRef idx="0">
                    <a:schemeClr val="accent1"/>
                  </a:fillRef>
                  <a:effectRef idx="0">
                    <a:schemeClr val="accent1"/>
                  </a:effectRef>
                  <a:fontRef idx="minor">
                    <a:schemeClr val="dk1"/>
                  </a:fontRef>
                </wp:style>
                <wp:txbx>
                  <wne:txbxContent>
                    <w:p w14:paraId="489D597E" w14:textId="77777777" w:rsidR="00000000" w:rsidRDefault="00000000">
                      <w:pPr>
                        <w:pStyle w:val="Footer"/>
                      </w:pPr>
                      <w:r>
                        <w:fldChar w:fldCharType="begin"/>
                      </w:r>
                      <w:r>
                        <w:instrText xml:space="preserve"> PAGE  \* MERGEFORMAT </w:instrText>
                      </w:r>
                      <w:r>
                        <w:fldChar w:fldCharType="separate"/>
                      </w:r>
                      <w:r>
                        <w:t>1</w:t>
                      </w:r>
                      <w:r>
                        <w:fldChar w:fldCharType="end"/>
                      </w:r>
                    </w:p>
                  </wne:txbxContent>
                </wp:txbx>
                <wp:bodyPr rot="0" spcFirstLastPara="0" vertOverflow="overflow" horzOverflow="overflow" vert="horz" wrap="none" lIns="0" tIns="0" rIns="0" bIns="0" numCol="1" spcCol="0" rtlCol="0" fromWordArt="0" anchor="t" anchorCtr="0" forceAA="0" compatLnSpc="1">
                  <a:spAutoFit/>
                </wp:bodyPr>
              </wp:wsp>
            </a:graphicData>
          </a:graphic>
        </wp:anchor>
      </w:drawing>
    </w:r>
  </w:p>
</w:ftr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ABA"/>
    <w:rsid w:val="002A5090"/>
    <w:rsid w:val="002A6ABA"/>
    <w:rsid w:val="003F36CB"/>
    <w:rsid w:val="00875400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A446E6B"/>
  <w15:chartTrackingRefBased/>
  <w15:docId w15:val="{19C7B17E-2CE3-415E-85F3-862BD98049D5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ABA"/>
    <w:pPr>
      <w:widowControl w:val="0"/>
      <w:spacing w:after="0pt" w:line="12pt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A6ABA"/>
    <w:pPr>
      <w:keepNext/>
      <w:keepLines/>
      <w:widowControl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A6ABA"/>
    <w:pPr>
      <w:keepNext/>
      <w:keepLines/>
      <w:widowControl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A6ABA"/>
    <w:pPr>
      <w:keepNext/>
      <w:keepLines/>
      <w:widowControl/>
      <w:spacing w:before="8pt" w:after="4pt" w:line="12.95pt" w:lineRule="auto"/>
      <w:jc w:val="star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A6ABA"/>
    <w:pPr>
      <w:keepNext/>
      <w:keepLines/>
      <w:widowControl/>
      <w:spacing w:before="4pt" w:after="2pt" w:line="12.95pt" w:lineRule="auto"/>
      <w:jc w:val="start"/>
      <w:outlineLvl w:val="3"/>
    </w:pPr>
    <w:rPr>
      <w:rFonts w:eastAsiaTheme="majorEastAsia" w:cstheme="majorBidi"/>
      <w:i/>
      <w:iCs/>
      <w:color w:val="0F4761" w:themeColor="accent1" w:themeShade="BF"/>
      <w:sz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A6ABA"/>
    <w:pPr>
      <w:keepNext/>
      <w:keepLines/>
      <w:widowControl/>
      <w:spacing w:before="4pt" w:after="2pt" w:line="12.95pt" w:lineRule="auto"/>
      <w:jc w:val="start"/>
      <w:outlineLvl w:val="4"/>
    </w:pPr>
    <w:rPr>
      <w:rFonts w:eastAsiaTheme="majorEastAsia" w:cstheme="majorBidi"/>
      <w:color w:val="0F4761" w:themeColor="accent1" w:themeShade="BF"/>
      <w:sz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A6ABA"/>
    <w:pPr>
      <w:keepNext/>
      <w:keepLines/>
      <w:widowControl/>
      <w:spacing w:before="2pt" w:line="12.95pt" w:lineRule="auto"/>
      <w:jc w:val="start"/>
      <w:outlineLvl w:val="5"/>
    </w:pPr>
    <w:rPr>
      <w:rFonts w:eastAsiaTheme="majorEastAsia" w:cstheme="majorBidi"/>
      <w:i/>
      <w:iCs/>
      <w:color w:val="595959" w:themeColor="text1" w:themeTint="A6"/>
      <w:sz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A6ABA"/>
    <w:pPr>
      <w:keepNext/>
      <w:keepLines/>
      <w:widowControl/>
      <w:spacing w:before="2pt" w:line="12.95pt" w:lineRule="auto"/>
      <w:jc w:val="start"/>
      <w:outlineLvl w:val="6"/>
    </w:pPr>
    <w:rPr>
      <w:rFonts w:eastAsiaTheme="majorEastAsia" w:cstheme="majorBidi"/>
      <w:color w:val="595959" w:themeColor="text1" w:themeTint="A6"/>
      <w:sz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A6ABA"/>
    <w:pPr>
      <w:keepNext/>
      <w:keepLines/>
      <w:widowControl/>
      <w:spacing w:line="12.95pt" w:lineRule="auto"/>
      <w:jc w:val="start"/>
      <w:outlineLvl w:val="7"/>
    </w:pPr>
    <w:rPr>
      <w:rFonts w:eastAsiaTheme="majorEastAsia" w:cstheme="majorBidi"/>
      <w:i/>
      <w:iCs/>
      <w:color w:val="272727" w:themeColor="text1" w:themeTint="D8"/>
      <w:sz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A6ABA"/>
    <w:pPr>
      <w:keepNext/>
      <w:keepLines/>
      <w:widowControl/>
      <w:spacing w:line="12.95pt" w:lineRule="auto"/>
      <w:jc w:val="start"/>
      <w:outlineLvl w:val="8"/>
    </w:pPr>
    <w:rPr>
      <w:rFonts w:eastAsiaTheme="majorEastAsia" w:cstheme="majorBidi"/>
      <w:color w:val="272727" w:themeColor="text1" w:themeTint="D8"/>
      <w:sz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A6AB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A6AB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A6AB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A6AB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A6AB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A6AB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A6AB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A6AB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A6AB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A6ABA"/>
    <w:pPr>
      <w:widowControl/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2A6AB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A6ABA"/>
    <w:pPr>
      <w:widowControl/>
      <w:numPr>
        <w:ilvl w:val="1"/>
      </w:numPr>
      <w:spacing w:after="8pt" w:line="12.95pt" w:lineRule="auto"/>
      <w:jc w:val="star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2A6AB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A6ABA"/>
    <w:pPr>
      <w:widowControl/>
      <w:spacing w:before="8pt" w:after="8pt" w:line="12.95pt" w:lineRule="auto"/>
      <w:jc w:val="center"/>
    </w:pPr>
    <w:rPr>
      <w:rFonts w:eastAsiaTheme="minorHAnsi"/>
      <w:i/>
      <w:iCs/>
      <w:color w:val="404040" w:themeColor="text1" w:themeTint="BF"/>
      <w:sz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2A6AB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A6ABA"/>
    <w:pPr>
      <w:widowControl/>
      <w:spacing w:after="8pt" w:line="12.95pt" w:lineRule="auto"/>
      <w:ind w:start="36pt"/>
      <w:contextualSpacing/>
      <w:jc w:val="start"/>
    </w:pPr>
    <w:rPr>
      <w:rFonts w:eastAsiaTheme="minorHAnsi"/>
      <w:sz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2A6AB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A6ABA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 w:line="12.95pt" w:lineRule="auto"/>
      <w:ind w:start="43.20pt" w:end="43.20pt"/>
      <w:jc w:val="center"/>
    </w:pPr>
    <w:rPr>
      <w:rFonts w:eastAsiaTheme="minorHAnsi"/>
      <w:i/>
      <w:iCs/>
      <w:color w:val="0F4761" w:themeColor="accent1" w:themeShade="BF"/>
      <w:sz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A6AB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A6ABA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qFormat/>
    <w:rsid w:val="002A6ABA"/>
    <w:pPr>
      <w:tabs>
        <w:tab w:val="center" w:pos="207.65pt"/>
        <w:tab w:val="end" w:pos="415.30pt"/>
      </w:tabs>
      <w:snapToGrid w:val="0"/>
      <w:jc w:val="star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2A6ABA"/>
    <w:rPr>
      <w:rFonts w:eastAsiaTheme="minorEastAsia"/>
      <w:sz w:val="18"/>
      <w:lang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purl.oclc.org/ooxml/officeDocument/relationships/image" Target="media/image5.tiff"/><Relationship Id="rId13" Type="http://purl.oclc.org/ooxml/officeDocument/relationships/image" Target="media/image10.tiff"/><Relationship Id="rId18" Type="http://purl.oclc.org/ooxml/officeDocument/relationships/image" Target="media/image14.tiff"/><Relationship Id="rId3" Type="http://purl.oclc.org/ooxml/officeDocument/relationships/webSettings" Target="webSettings.xml"/><Relationship Id="rId7" Type="http://purl.oclc.org/ooxml/officeDocument/relationships/image" Target="media/image4.tiff"/><Relationship Id="rId12" Type="http://purl.oclc.org/ooxml/officeDocument/relationships/image" Target="media/image9.tiff"/><Relationship Id="rId17" Type="http://purl.oclc.org/ooxml/officeDocument/relationships/footer" Target="footer1.xml"/><Relationship Id="rId2" Type="http://purl.oclc.org/ooxml/officeDocument/relationships/settings" Target="settings.xml"/><Relationship Id="rId16" Type="http://purl.oclc.org/ooxml/officeDocument/relationships/image" Target="media/image13.tiff"/><Relationship Id="rId20" Type="http://purl.oclc.org/ooxml/officeDocument/relationships/theme" Target="theme/theme1.xml"/><Relationship Id="rId1" Type="http://purl.oclc.org/ooxml/officeDocument/relationships/styles" Target="styles.xml"/><Relationship Id="rId6" Type="http://purl.oclc.org/ooxml/officeDocument/relationships/image" Target="media/image3.tiff"/><Relationship Id="rId11" Type="http://purl.oclc.org/ooxml/officeDocument/relationships/image" Target="media/image8.tiff"/><Relationship Id="rId5" Type="http://purl.oclc.org/ooxml/officeDocument/relationships/image" Target="media/image2.tiff"/><Relationship Id="rId15" Type="http://purl.oclc.org/ooxml/officeDocument/relationships/image" Target="media/image12.tiff"/><Relationship Id="rId10" Type="http://purl.oclc.org/ooxml/officeDocument/relationships/image" Target="media/image7.tiff"/><Relationship Id="rId19" Type="http://purl.oclc.org/ooxml/officeDocument/relationships/fontTable" Target="fontTable.xml"/><Relationship Id="rId4" Type="http://purl.oclc.org/ooxml/officeDocument/relationships/image" Target="media/image1.tiff"/><Relationship Id="rId9" Type="http://purl.oclc.org/ooxml/officeDocument/relationships/image" Target="media/image6.tiff"/><Relationship Id="rId14" Type="http://purl.oclc.org/ooxml/officeDocument/relationships/image" Target="media/image11.tiff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17</Pages>
  <Words>707</Words>
  <Characters>4031</Characters>
  <Application>Microsoft Office Word</Application>
  <DocSecurity>0</DocSecurity>
  <Lines>33</Lines>
  <Paragraphs>9</Paragraphs>
  <ScaleCrop>false</ScaleCrop>
  <Company>Springer Nature</Company>
  <LinksUpToDate>false</LinksUpToDate>
  <CharactersWithSpaces>4729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2024-08-23T06:25:00Z</dcterms:created>
  <dcterms:modified xsi:type="dcterms:W3CDTF">2024-08-23T06:25:00Z</dcterms:modified>
</cp:coreProperties>
</file>