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Figure legends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G</w:t>
      </w:r>
      <w:r>
        <w:rPr>
          <w:rFonts w:ascii="Times New Roman" w:hAnsi="Times New Roman"/>
          <w:b/>
          <w:bCs/>
          <w:sz w:val="24"/>
          <w:szCs w:val="24"/>
        </w:rPr>
        <w:t>ut microbi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ota</w:t>
      </w:r>
      <w:r>
        <w:rPr>
          <w:rFonts w:ascii="Times New Roman" w:hAnsi="Times New Roman"/>
          <w:b/>
          <w:bCs/>
          <w:sz w:val="24"/>
          <w:szCs w:val="24"/>
        </w:rPr>
        <w:t xml:space="preserve"> depletion after ATBx treatment.</w:t>
      </w:r>
    </w:p>
    <w:p>
      <w:pPr>
        <w:spacing w:line="480" w:lineRule="auto"/>
        <w:rPr>
          <w:rFonts w:hint="eastAsia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Morphological changes in the cecum after ATBx treatment.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 The Shannon index and Simpson index in the indicated groups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from a</w:t>
      </w:r>
      <w:r>
        <w:rPr>
          <w:rFonts w:ascii="Times New Roman" w:hAnsi="Times New Roman"/>
          <w:sz w:val="24"/>
          <w:szCs w:val="24"/>
        </w:rPr>
        <w:t xml:space="preserve">lpha diversity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analysis </w:t>
      </w:r>
      <w:r>
        <w:rPr>
          <w:rFonts w:ascii="Times New Roman" w:hAnsi="Times New Roman"/>
          <w:sz w:val="24"/>
          <w:szCs w:val="24"/>
        </w:rPr>
        <w:t>of gut microbiota in A</w:t>
      </w:r>
      <w:r>
        <w:rPr>
          <w:rFonts w:hint="eastAsia" w:ascii="Times New Roman" w:hAnsi="Times New Roman"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 xml:space="preserve">Bx-treated mice.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/>
        </w:rPr>
        <w:t>W</w:t>
      </w:r>
      <w:r>
        <w:rPr>
          <w:rFonts w:ascii="Times New Roman" w:hAnsi="Times New Roman"/>
          <w:sz w:val="24"/>
          <w:szCs w:val="24"/>
        </w:rPr>
        <w:t>eighted UniFrac distances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in the indicated groups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from</w:t>
      </w:r>
      <w:r>
        <w:rPr>
          <w:rFonts w:ascii="Times New Roman" w:hAnsi="Times New Roman"/>
          <w:sz w:val="24"/>
          <w:szCs w:val="24"/>
        </w:rPr>
        <w:t xml:space="preserve"> beta diversity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analysis </w:t>
      </w:r>
      <w:r>
        <w:rPr>
          <w:rFonts w:ascii="Times New Roman" w:hAnsi="Times New Roman"/>
          <w:sz w:val="24"/>
          <w:szCs w:val="24"/>
        </w:rPr>
        <w:t>of gut microbiota in A</w:t>
      </w:r>
      <w:r>
        <w:rPr>
          <w:rFonts w:hint="eastAsia" w:ascii="Times New Roman" w:hAnsi="Times New Roman"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 xml:space="preserve">Bx-treated mice. </w:t>
      </w:r>
      <w:r>
        <w:rPr>
          <w:rFonts w:hint="eastAsia" w:ascii="Times New Roman" w:hAnsi="Times New Roman"/>
          <w:sz w:val="24"/>
          <w:szCs w:val="24"/>
          <w:vertAlign w:val="superscript"/>
          <w:lang w:val="en-US"/>
        </w:rPr>
        <w:t>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</w:t>
      </w:r>
      <w:r>
        <w:rPr>
          <w:rFonts w:ascii="Times New Roman" w:hAnsi="Times New Roman"/>
          <w:sz w:val="24"/>
          <w:szCs w:val="24"/>
          <w:vertAlign w:val="superscript"/>
        </w:rPr>
        <w:t>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</w:t>
      </w:r>
      <w:r>
        <w:rPr>
          <w:rFonts w:ascii="Times New Roman" w:hAnsi="Times New Roman"/>
          <w:sz w:val="24"/>
          <w:szCs w:val="24"/>
          <w:vertAlign w:val="superscript"/>
        </w:rPr>
        <w:t>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NS, no significance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G</w:t>
      </w:r>
      <w:r>
        <w:rPr>
          <w:rFonts w:ascii="Times New Roman" w:hAnsi="Times New Roman"/>
          <w:b/>
          <w:bCs/>
          <w:sz w:val="24"/>
          <w:szCs w:val="24"/>
        </w:rPr>
        <w:t>ut microbi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ota</w:t>
      </w:r>
      <w:r>
        <w:rPr>
          <w:rFonts w:ascii="Times New Roman" w:hAnsi="Times New Roman"/>
          <w:b/>
          <w:bCs/>
          <w:sz w:val="24"/>
          <w:szCs w:val="24"/>
        </w:rPr>
        <w:t xml:space="preserve"> changes after ATBx treatment.</w:t>
      </w:r>
    </w:p>
    <w:p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a, b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At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phylum level, </w:t>
      </w:r>
      <w:r>
        <w:rPr>
          <w:rFonts w:ascii="Times New Roman" w:hAnsi="Times New Roman"/>
          <w:sz w:val="24"/>
          <w:szCs w:val="24"/>
        </w:rPr>
        <w:t>LE</w:t>
      </w:r>
      <w:r>
        <w:rPr>
          <w:rFonts w:hint="eastAsia"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Se indicates differential bacterial taxa </w:t>
      </w:r>
      <w:r>
        <w:rPr>
          <w:rFonts w:hint="eastAsia"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the </w:t>
      </w:r>
      <w:r>
        <w:rPr>
          <w:rFonts w:hint="eastAsia" w:ascii="Times New Roman" w:hAnsi="Times New Roman"/>
          <w:sz w:val="24"/>
          <w:szCs w:val="24"/>
        </w:rPr>
        <w:t>ATBx vs. BC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and </w:t>
      </w:r>
      <w:r>
        <w:rPr>
          <w:rFonts w:hint="eastAsia" w:ascii="Times New Roman" w:hAnsi="Times New Roman"/>
          <w:sz w:val="24"/>
          <w:szCs w:val="24"/>
        </w:rPr>
        <w:t>ATBx</w:t>
      </w:r>
      <w:r>
        <w:rPr>
          <w:rFonts w:hint="eastAsia" w:ascii="Times New Roman" w:hAnsi="Times New Roman"/>
          <w:sz w:val="24"/>
          <w:szCs w:val="24"/>
          <w:lang w:val="en-US"/>
        </w:rPr>
        <w:t>-SAP</w:t>
      </w:r>
      <w:r>
        <w:rPr>
          <w:rFonts w:hint="eastAsia" w:ascii="Times New Roman" w:hAnsi="Times New Roman"/>
          <w:sz w:val="24"/>
          <w:szCs w:val="24"/>
        </w:rPr>
        <w:t xml:space="preserve"> vs. </w:t>
      </w:r>
      <w:r>
        <w:rPr>
          <w:rFonts w:hint="eastAsia" w:ascii="Times New Roman" w:hAnsi="Times New Roman"/>
          <w:sz w:val="24"/>
          <w:szCs w:val="24"/>
          <w:lang w:val="en-US"/>
        </w:rPr>
        <w:t>SAP</w:t>
      </w:r>
      <w:r>
        <w:rPr>
          <w:rFonts w:ascii="Times New Roman" w:hAnsi="Times New Roman"/>
          <w:sz w:val="24"/>
          <w:szCs w:val="24"/>
        </w:rPr>
        <w:t xml:space="preserve"> group</w:t>
      </w:r>
      <w:r>
        <w:rPr>
          <w:rFonts w:hint="eastAsia"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. LDA score of differentially abundant bacterial taxa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(p: phylum, </w:t>
      </w:r>
      <w:r>
        <w:rPr>
          <w:rFonts w:hint="eastAsia" w:ascii="Times New Roman" w:hAnsi="Times New Roman"/>
          <w:sz w:val="24"/>
          <w:szCs w:val="24"/>
        </w:rPr>
        <w:t>LDA &gt; 3.5</w:t>
      </w:r>
      <w:r>
        <w:rPr>
          <w:rFonts w:ascii="Times New Roman" w:hAnsi="Times New Roman"/>
          <w:sz w:val="24"/>
          <w:szCs w:val="24"/>
        </w:rPr>
        <w:t xml:space="preserve">).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c, d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At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family level, </w:t>
      </w:r>
      <w:r>
        <w:rPr>
          <w:rFonts w:ascii="Times New Roman" w:hAnsi="Times New Roman"/>
          <w:sz w:val="24"/>
          <w:szCs w:val="24"/>
        </w:rPr>
        <w:t>LE</w:t>
      </w:r>
      <w:r>
        <w:rPr>
          <w:rFonts w:hint="eastAsia"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Se indicates differential bacterial taxa </w:t>
      </w:r>
      <w:r>
        <w:rPr>
          <w:rFonts w:hint="eastAsia"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the </w:t>
      </w:r>
      <w:r>
        <w:rPr>
          <w:rFonts w:hint="eastAsia" w:ascii="Times New Roman" w:hAnsi="Times New Roman"/>
          <w:sz w:val="24"/>
          <w:szCs w:val="24"/>
        </w:rPr>
        <w:t>ATBx vs. BC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and </w:t>
      </w:r>
      <w:r>
        <w:rPr>
          <w:rFonts w:hint="eastAsia" w:ascii="Times New Roman" w:hAnsi="Times New Roman"/>
          <w:sz w:val="24"/>
          <w:szCs w:val="24"/>
        </w:rPr>
        <w:t>ATBx</w:t>
      </w:r>
      <w:r>
        <w:rPr>
          <w:rFonts w:hint="eastAsia" w:ascii="Times New Roman" w:hAnsi="Times New Roman"/>
          <w:sz w:val="24"/>
          <w:szCs w:val="24"/>
          <w:lang w:val="en-US"/>
        </w:rPr>
        <w:t>-SAP</w:t>
      </w:r>
      <w:r>
        <w:rPr>
          <w:rFonts w:hint="eastAsia" w:ascii="Times New Roman" w:hAnsi="Times New Roman"/>
          <w:sz w:val="24"/>
          <w:szCs w:val="24"/>
        </w:rPr>
        <w:t xml:space="preserve"> vs. </w:t>
      </w:r>
      <w:r>
        <w:rPr>
          <w:rFonts w:hint="eastAsia" w:ascii="Times New Roman" w:hAnsi="Times New Roman"/>
          <w:sz w:val="24"/>
          <w:szCs w:val="24"/>
          <w:lang w:val="en-US"/>
        </w:rPr>
        <w:t>SAP</w:t>
      </w:r>
      <w:r>
        <w:rPr>
          <w:rFonts w:ascii="Times New Roman" w:hAnsi="Times New Roman"/>
          <w:sz w:val="24"/>
          <w:szCs w:val="24"/>
        </w:rPr>
        <w:t xml:space="preserve"> group</w:t>
      </w:r>
      <w:r>
        <w:rPr>
          <w:rFonts w:hint="eastAsia"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 xml:space="preserve">. (p: </w:t>
      </w:r>
      <w:r>
        <w:rPr>
          <w:rFonts w:hint="eastAsia" w:ascii="Times New Roman" w:hAnsi="Times New Roman"/>
          <w:sz w:val="24"/>
          <w:szCs w:val="24"/>
          <w:lang w:val="en-US"/>
        </w:rPr>
        <w:t>family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sz w:val="24"/>
          <w:szCs w:val="24"/>
        </w:rPr>
        <w:t>LDA &gt; 3.5</w:t>
      </w:r>
      <w:r>
        <w:rPr>
          <w:rFonts w:ascii="Times New Roman" w:hAnsi="Times New Roman"/>
          <w:sz w:val="24"/>
          <w:szCs w:val="24"/>
        </w:rPr>
        <w:t xml:space="preserve">).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G</w:t>
      </w:r>
      <w:r>
        <w:rPr>
          <w:rFonts w:ascii="Times New Roman" w:hAnsi="Times New Roman"/>
          <w:b/>
          <w:bCs/>
          <w:sz w:val="24"/>
          <w:szCs w:val="24"/>
        </w:rPr>
        <w:t>ut microbi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al metabolism</w:t>
      </w:r>
      <w:r>
        <w:rPr>
          <w:rFonts w:ascii="Times New Roman" w:hAnsi="Times New Roman"/>
          <w:b/>
          <w:bCs/>
          <w:sz w:val="24"/>
          <w:szCs w:val="24"/>
        </w:rPr>
        <w:t xml:space="preserve"> changes after ATBx treatment.</w:t>
      </w:r>
    </w:p>
    <w:p>
      <w:pPr>
        <w:spacing w:line="480" w:lineRule="auto"/>
        <w:rPr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 Volcano plot of gut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microbial </w:t>
      </w:r>
      <w:r>
        <w:rPr>
          <w:rFonts w:ascii="Times New Roman" w:hAnsi="Times New Roman"/>
          <w:sz w:val="24"/>
          <w:szCs w:val="24"/>
        </w:rPr>
        <w:t>metabolites in the</w:t>
      </w:r>
      <w:r>
        <w:rPr>
          <w:rFonts w:hint="eastAsia" w:ascii="Times New Roman" w:hAnsi="Times New Roman"/>
          <w:sz w:val="24"/>
          <w:szCs w:val="24"/>
        </w:rPr>
        <w:t xml:space="preserve"> ATBx vs. BC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hint="eastAsia" w:ascii="Times New Roman" w:hAnsi="Times New Roman"/>
          <w:sz w:val="24"/>
          <w:szCs w:val="24"/>
        </w:rPr>
        <w:t>ATBx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>SAP vs. BC</w:t>
      </w:r>
      <w:r>
        <w:rPr>
          <w:rFonts w:ascii="Times New Roman" w:hAnsi="Times New Roman"/>
          <w:sz w:val="24"/>
          <w:szCs w:val="24"/>
        </w:rPr>
        <w:t xml:space="preserve"> group</w:t>
      </w:r>
      <w:r>
        <w:rPr>
          <w:rFonts w:hint="eastAsia"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 0.001, FC ≥ 2 or ≤ 0.5) and donut chart of differentially abundant metabolite class distributions.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c</w:t>
      </w:r>
      <w:r>
        <w:rPr>
          <w:rFonts w:hint="eastAsia" w:ascii="Times New Roman" w:hAnsi="Times New Roman"/>
          <w:sz w:val="24"/>
          <w:szCs w:val="24"/>
        </w:rPr>
        <w:t xml:space="preserve"> Distribution histogram of overall gut metabolite abundance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ATBx</w:t>
      </w:r>
      <w:r>
        <w:rPr>
          <w:rFonts w:ascii="Times New Roman" w:hAnsi="Times New Roman"/>
          <w:sz w:val="24"/>
          <w:szCs w:val="24"/>
        </w:rPr>
        <w:t>-treated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/>
        </w:rPr>
        <w:t>group</w:t>
      </w:r>
      <w:r>
        <w:rPr>
          <w:rFonts w:hint="eastAsia" w:ascii="Times New Roman" w:hAnsi="Times New Roman"/>
          <w:sz w:val="24"/>
          <w:szCs w:val="24"/>
        </w:rPr>
        <w:t xml:space="preserve"> and the </w:t>
      </w:r>
      <w:r>
        <w:rPr>
          <w:rFonts w:ascii="Times New Roman" w:hAnsi="Times New Roman"/>
          <w:sz w:val="24"/>
          <w:szCs w:val="24"/>
        </w:rPr>
        <w:t>proportions</w:t>
      </w:r>
      <w:r>
        <w:rPr>
          <w:rFonts w:hint="eastAsia" w:ascii="Times New Roman" w:hAnsi="Times New Roman"/>
          <w:sz w:val="24"/>
          <w:szCs w:val="24"/>
        </w:rPr>
        <w:t xml:space="preserve"> of fatty acyls, glycerophospholipids, carboxylic acids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and derivatives </w:t>
      </w:r>
      <w:r>
        <w:rPr>
          <w:rFonts w:hint="eastAsia" w:ascii="Times New Roman" w:hAnsi="Times New Roman"/>
          <w:sz w:val="24"/>
          <w:szCs w:val="24"/>
          <w:lang w:val="en-US"/>
        </w:rPr>
        <w:t>&amp;</w:t>
      </w:r>
      <w:r>
        <w:rPr>
          <w:rFonts w:hint="eastAsia" w:ascii="Times New Roman" w:hAnsi="Times New Roman"/>
          <w:sz w:val="24"/>
          <w:szCs w:val="24"/>
        </w:rPr>
        <w:t xml:space="preserve"> organooxygen compounds in the overall metabolite classes.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d</w:t>
      </w:r>
      <w:r>
        <w:rPr>
          <w:rFonts w:hint="eastAsia" w:ascii="Times New Roman" w:hAnsi="Times New Roman"/>
          <w:sz w:val="24"/>
          <w:szCs w:val="24"/>
        </w:rPr>
        <w:t xml:space="preserve"> Venn diagram of all differentially abundant metabolites between the ATBx vs. BC group and the ATBx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 xml:space="preserve">SAP vs. BC group.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e</w:t>
      </w:r>
      <w:r>
        <w:rPr>
          <w:rFonts w:hint="eastAsia" w:ascii="Times New Roman" w:hAnsi="Times New Roman"/>
          <w:sz w:val="24"/>
          <w:szCs w:val="24"/>
        </w:rPr>
        <w:t xml:space="preserve"> ChemRICH class enrichment of 654 differentially abundant metabolites in the intersection of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ATBx vs. BC and ATBx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>SAP vs. BC groups.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G</w:t>
      </w:r>
      <w:r>
        <w:rPr>
          <w:rFonts w:ascii="Times New Roman" w:hAnsi="Times New Roman"/>
          <w:b/>
          <w:bCs/>
          <w:sz w:val="24"/>
          <w:szCs w:val="24"/>
        </w:rPr>
        <w:t xml:space="preserve">ut microbiota Changes after </w:t>
      </w:r>
      <w:r>
        <w:rPr>
          <w:rFonts w:hint="eastAsia" w:ascii="Times New Roman" w:hAnsi="Times New Roman"/>
          <w:b/>
          <w:bCs/>
          <w:sz w:val="24"/>
          <w:szCs w:val="24"/>
        </w:rPr>
        <w:t>oral trehalose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</w:rPr>
        <w:t>in SAP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spacing w:line="480" w:lineRule="auto"/>
        <w:rPr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a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b/>
          <w:bCs/>
          <w:sz w:val="24"/>
          <w:szCs w:val="24"/>
        </w:rPr>
        <w:t>b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In phylum and family levels, </w:t>
      </w:r>
      <w:r>
        <w:rPr>
          <w:rFonts w:ascii="Times New Roman" w:hAnsi="Times New Roman"/>
          <w:sz w:val="24"/>
          <w:szCs w:val="24"/>
        </w:rPr>
        <w:t xml:space="preserve">LEfSe analysis indicates differential bacterial taxa </w:t>
      </w:r>
      <w:r>
        <w:rPr>
          <w:rFonts w:hint="eastAsia"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the </w:t>
      </w:r>
      <w:r>
        <w:rPr>
          <w:rFonts w:hint="eastAsia" w:ascii="Times New Roman" w:hAnsi="Times New Roman"/>
          <w:sz w:val="24"/>
          <w:szCs w:val="24"/>
        </w:rPr>
        <w:t>SAP vs. BC</w:t>
      </w:r>
      <w:r>
        <w:rPr>
          <w:rFonts w:ascii="Times New Roman" w:hAnsi="Times New Roman"/>
          <w:sz w:val="24"/>
          <w:szCs w:val="24"/>
        </w:rPr>
        <w:t xml:space="preserve"> group. LDA score of differentially abundant bacterial taxa (p: phylum, f: family, </w:t>
      </w:r>
      <w:r>
        <w:rPr>
          <w:rFonts w:hint="eastAsia" w:ascii="Times New Roman" w:hAnsi="Times New Roman"/>
          <w:sz w:val="24"/>
          <w:szCs w:val="24"/>
        </w:rPr>
        <w:t>LDA &gt; 3.5</w:t>
      </w:r>
      <w:r>
        <w:rPr>
          <w:rFonts w:ascii="Times New Roman" w:hAnsi="Times New Roman"/>
          <w:sz w:val="24"/>
          <w:szCs w:val="24"/>
        </w:rPr>
        <w:t xml:space="preserve">).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c, d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In phylum and family levels, </w:t>
      </w:r>
      <w:r>
        <w:rPr>
          <w:rFonts w:ascii="Times New Roman" w:hAnsi="Times New Roman"/>
          <w:sz w:val="24"/>
          <w:szCs w:val="24"/>
        </w:rPr>
        <w:t xml:space="preserve">LEfSe analysis indicates differential bacterial taxa </w:t>
      </w:r>
      <w:r>
        <w:rPr>
          <w:rFonts w:hint="eastAsia"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the </w:t>
      </w:r>
      <w:r>
        <w:rPr>
          <w:rFonts w:hint="eastAsia" w:ascii="Times New Roman" w:hAnsi="Times New Roman"/>
          <w:sz w:val="24"/>
          <w:szCs w:val="24"/>
          <w:lang w:val="en-US"/>
        </w:rPr>
        <w:t>Tre-SAP</w:t>
      </w:r>
      <w:r>
        <w:rPr>
          <w:rFonts w:hint="eastAsia" w:ascii="Times New Roman" w:hAnsi="Times New Roman"/>
          <w:sz w:val="24"/>
          <w:szCs w:val="24"/>
        </w:rPr>
        <w:t xml:space="preserve"> vs. </w:t>
      </w:r>
      <w:r>
        <w:rPr>
          <w:rFonts w:hint="eastAsia" w:ascii="Times New Roman" w:hAnsi="Times New Roman"/>
          <w:sz w:val="24"/>
          <w:szCs w:val="24"/>
          <w:lang w:val="en-US"/>
        </w:rPr>
        <w:t>SAP</w:t>
      </w:r>
      <w:r>
        <w:rPr>
          <w:rFonts w:ascii="Times New Roman" w:hAnsi="Times New Roman"/>
          <w:sz w:val="24"/>
          <w:szCs w:val="24"/>
        </w:rPr>
        <w:t xml:space="preserve"> group. (p: phylum, f: family, </w:t>
      </w:r>
      <w:r>
        <w:rPr>
          <w:rFonts w:hint="eastAsia" w:ascii="Times New Roman" w:hAnsi="Times New Roman"/>
          <w:sz w:val="24"/>
          <w:szCs w:val="24"/>
        </w:rPr>
        <w:t>LDA &gt; 3.5</w:t>
      </w:r>
      <w:r>
        <w:rPr>
          <w:rFonts w:ascii="Times New Roman" w:hAnsi="Times New Roman"/>
          <w:sz w:val="24"/>
          <w:szCs w:val="24"/>
        </w:rPr>
        <w:t>).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G</w:t>
      </w:r>
      <w:r>
        <w:rPr>
          <w:rFonts w:ascii="Times New Roman" w:hAnsi="Times New Roman"/>
          <w:b/>
          <w:bCs/>
          <w:sz w:val="24"/>
          <w:szCs w:val="24"/>
        </w:rPr>
        <w:t>ut microbi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al metabolism</w:t>
      </w:r>
      <w:r>
        <w:rPr>
          <w:rFonts w:ascii="Times New Roman" w:hAnsi="Times New Roman"/>
          <w:b/>
          <w:bCs/>
          <w:sz w:val="24"/>
          <w:szCs w:val="24"/>
        </w:rPr>
        <w:t xml:space="preserve"> Changes after </w:t>
      </w:r>
      <w:r>
        <w:rPr>
          <w:rFonts w:hint="eastAsia" w:ascii="Times New Roman" w:hAnsi="Times New Roman"/>
          <w:b/>
          <w:bCs/>
          <w:sz w:val="24"/>
          <w:szCs w:val="24"/>
        </w:rPr>
        <w:t>oral trehalose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</w:rPr>
        <w:t>in SAP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>
      <w:pPr>
        <w:spacing w:line="480" w:lineRule="auto"/>
        <w:rPr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Volcano plot of gut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microbial </w:t>
      </w:r>
      <w:r>
        <w:rPr>
          <w:rFonts w:ascii="Times New Roman" w:hAnsi="Times New Roman"/>
          <w:sz w:val="24"/>
          <w:szCs w:val="24"/>
        </w:rPr>
        <w:t>metabolites in the</w:t>
      </w:r>
      <w:r>
        <w:rPr>
          <w:rFonts w:hint="eastAsia" w:ascii="Times New Roman" w:hAnsi="Times New Roman"/>
          <w:sz w:val="24"/>
          <w:szCs w:val="24"/>
        </w:rPr>
        <w:t xml:space="preserve"> Tre vs. BC </w:t>
      </w:r>
      <w:r>
        <w:rPr>
          <w:rFonts w:ascii="Times New Roman" w:hAnsi="Times New Roman"/>
          <w:sz w:val="24"/>
          <w:szCs w:val="24"/>
        </w:rPr>
        <w:t>group (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 0.001, FC ≥ 2 or ≤ 0.5).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b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Score plot for OPLS-DA</w:t>
      </w:r>
      <w:r>
        <w:rPr>
          <w:rFonts w:hint="eastAsia" w:ascii="Times New Roman" w:hAnsi="Times New Roman"/>
          <w:sz w:val="24"/>
          <w:szCs w:val="24"/>
        </w:rPr>
        <w:t xml:space="preserve"> after oral trehalose </w:t>
      </w:r>
      <w:r>
        <w:rPr>
          <w:rFonts w:ascii="Times New Roman" w:hAnsi="Times New Roman"/>
          <w:sz w:val="24"/>
          <w:szCs w:val="24"/>
        </w:rPr>
        <w:t xml:space="preserve">treatment </w:t>
      </w:r>
      <w:r>
        <w:rPr>
          <w:rFonts w:hint="eastAsia"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 xml:space="preserve">BC </w:t>
      </w:r>
      <w:r>
        <w:rPr>
          <w:rFonts w:hint="eastAsia" w:ascii="Times New Roman" w:hAnsi="Times New Roman"/>
          <w:sz w:val="24"/>
          <w:szCs w:val="24"/>
          <w:lang w:val="en-US"/>
        </w:rPr>
        <w:t>group</w:t>
      </w:r>
      <w:r>
        <w:rPr>
          <w:rFonts w:ascii="Times New Roman" w:hAnsi="Times New Roman"/>
          <w:sz w:val="24"/>
          <w:szCs w:val="24"/>
        </w:rPr>
        <w:t>;</w:t>
      </w:r>
      <w:r>
        <w:rPr>
          <w:rFonts w:hint="eastAsia" w:ascii="Times New Roman" w:hAnsi="Times New Roman"/>
          <w:sz w:val="24"/>
          <w:szCs w:val="24"/>
        </w:rPr>
        <w:t xml:space="preserve"> each point </w:t>
      </w:r>
      <w:r>
        <w:rPr>
          <w:rFonts w:ascii="Times New Roman" w:hAnsi="Times New Roman"/>
          <w:sz w:val="24"/>
          <w:szCs w:val="24"/>
        </w:rPr>
        <w:t>represents</w:t>
      </w:r>
      <w:r>
        <w:rPr>
          <w:rFonts w:hint="eastAsia" w:ascii="Times New Roman" w:hAnsi="Times New Roman"/>
          <w:sz w:val="24"/>
          <w:szCs w:val="24"/>
        </w:rPr>
        <w:t xml:space="preserve"> an individual mouse.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c</w:t>
      </w:r>
      <w:r>
        <w:rPr>
          <w:rFonts w:hint="eastAsia" w:ascii="Times New Roman" w:hAnsi="Times New Roman"/>
          <w:sz w:val="24"/>
          <w:szCs w:val="24"/>
        </w:rPr>
        <w:t xml:space="preserve"> VIP values for OPLS-DA of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microbial </w:t>
      </w:r>
      <w:r>
        <w:rPr>
          <w:rFonts w:hint="eastAsia" w:ascii="Times New Roman" w:hAnsi="Times New Roman"/>
          <w:sz w:val="24"/>
          <w:szCs w:val="24"/>
        </w:rPr>
        <w:t xml:space="preserve">metabolites in 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the intersection of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Tre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>SAP vs. SAP and Tre vs. BC groups, and VIP</w:t>
      </w:r>
      <w:r>
        <w:rPr>
          <w:rFonts w:ascii="Times New Roman" w:hAnsi="Times New Roman"/>
          <w:sz w:val="24"/>
          <w:szCs w:val="24"/>
        </w:rPr>
        <w:t xml:space="preserve"> ≥</w:t>
      </w:r>
      <w:r>
        <w:rPr>
          <w:rFonts w:hint="eastAsia" w:ascii="Times New Roman" w:hAnsi="Times New Roman"/>
          <w:sz w:val="24"/>
          <w:szCs w:val="24"/>
        </w:rPr>
        <w:t xml:space="preserve"> 1 was used as the threshold.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 xml:space="preserve">d </w:t>
      </w:r>
      <w:r>
        <w:rPr>
          <w:rFonts w:hint="eastAsia" w:ascii="Times New Roman" w:hAnsi="Times New Roman"/>
          <w:sz w:val="24"/>
          <w:szCs w:val="24"/>
        </w:rPr>
        <w:t xml:space="preserve">The square grid </w:t>
      </w:r>
      <w:r>
        <w:rPr>
          <w:rFonts w:ascii="Times New Roman" w:hAnsi="Times New Roman"/>
          <w:sz w:val="24"/>
          <w:szCs w:val="24"/>
        </w:rPr>
        <w:t>shows</w:t>
      </w:r>
      <w:r>
        <w:rPr>
          <w:rFonts w:hint="eastAsia" w:ascii="Times New Roman" w:hAnsi="Times New Roman"/>
          <w:sz w:val="24"/>
          <w:szCs w:val="24"/>
        </w:rPr>
        <w:t xml:space="preserve"> the changes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hint="eastAsia" w:ascii="Times New Roman" w:hAnsi="Times New Roman"/>
          <w:sz w:val="24"/>
          <w:szCs w:val="24"/>
        </w:rPr>
        <w:t xml:space="preserve"> 74 differentially abundant metabolites </w:t>
      </w:r>
      <w:r>
        <w:rPr>
          <w:rFonts w:hint="eastAsia" w:ascii="Times New Roman" w:hAnsi="Times New Roman"/>
          <w:sz w:val="24"/>
          <w:szCs w:val="24"/>
          <w:lang w:val="en-US"/>
        </w:rPr>
        <w:t>in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Tre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 xml:space="preserve">SAP vs. SAP and Tre vs. BC groups (blue </w:t>
      </w:r>
      <w:r>
        <w:rPr>
          <w:rFonts w:ascii="Times New Roman" w:hAnsi="Times New Roman"/>
          <w:sz w:val="24"/>
          <w:szCs w:val="24"/>
        </w:rPr>
        <w:t>points represent</w:t>
      </w:r>
      <w:r>
        <w:rPr>
          <w:rFonts w:hint="eastAsia" w:ascii="Times New Roman" w:hAnsi="Times New Roman"/>
          <w:sz w:val="24"/>
          <w:szCs w:val="24"/>
        </w:rPr>
        <w:t xml:space="preserve"> FC&lt;1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Tre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 xml:space="preserve">SAP vs. SAP </w:t>
      </w:r>
      <w:r>
        <w:rPr>
          <w:rFonts w:ascii="Times New Roman" w:hAnsi="Times New Roman"/>
          <w:sz w:val="24"/>
          <w:szCs w:val="24"/>
        </w:rPr>
        <w:t xml:space="preserve">group </w:t>
      </w:r>
      <w:r>
        <w:rPr>
          <w:rFonts w:hint="eastAsia" w:ascii="Times New Roman" w:hAnsi="Times New Roman"/>
          <w:sz w:val="24"/>
          <w:szCs w:val="24"/>
        </w:rPr>
        <w:t xml:space="preserve">and FC&lt;1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SAP vs. BC</w:t>
      </w:r>
      <w:r>
        <w:rPr>
          <w:rFonts w:ascii="Times New Roman" w:hAnsi="Times New Roman"/>
          <w:sz w:val="24"/>
          <w:szCs w:val="24"/>
        </w:rPr>
        <w:t xml:space="preserve"> group;</w:t>
      </w:r>
      <w:r>
        <w:rPr>
          <w:rFonts w:hint="eastAsia" w:ascii="Times New Roman" w:hAnsi="Times New Roman"/>
          <w:sz w:val="24"/>
          <w:szCs w:val="24"/>
        </w:rPr>
        <w:t xml:space="preserve"> red points </w:t>
      </w:r>
      <w:r>
        <w:rPr>
          <w:rFonts w:ascii="Times New Roman" w:hAnsi="Times New Roman"/>
          <w:sz w:val="24"/>
          <w:szCs w:val="24"/>
        </w:rPr>
        <w:t>represent</w:t>
      </w:r>
      <w:r>
        <w:rPr>
          <w:rFonts w:hint="eastAsia" w:ascii="Times New Roman" w:hAnsi="Times New Roman"/>
          <w:sz w:val="24"/>
          <w:szCs w:val="24"/>
        </w:rPr>
        <w:t xml:space="preserve"> FC&gt;1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Tre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 xml:space="preserve">SAP vs. SAP </w:t>
      </w:r>
      <w:r>
        <w:rPr>
          <w:rFonts w:ascii="Times New Roman" w:hAnsi="Times New Roman"/>
          <w:sz w:val="24"/>
          <w:szCs w:val="24"/>
        </w:rPr>
        <w:t xml:space="preserve">group </w:t>
      </w:r>
      <w:r>
        <w:rPr>
          <w:rFonts w:hint="eastAsia" w:ascii="Times New Roman" w:hAnsi="Times New Roman"/>
          <w:sz w:val="24"/>
          <w:szCs w:val="24"/>
        </w:rPr>
        <w:t xml:space="preserve">and FC&gt;1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SAP vs. BC</w:t>
      </w:r>
      <w:r>
        <w:rPr>
          <w:rFonts w:ascii="Times New Roman" w:hAnsi="Times New Roman"/>
          <w:sz w:val="24"/>
          <w:szCs w:val="24"/>
        </w:rPr>
        <w:t xml:space="preserve"> group</w:t>
      </w:r>
      <w:r>
        <w:rPr>
          <w:rFonts w:hint="eastAsia" w:ascii="Times New Roman" w:hAnsi="Times New Roman"/>
          <w:sz w:val="24"/>
          <w:szCs w:val="24"/>
        </w:rPr>
        <w:t xml:space="preserve">).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e</w:t>
      </w:r>
      <w:r>
        <w:rPr>
          <w:rFonts w:hint="eastAsia" w:ascii="Times New Roman" w:hAnsi="Times New Roman"/>
          <w:sz w:val="24"/>
          <w:szCs w:val="24"/>
        </w:rPr>
        <w:t xml:space="preserve"> The levels of key differentially abundant metabolite classes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Tre</w:t>
      </w:r>
      <w:r>
        <w:rPr>
          <w:rFonts w:hint="eastAsia" w:ascii="Times New Roman" w:hAnsi="Times New Roman"/>
          <w:sz w:val="24"/>
          <w:szCs w:val="24"/>
          <w:lang w:val="en-US"/>
        </w:rPr>
        <w:t>-</w:t>
      </w:r>
      <w:r>
        <w:rPr>
          <w:rFonts w:hint="eastAsia" w:ascii="Times New Roman" w:hAnsi="Times New Roman"/>
          <w:sz w:val="24"/>
          <w:szCs w:val="24"/>
        </w:rPr>
        <w:t>SAP vs. SAP and SAP vs. BC groups.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textAlignment w:val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Pancreatic islet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 xml:space="preserve">injury in SAP progression </w:t>
      </w:r>
      <w:r>
        <w:rPr>
          <w:rFonts w:hint="eastAsia" w:ascii="Times New Roman" w:hAnsi="Times New Roman"/>
          <w:b/>
          <w:bCs/>
          <w:sz w:val="24"/>
          <w:szCs w:val="24"/>
        </w:rPr>
        <w:t>after ATBx treatment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, oral trehalose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treatment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, and trehalose-remodelled microbiota FMT.</w:t>
      </w:r>
    </w:p>
    <w:p>
      <w:pPr>
        <w:spacing w:line="480" w:lineRule="auto"/>
        <w:rPr>
          <w:sz w:val="24"/>
          <w:szCs w:val="24"/>
          <w:lang w:val="en-US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a-c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Representative </w:t>
      </w:r>
      <w:r>
        <w:rPr>
          <w:rFonts w:hint="eastAsia" w:ascii="Times New Roman" w:hAnsi="Times New Roman"/>
          <w:sz w:val="24"/>
          <w:szCs w:val="24"/>
          <w:lang w:val="en-US"/>
        </w:rPr>
        <w:t>IHC</w:t>
      </w:r>
      <w:r>
        <w:rPr>
          <w:rFonts w:hint="eastAsia" w:ascii="Times New Roman" w:hAnsi="Times New Roman"/>
          <w:sz w:val="24"/>
          <w:szCs w:val="24"/>
        </w:rPr>
        <w:t xml:space="preserve"> and </w:t>
      </w:r>
      <w:r>
        <w:rPr>
          <w:rFonts w:hint="eastAsia" w:ascii="Times New Roman" w:hAnsi="Times New Roman"/>
          <w:sz w:val="24"/>
          <w:szCs w:val="24"/>
          <w:lang w:val="en-US"/>
        </w:rPr>
        <w:t>IF</w:t>
      </w:r>
      <w:r>
        <w:rPr>
          <w:rFonts w:ascii="Times New Roman" w:hAnsi="Times New Roman"/>
          <w:sz w:val="24"/>
          <w:szCs w:val="24"/>
        </w:rPr>
        <w:t xml:space="preserve"> images of </w:t>
      </w:r>
      <w:r>
        <w:rPr>
          <w:rFonts w:hint="eastAsia" w:ascii="Times New Roman" w:hAnsi="Times New Roman"/>
          <w:sz w:val="24"/>
          <w:szCs w:val="24"/>
        </w:rPr>
        <w:t>MPO, F4/80, Bcl-2, Beclin-1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and caspase-3</w:t>
      </w:r>
      <w:r>
        <w:rPr>
          <w:rFonts w:ascii="Times New Roman" w:hAnsi="Times New Roman"/>
          <w:sz w:val="24"/>
          <w:szCs w:val="24"/>
        </w:rPr>
        <w:t xml:space="preserve"> expression staining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ancreatic islets</w:t>
      </w:r>
      <w:r>
        <w:rPr>
          <w:rFonts w:hint="eastAsia" w:ascii="Times New Roman" w:hAnsi="Times New Roman"/>
          <w:sz w:val="24"/>
          <w:szCs w:val="24"/>
        </w:rPr>
        <w:t xml:space="preserve"> after ATBx treatment,</w:t>
      </w:r>
      <w:r>
        <w:rPr>
          <w:rFonts w:hint="eastAsia" w:ascii="Times New Roman" w:hAnsi="Times New Roman"/>
          <w:sz w:val="24"/>
          <w:szCs w:val="24"/>
          <w:lang w:val="en-US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oral trehalose treatment, and trehalose-remodelled microbiota FMT (</w:t>
      </w:r>
      <w:r>
        <w:rPr>
          <w:rFonts w:ascii="Times New Roman" w:hAnsi="Times New Roman"/>
          <w:sz w:val="24"/>
          <w:szCs w:val="24"/>
        </w:rPr>
        <w:t>scale</w:t>
      </w:r>
      <w:r>
        <w:rPr>
          <w:rFonts w:hint="eastAsia" w:ascii="Times New Roman" w:hAnsi="Times New Roman"/>
          <w:sz w:val="24"/>
          <w:szCs w:val="24"/>
        </w:rPr>
        <w:t xml:space="preserve"> bar = 20 µm).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d</w:t>
      </w:r>
      <w:r>
        <w:rPr>
          <w:rFonts w:hint="eastAsia" w:ascii="Times New Roman" w:hAnsi="Times New Roman"/>
          <w:sz w:val="24"/>
          <w:szCs w:val="24"/>
        </w:rPr>
        <w:t>,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/>
        </w:rPr>
        <w:t>e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/>
        </w:rPr>
        <w:t>IHC</w:t>
      </w:r>
      <w:r>
        <w:rPr>
          <w:rFonts w:hint="eastAsia" w:ascii="Times New Roman" w:hAnsi="Times New Roman"/>
          <w:sz w:val="24"/>
          <w:szCs w:val="24"/>
        </w:rPr>
        <w:t xml:space="preserve"> and </w:t>
      </w:r>
      <w:r>
        <w:rPr>
          <w:rFonts w:hint="eastAsia" w:ascii="Times New Roman" w:hAnsi="Times New Roman"/>
          <w:sz w:val="24"/>
          <w:szCs w:val="24"/>
          <w:lang w:val="en-US"/>
        </w:rPr>
        <w:t>IF</w:t>
      </w:r>
      <w:r>
        <w:rPr>
          <w:rFonts w:hint="eastAsia" w:ascii="Times New Roman" w:hAnsi="Times New Roman"/>
          <w:sz w:val="24"/>
          <w:szCs w:val="24"/>
        </w:rPr>
        <w:t xml:space="preserve"> quantification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ancreatic islets</w:t>
      </w:r>
      <w:r>
        <w:rPr>
          <w:rFonts w:hint="eastAsia"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</w:t>
      </w:r>
      <w:r>
        <w:rPr>
          <w:rFonts w:ascii="Times New Roman" w:hAnsi="Times New Roman"/>
          <w:sz w:val="24"/>
          <w:szCs w:val="24"/>
          <w:vertAlign w:val="superscript"/>
        </w:rPr>
        <w:t>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</w:t>
      </w:r>
      <w:r>
        <w:rPr>
          <w:rFonts w:ascii="Times New Roman" w:hAnsi="Times New Roman"/>
          <w:sz w:val="24"/>
          <w:szCs w:val="24"/>
          <w:vertAlign w:val="superscript"/>
        </w:rPr>
        <w:t>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NS</w:t>
      </w:r>
      <w:r>
        <w:rPr>
          <w:rFonts w:hint="eastAsia"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no significance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7456168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Q1NjYyNzQ3sTCyNDZW0lEKTi0uzszPAykwqgUAZ9LjdiwAAAA="/>
    <w:docVar w:name="commondata" w:val="eyJoZGlkIjoiMzEwNTM5NzYwMDRjMzkwZTVkZjY2ODkwMGIxNGU0OTUifQ=="/>
  </w:docVars>
  <w:rsids>
    <w:rsidRoot w:val="71E8503A"/>
    <w:rsid w:val="00040E8C"/>
    <w:rsid w:val="00072624"/>
    <w:rsid w:val="000A09A7"/>
    <w:rsid w:val="00477CD8"/>
    <w:rsid w:val="005908D6"/>
    <w:rsid w:val="00600560"/>
    <w:rsid w:val="00667D12"/>
    <w:rsid w:val="006C7296"/>
    <w:rsid w:val="00B51EC1"/>
    <w:rsid w:val="00D431AF"/>
    <w:rsid w:val="00E805DB"/>
    <w:rsid w:val="00F75429"/>
    <w:rsid w:val="03314DFF"/>
    <w:rsid w:val="0BAE0408"/>
    <w:rsid w:val="0CE8253A"/>
    <w:rsid w:val="124F58FC"/>
    <w:rsid w:val="125A3098"/>
    <w:rsid w:val="12B07B17"/>
    <w:rsid w:val="12D77B15"/>
    <w:rsid w:val="15115C90"/>
    <w:rsid w:val="16C15493"/>
    <w:rsid w:val="16D451C7"/>
    <w:rsid w:val="17635DE3"/>
    <w:rsid w:val="19487651"/>
    <w:rsid w:val="1A3B555D"/>
    <w:rsid w:val="1DB056D7"/>
    <w:rsid w:val="1EA9518B"/>
    <w:rsid w:val="1FC7052F"/>
    <w:rsid w:val="20EE3329"/>
    <w:rsid w:val="22D0751C"/>
    <w:rsid w:val="29E277A3"/>
    <w:rsid w:val="2B822903"/>
    <w:rsid w:val="2D4565C2"/>
    <w:rsid w:val="2D8D147C"/>
    <w:rsid w:val="2F6D2A2C"/>
    <w:rsid w:val="36DD37CC"/>
    <w:rsid w:val="37734130"/>
    <w:rsid w:val="37994D19"/>
    <w:rsid w:val="38143AE7"/>
    <w:rsid w:val="389D6E8E"/>
    <w:rsid w:val="393022D9"/>
    <w:rsid w:val="3C432323"/>
    <w:rsid w:val="3DD40A79"/>
    <w:rsid w:val="421417F7"/>
    <w:rsid w:val="435C1F1C"/>
    <w:rsid w:val="467632F5"/>
    <w:rsid w:val="48390A7E"/>
    <w:rsid w:val="49B91E77"/>
    <w:rsid w:val="4CA360FD"/>
    <w:rsid w:val="4E0A0EF3"/>
    <w:rsid w:val="5BB31F88"/>
    <w:rsid w:val="5C8400C2"/>
    <w:rsid w:val="5D211DB5"/>
    <w:rsid w:val="5F993E84"/>
    <w:rsid w:val="5FC53002"/>
    <w:rsid w:val="64AF64BE"/>
    <w:rsid w:val="67584625"/>
    <w:rsid w:val="68381192"/>
    <w:rsid w:val="6BE36B63"/>
    <w:rsid w:val="6C0528A2"/>
    <w:rsid w:val="71E8503A"/>
    <w:rsid w:val="7A34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GB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680"/>
        <w:tab w:val="right" w:pos="9360"/>
      </w:tabs>
    </w:p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lin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  <w:lang w:val="en-GB"/>
    </w:rPr>
  </w:style>
  <w:style w:type="character" w:customStyle="1" w:styleId="9">
    <w:name w:val="页脚 字符"/>
    <w:basedOn w:val="5"/>
    <w:link w:val="2"/>
    <w:qFormat/>
    <w:uiPriority w:val="99"/>
    <w:rPr>
      <w:rFonts w:ascii="Calibri" w:hAnsi="Calibri" w:eastAsia="宋体" w:cs="Times New Roman"/>
      <w:kern w:val="2"/>
      <w:sz w:val="21"/>
      <w:szCs w:val="24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552</Words>
  <Characters>2869</Characters>
  <Lines>36</Lines>
  <Paragraphs>10</Paragraphs>
  <TotalTime>3</TotalTime>
  <ScaleCrop>false</ScaleCrop>
  <LinksUpToDate>false</LinksUpToDate>
  <CharactersWithSpaces>3410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2024-05-27T01:50:00Z</dcterms:created>
  <dc:creator>Haibin Hao</dc:creator>
  <cp:lastModifiedBy>Haibin Hao</cp:lastModifiedBy>
  <cp:lastPrinted>2024-05-30T10:33:00Z</cp:lastPrinted>
  <dcterms:modified xsi:type="dcterms:W3CDTF">2024-07-17T12:37:47Z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3701B4522B3A474CA8BE3876FA9C660B_13</vt:lpwstr>
  </property>
</Properties>
</file>