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73895" w14:textId="20FD37E0" w:rsidR="00730D76" w:rsidRDefault="00000000">
      <w:pPr>
        <w:tabs>
          <w:tab w:val="left" w:pos="312"/>
        </w:tabs>
        <w:spacing w:line="480" w:lineRule="auto"/>
        <w:rPr>
          <w:rFonts w:ascii="Times New Roman" w:eastAsia="Times New Roman" w:hAnsi="Times New Roman" w:cs="Times New Roman"/>
          <w:b/>
          <w:sz w:val="24"/>
          <w:lang w:val="en-GB"/>
        </w:rPr>
      </w:pPr>
      <w:r w:rsidRPr="0013434E">
        <w:rPr>
          <w:rFonts w:ascii="Times New Roman" w:eastAsia="Times New Roman" w:hAnsi="Times New Roman" w:cs="Times New Roman"/>
          <w:b/>
          <w:sz w:val="24"/>
          <w:lang w:val="en-GB"/>
        </w:rPr>
        <w:t>Additional file</w:t>
      </w:r>
      <w:r>
        <w:rPr>
          <w:rFonts w:ascii="Times New Roman" w:eastAsia="Times New Roman" w:hAnsi="Times New Roman" w:cs="Times New Roman"/>
          <w:b/>
          <w:sz w:val="24"/>
          <w:lang w:val="en-GB"/>
        </w:rPr>
        <w:t xml:space="preserve"> 1</w:t>
      </w:r>
    </w:p>
    <w:p w14:paraId="662064DC" w14:textId="77777777" w:rsidR="005838D2" w:rsidRPr="0013434E" w:rsidRDefault="00000000">
      <w:pPr>
        <w:spacing w:line="480" w:lineRule="auto"/>
        <w:jc w:val="left"/>
        <w:rPr>
          <w:rFonts w:ascii="Times New Roman" w:eastAsia="Times New Roman" w:hAnsi="Times New Roman" w:cs="Times New Roman"/>
          <w:b/>
          <w:sz w:val="24"/>
          <w:lang w:val="en-GB"/>
        </w:rPr>
      </w:pPr>
      <w:r w:rsidRPr="0013434E">
        <w:rPr>
          <w:rFonts w:ascii="Times New Roman" w:eastAsia="Times New Roman" w:hAnsi="Times New Roman" w:cs="Times New Roman"/>
          <w:b/>
          <w:sz w:val="24"/>
          <w:lang w:val="en-GB"/>
        </w:rPr>
        <w:t>Eligibility Criteria for LC Screening in the Two Programmes</w:t>
      </w:r>
    </w:p>
    <w:p w14:paraId="03CA38A6" w14:textId="2B7C784C" w:rsidR="005838D2" w:rsidRPr="0013434E" w:rsidRDefault="00000000">
      <w:pPr>
        <w:spacing w:line="480" w:lineRule="auto"/>
        <w:jc w:val="left"/>
        <w:rPr>
          <w:rFonts w:ascii="Times New Roman" w:eastAsia="Times New Roman" w:hAnsi="Times New Roman" w:cs="Times New Roman"/>
          <w:sz w:val="24"/>
          <w:lang w:val="en-GB"/>
        </w:rPr>
      </w:pPr>
      <w:r w:rsidRPr="0013434E">
        <w:rPr>
          <w:rFonts w:ascii="Times New Roman" w:eastAsia="Times New Roman" w:hAnsi="Times New Roman" w:cs="Times New Roman"/>
          <w:sz w:val="24"/>
          <w:lang w:val="en-GB"/>
        </w:rPr>
        <w:t xml:space="preserve">The China guidelines for the screening and early detection of lung cancer (CGSL) 2021 criteria include participants aged 50–74 years who are recognised as being at increased risk of lung cancer. Eligibility under the CGSL criteria is determined by meeting at least one of the following: a documented smoking history of ≥30 pack-years; exposure to </w:t>
      </w:r>
      <w:r w:rsidR="00D4434C" w:rsidRPr="001C3100">
        <w:rPr>
          <w:rFonts w:ascii="Times New Roman" w:eastAsia="Times New Roman" w:hAnsi="Times New Roman" w:cs="Times New Roman"/>
          <w:sz w:val="24"/>
          <w:lang w:val="en-GB"/>
        </w:rPr>
        <w:t>second-hand smoke (SHS)</w:t>
      </w:r>
      <w:r w:rsidRPr="0013434E">
        <w:rPr>
          <w:rFonts w:ascii="Times New Roman" w:eastAsia="Times New Roman" w:hAnsi="Times New Roman" w:cs="Times New Roman"/>
          <w:sz w:val="24"/>
          <w:lang w:val="en-GB"/>
        </w:rPr>
        <w:t>for ≥20 years; the presence of COPD; documented occupational exposure for at least 1 year; and having a first-degree relative with a confirmed diagnosis of lung cancer. The United States Preventive Services Task Force (USPSTF) 2021 recommends that adults aged 50–80 years with a smoking history of at least 20 pack-years undergo annual screening with low-dose computed tomography (LDCT). This recommendation applies to both those who continue to smoke and those who have quit but are within 15 years of their last cigarette.</w:t>
      </w:r>
    </w:p>
    <w:p w14:paraId="7FEBDAEB" w14:textId="77777777" w:rsidR="005838D2" w:rsidRPr="0013434E" w:rsidRDefault="005838D2">
      <w:pPr>
        <w:spacing w:line="480" w:lineRule="auto"/>
        <w:jc w:val="left"/>
        <w:rPr>
          <w:rFonts w:ascii="Times New Roman" w:eastAsia="Times New Roman" w:hAnsi="Times New Roman" w:cs="Times New Roman"/>
          <w:sz w:val="24"/>
          <w:lang w:val="en-GB"/>
        </w:rPr>
      </w:pPr>
    </w:p>
    <w:p w14:paraId="163A666E" w14:textId="77777777" w:rsidR="005838D2" w:rsidRPr="0013434E" w:rsidRDefault="00000000">
      <w:pPr>
        <w:spacing w:before="156" w:line="480" w:lineRule="auto"/>
        <w:jc w:val="left"/>
        <w:rPr>
          <w:rFonts w:ascii="Times New Roman" w:eastAsia="Times New Roman" w:hAnsi="Times New Roman" w:cs="Times New Roman"/>
          <w:b/>
          <w:sz w:val="24"/>
          <w:lang w:val="en-GB"/>
        </w:rPr>
      </w:pPr>
      <w:r w:rsidRPr="0013434E">
        <w:rPr>
          <w:rFonts w:ascii="Times New Roman" w:eastAsia="Times New Roman" w:hAnsi="Times New Roman" w:cs="Times New Roman"/>
          <w:b/>
          <w:sz w:val="24"/>
          <w:lang w:val="en-GB"/>
        </w:rPr>
        <w:t>LDCT Parameters</w:t>
      </w:r>
    </w:p>
    <w:p w14:paraId="59784394" w14:textId="7C3497F3" w:rsidR="005838D2" w:rsidRPr="0013434E" w:rsidRDefault="00000000">
      <w:pPr>
        <w:spacing w:line="480" w:lineRule="auto"/>
        <w:jc w:val="left"/>
        <w:rPr>
          <w:rFonts w:ascii="Times New Roman" w:eastAsia="Times New Roman" w:hAnsi="Times New Roman" w:cs="Times New Roman"/>
          <w:sz w:val="24"/>
          <w:lang w:val="en-GB"/>
        </w:rPr>
      </w:pPr>
      <w:r w:rsidRPr="0013434E">
        <w:rPr>
          <w:rFonts w:ascii="Times New Roman" w:eastAsia="Times New Roman" w:hAnsi="Times New Roman" w:cs="Times New Roman"/>
          <w:sz w:val="24"/>
          <w:lang w:val="en-GB"/>
        </w:rPr>
        <w:t xml:space="preserve">All participants underwent LDCT scanning from the lung apex to the base without contrast enhancement. LDCT was performed using different scanners (GE LightSpeed 16 Slice CT scanner, GE LightSpeed VCT 64 slice CT scanner, GE Discovery 750 HD 64 slice CT scanner, GE Optima CT660 64 slice CT scanner, GE Revolution 256 slice CT scanner, and Toshiba </w:t>
      </w:r>
      <w:proofErr w:type="spellStart"/>
      <w:r w:rsidRPr="0013434E">
        <w:rPr>
          <w:rFonts w:ascii="Times New Roman" w:eastAsia="Times New Roman" w:hAnsi="Times New Roman" w:cs="Times New Roman"/>
          <w:sz w:val="24"/>
          <w:lang w:val="en-GB"/>
        </w:rPr>
        <w:t>Aquilion</w:t>
      </w:r>
      <w:proofErr w:type="spellEnd"/>
      <w:r w:rsidRPr="0013434E">
        <w:rPr>
          <w:rFonts w:ascii="Times New Roman" w:eastAsia="Times New Roman" w:hAnsi="Times New Roman" w:cs="Times New Roman"/>
          <w:sz w:val="24"/>
          <w:lang w:val="en-GB"/>
        </w:rPr>
        <w:t xml:space="preserve"> one 64 slice CT scanner). The participants were placed in the supine position with their arms above their head. Spiral acquisition </w:t>
      </w:r>
      <w:r w:rsidRPr="0013434E">
        <w:rPr>
          <w:rFonts w:ascii="Times New Roman" w:eastAsia="Times New Roman" w:hAnsi="Times New Roman" w:cs="Times New Roman"/>
          <w:sz w:val="24"/>
          <w:lang w:val="en-GB"/>
        </w:rPr>
        <w:lastRenderedPageBreak/>
        <w:t xml:space="preserve">was performed on the entire chest while the participants took a deep breath in and held it in apnoea. All scans were obtained using a low-dose regimen, with the machine set at 120 </w:t>
      </w:r>
      <w:proofErr w:type="spellStart"/>
      <w:r w:rsidRPr="0013434E">
        <w:rPr>
          <w:rFonts w:ascii="Times New Roman" w:eastAsia="Times New Roman" w:hAnsi="Times New Roman" w:cs="Times New Roman"/>
          <w:sz w:val="24"/>
          <w:lang w:val="en-GB"/>
        </w:rPr>
        <w:t>kVp</w:t>
      </w:r>
      <w:proofErr w:type="spellEnd"/>
      <w:r w:rsidRPr="0013434E">
        <w:rPr>
          <w:rFonts w:ascii="Times New Roman" w:eastAsia="Times New Roman" w:hAnsi="Times New Roman" w:cs="Times New Roman"/>
          <w:sz w:val="24"/>
          <w:lang w:val="en-GB"/>
        </w:rPr>
        <w:t>, 0.984:1 pitch ratio, 0.5 s rotation time. The scans were reconstructed with thin slices (1–1.25 mm)</w:t>
      </w:r>
      <w:r w:rsidR="00D4434C" w:rsidRPr="00D4434C">
        <w:rPr>
          <w:rFonts w:ascii="Microsoft YaHei UI" w:eastAsia="Microsoft YaHei UI" w:hAnsi="Microsoft YaHei UI" w:cs="Arial"/>
          <w:sz w:val="18"/>
          <w:szCs w:val="18"/>
        </w:rPr>
        <w:t xml:space="preserve"> </w:t>
      </w:r>
      <w:r w:rsidR="00D4434C" w:rsidRPr="00D4434C">
        <w:rPr>
          <w:rFonts w:ascii="Times New Roman" w:eastAsia="Times New Roman" w:hAnsi="Times New Roman" w:cs="Times New Roman"/>
          <w:sz w:val="24"/>
        </w:rPr>
        <w:t>overlapping in 0.8-mm</w:t>
      </w:r>
      <w:r w:rsidRPr="0013434E">
        <w:rPr>
          <w:rFonts w:ascii="Times New Roman" w:eastAsia="Times New Roman" w:hAnsi="Times New Roman" w:cs="Times New Roman"/>
          <w:sz w:val="24"/>
          <w:lang w:val="en-GB"/>
        </w:rPr>
        <w:t xml:space="preserve"> intervals. Any further repeat scan was required to follow the same low-dose protocol. The effective radiation dose ranged from 0.3 mSv to 1.5 mSv. The engineering department performed quality checks of the CTs every 3 months.</w:t>
      </w:r>
    </w:p>
    <w:p w14:paraId="75C578C0" w14:textId="77777777" w:rsidR="005838D2" w:rsidRPr="0013434E" w:rsidRDefault="005838D2">
      <w:pPr>
        <w:spacing w:line="480" w:lineRule="auto"/>
        <w:jc w:val="left"/>
        <w:rPr>
          <w:rFonts w:ascii="Times New Roman" w:eastAsia="Times New Roman" w:hAnsi="Times New Roman" w:cs="Times New Roman"/>
          <w:sz w:val="24"/>
          <w:lang w:val="en-GB"/>
        </w:rPr>
      </w:pPr>
    </w:p>
    <w:p w14:paraId="33B664D9" w14:textId="77777777" w:rsidR="005838D2" w:rsidRPr="0013434E" w:rsidRDefault="00000000">
      <w:pPr>
        <w:spacing w:before="156" w:line="480" w:lineRule="auto"/>
        <w:jc w:val="left"/>
        <w:rPr>
          <w:rFonts w:ascii="Times New Roman" w:eastAsia="Times New Roman" w:hAnsi="Times New Roman" w:cs="Times New Roman"/>
          <w:b/>
          <w:sz w:val="24"/>
          <w:lang w:val="en-GB"/>
        </w:rPr>
      </w:pPr>
      <w:r w:rsidRPr="0013434E">
        <w:rPr>
          <w:rFonts w:ascii="Times New Roman" w:eastAsia="Times New Roman" w:hAnsi="Times New Roman" w:cs="Times New Roman"/>
          <w:b/>
          <w:sz w:val="24"/>
          <w:lang w:val="en-GB"/>
        </w:rPr>
        <w:t>Imaging Evaluation</w:t>
      </w:r>
    </w:p>
    <w:p w14:paraId="77479F7D" w14:textId="2AFDE8EF" w:rsidR="005838D2" w:rsidRPr="0013434E" w:rsidRDefault="00000000">
      <w:pPr>
        <w:spacing w:line="480" w:lineRule="auto"/>
        <w:jc w:val="left"/>
        <w:rPr>
          <w:rFonts w:ascii="Times New Roman" w:eastAsia="Times New Roman" w:hAnsi="Times New Roman" w:cs="Times New Roman"/>
          <w:sz w:val="24"/>
          <w:lang w:val="en-GB"/>
        </w:rPr>
      </w:pPr>
      <w:r w:rsidRPr="0013434E">
        <w:rPr>
          <w:rFonts w:ascii="Times New Roman" w:eastAsia="Times New Roman" w:hAnsi="Times New Roman" w:cs="Times New Roman"/>
          <w:sz w:val="24"/>
          <w:lang w:val="en-GB"/>
        </w:rPr>
        <w:t xml:space="preserve">Radiologists also completed training in image quality and standardised image interpretation. All LDCT images obtained from baseline and follow-up were viewed using the Picture Archiving and Communication Systems (Kodak, </w:t>
      </w:r>
      <w:proofErr w:type="spellStart"/>
      <w:r w:rsidRPr="0013434E">
        <w:rPr>
          <w:rFonts w:ascii="Times New Roman" w:eastAsia="Times New Roman" w:hAnsi="Times New Roman" w:cs="Times New Roman"/>
          <w:sz w:val="24"/>
          <w:lang w:val="en-GB"/>
        </w:rPr>
        <w:t>CareStream</w:t>
      </w:r>
      <w:proofErr w:type="spellEnd"/>
      <w:r w:rsidRPr="0013434E">
        <w:rPr>
          <w:rFonts w:ascii="Times New Roman" w:eastAsia="Times New Roman" w:hAnsi="Times New Roman" w:cs="Times New Roman"/>
          <w:sz w:val="24"/>
          <w:lang w:val="en-GB"/>
        </w:rPr>
        <w:t xml:space="preserve"> as a new name) at standard lung (1500 HU width and -650 HU level), soft tissue (350 HU width and 25 HU level), and bone (2000 HU width and 600 HU level) windows. Axial and coronal maximum intensity projection images with slab thicknesses of 5 mm were used on the workstation to detect the lung nodules and</w:t>
      </w:r>
      <w:r w:rsidR="00D4434C" w:rsidRPr="00D4434C">
        <w:rPr>
          <w:rFonts w:ascii="Microsoft YaHei UI" w:eastAsia="Microsoft YaHei UI" w:hAnsi="Microsoft YaHei UI" w:cs="Arial"/>
          <w:sz w:val="18"/>
          <w:szCs w:val="18"/>
        </w:rPr>
        <w:t xml:space="preserve"> </w:t>
      </w:r>
      <w:r w:rsidR="00D4434C" w:rsidRPr="00D4434C">
        <w:rPr>
          <w:rFonts w:ascii="Times New Roman" w:eastAsia="Times New Roman" w:hAnsi="Times New Roman" w:cs="Times New Roman"/>
          <w:sz w:val="24"/>
        </w:rPr>
        <w:t>perform</w:t>
      </w:r>
      <w:r w:rsidRPr="0013434E">
        <w:rPr>
          <w:rFonts w:ascii="Times New Roman" w:eastAsia="Times New Roman" w:hAnsi="Times New Roman" w:cs="Times New Roman"/>
          <w:sz w:val="24"/>
          <w:lang w:val="en-GB"/>
        </w:rPr>
        <w:t xml:space="preserve"> size measurement</w:t>
      </w:r>
      <w:r w:rsidR="00D4434C" w:rsidRPr="00D4434C">
        <w:rPr>
          <w:rFonts w:ascii="Microsoft YaHei UI" w:eastAsia="Microsoft YaHei UI" w:hAnsi="Microsoft YaHei UI" w:cs="Arial"/>
          <w:sz w:val="18"/>
          <w:szCs w:val="18"/>
        </w:rPr>
        <w:t xml:space="preserve"> </w:t>
      </w:r>
      <w:r w:rsidR="00D4434C" w:rsidRPr="00D4434C">
        <w:rPr>
          <w:rFonts w:ascii="Times New Roman" w:eastAsia="Times New Roman" w:hAnsi="Times New Roman" w:cs="Times New Roman"/>
          <w:sz w:val="24"/>
        </w:rPr>
        <w:t>step-by-step</w:t>
      </w:r>
      <w:r w:rsidRPr="0013434E">
        <w:rPr>
          <w:rFonts w:ascii="Times New Roman" w:eastAsia="Times New Roman" w:hAnsi="Times New Roman" w:cs="Times New Roman"/>
          <w:sz w:val="24"/>
          <w:lang w:val="en-GB"/>
        </w:rPr>
        <w:t xml:space="preserve">. The location, dimension, consistency (solid, partly solid, or nonsolid), calcification, speculated sign, and other radiological features of each nodule were defined and recorded at baseline and repeated CT. For repeated screenings, the images were displayed side-by-side with the corresponding images obtained from baseline screening or recent screening. A second professional interpretation was performed by one of five chest radiologists (N. Wu, Y. Huang, J. Wang, S. Zhao, and W. Tang, with </w:t>
      </w:r>
      <w:r w:rsidRPr="0013434E">
        <w:rPr>
          <w:rFonts w:ascii="Times New Roman" w:eastAsia="Times New Roman" w:hAnsi="Times New Roman" w:cs="Times New Roman"/>
          <w:sz w:val="24"/>
          <w:lang w:val="en-GB"/>
        </w:rPr>
        <w:lastRenderedPageBreak/>
        <w:t>40, 35, 30, 23</w:t>
      </w:r>
      <w:r w:rsidR="00D4434C">
        <w:rPr>
          <w:rFonts w:ascii="Times New Roman" w:hAnsi="Times New Roman" w:cs="Times New Roman" w:hint="eastAsia"/>
          <w:sz w:val="24"/>
          <w:lang w:val="en-GB"/>
        </w:rPr>
        <w:t xml:space="preserve">, </w:t>
      </w:r>
      <w:r w:rsidRPr="0013434E">
        <w:rPr>
          <w:rFonts w:ascii="Times New Roman" w:eastAsia="Times New Roman" w:hAnsi="Times New Roman" w:cs="Times New Roman"/>
          <w:sz w:val="24"/>
          <w:lang w:val="en-GB"/>
        </w:rPr>
        <w:t>and 20 years of experience, respectively), all of whom had over 10 years of experience in interpreting low-dose screening CT images. Each LDCT scan was read to find any abnormalities and initially classify them.</w:t>
      </w:r>
    </w:p>
    <w:p w14:paraId="11BE6344" w14:textId="77777777" w:rsidR="005838D2" w:rsidRPr="0013434E" w:rsidRDefault="005838D2">
      <w:pPr>
        <w:spacing w:line="480" w:lineRule="auto"/>
        <w:rPr>
          <w:rFonts w:ascii="Times New Roman" w:eastAsia="Times New Roman" w:hAnsi="Times New Roman" w:cs="Times New Roman"/>
          <w:sz w:val="24"/>
          <w:lang w:val="en-GB"/>
        </w:rPr>
      </w:pPr>
    </w:p>
    <w:p w14:paraId="4FF2EE0F" w14:textId="77777777" w:rsidR="005838D2" w:rsidRPr="0013434E" w:rsidRDefault="005838D2">
      <w:pPr>
        <w:spacing w:line="480" w:lineRule="auto"/>
        <w:rPr>
          <w:rFonts w:ascii="Times New Roman" w:eastAsia="Times New Roman" w:hAnsi="Times New Roman" w:cs="Times New Roman"/>
          <w:sz w:val="24"/>
          <w:lang w:val="en-GB"/>
        </w:rPr>
      </w:pPr>
    </w:p>
    <w:p w14:paraId="35A3A4CB" w14:textId="77777777" w:rsidR="005838D2" w:rsidRPr="0013434E" w:rsidRDefault="005838D2">
      <w:pPr>
        <w:spacing w:line="480" w:lineRule="auto"/>
        <w:rPr>
          <w:rFonts w:ascii="Times New Roman" w:eastAsia="Times New Roman" w:hAnsi="Times New Roman" w:cs="Times New Roman"/>
          <w:sz w:val="24"/>
          <w:lang w:val="en-GB"/>
        </w:rPr>
      </w:pPr>
    </w:p>
    <w:p w14:paraId="61F5D670" w14:textId="3775768F" w:rsidR="005838D2" w:rsidRPr="0013434E" w:rsidRDefault="005838D2">
      <w:pPr>
        <w:spacing w:line="480" w:lineRule="auto"/>
        <w:rPr>
          <w:rFonts w:ascii="Times New Roman" w:eastAsia="Times New Roman" w:hAnsi="Times New Roman" w:cs="Times New Roman"/>
          <w:sz w:val="24"/>
          <w:lang w:val="en-GB"/>
        </w:rPr>
      </w:pPr>
    </w:p>
    <w:p w14:paraId="6EDCC23D" w14:textId="2EAB4E48" w:rsidR="005838D2" w:rsidRPr="0013434E" w:rsidRDefault="00000000">
      <w:pPr>
        <w:spacing w:line="480" w:lineRule="auto"/>
        <w:rPr>
          <w:rFonts w:ascii="Times New Roman" w:eastAsia="Times New Roman" w:hAnsi="Times New Roman" w:cs="Times New Roman"/>
          <w:b/>
          <w:sz w:val="24"/>
          <w:lang w:val="en-GB"/>
        </w:rPr>
        <w:sectPr w:rsidR="005838D2" w:rsidRPr="0013434E">
          <w:pgSz w:w="11906" w:h="16838"/>
          <w:pgMar w:top="1440" w:right="1800" w:bottom="1440" w:left="1800" w:header="851" w:footer="992" w:gutter="0"/>
          <w:cols w:space="425"/>
          <w:docGrid w:type="lines" w:linePitch="312"/>
        </w:sectPr>
      </w:pPr>
      <w:r w:rsidRPr="0013434E">
        <w:rPr>
          <w:rFonts w:ascii="Times New Roman" w:eastAsia="Times New Roman" w:hAnsi="Times New Roman" w:cs="Times New Roman"/>
          <w:lang w:val="en-GB"/>
        </w:rPr>
        <w:br w:type="page"/>
      </w:r>
    </w:p>
    <w:p w14:paraId="13D0E48C" w14:textId="6051D32F" w:rsidR="005838D2" w:rsidRPr="0013434E" w:rsidRDefault="00000000">
      <w:pPr>
        <w:spacing w:line="480" w:lineRule="auto"/>
        <w:contextualSpacing/>
        <w:rPr>
          <w:rFonts w:ascii="Times New Roman" w:eastAsia="Times New Roman" w:hAnsi="Times New Roman" w:cs="Times New Roman"/>
          <w:b/>
          <w:sz w:val="24"/>
          <w:lang w:val="en-GB"/>
        </w:rPr>
      </w:pPr>
      <w:r w:rsidRPr="0013434E">
        <w:rPr>
          <w:rFonts w:ascii="Times New Roman" w:eastAsia="Times New Roman" w:hAnsi="Times New Roman" w:cs="Times New Roman"/>
          <w:b/>
          <w:sz w:val="24"/>
          <w:lang w:val="en-GB"/>
        </w:rPr>
        <w:lastRenderedPageBreak/>
        <w:t>Table S1. Eligibility Criteria for LCS in the Two Programmes USPSTF and CGSL</w:t>
      </w:r>
    </w:p>
    <w:tbl>
      <w:tblPr>
        <w:tblStyle w:val="a3"/>
        <w:tblW w:w="8359" w:type="dxa"/>
        <w:tblLook w:val="04A0" w:firstRow="1" w:lastRow="0" w:firstColumn="1" w:lastColumn="0" w:noHBand="0" w:noVBand="1"/>
      </w:tblPr>
      <w:tblGrid>
        <w:gridCol w:w="1555"/>
        <w:gridCol w:w="1417"/>
        <w:gridCol w:w="2410"/>
        <w:gridCol w:w="2977"/>
      </w:tblGrid>
      <w:tr w:rsidR="00367E20" w14:paraId="1E5C343F" w14:textId="77777777" w:rsidTr="00211566">
        <w:trPr>
          <w:trHeight w:val="49"/>
        </w:trPr>
        <w:tc>
          <w:tcPr>
            <w:tcW w:w="1555" w:type="dxa"/>
          </w:tcPr>
          <w:p w14:paraId="4FDC7E23" w14:textId="77777777" w:rsidR="005838D2" w:rsidRPr="00211566" w:rsidRDefault="00000000" w:rsidP="00211566">
            <w:pPr>
              <w:contextualSpacing/>
              <w:rPr>
                <w:rFonts w:ascii="Times New Roman" w:eastAsia="Times New Roman" w:hAnsi="Times New Roman" w:cs="Times New Roman"/>
                <w:b/>
                <w:sz w:val="20"/>
                <w:szCs w:val="20"/>
                <w:lang w:val="en-GB"/>
              </w:rPr>
            </w:pPr>
            <w:r w:rsidRPr="00211566">
              <w:rPr>
                <w:rFonts w:ascii="Times New Roman" w:eastAsia="Times New Roman" w:hAnsi="Times New Roman" w:cs="Times New Roman"/>
                <w:b/>
                <w:sz w:val="20"/>
                <w:szCs w:val="20"/>
                <w:lang w:val="en-GB"/>
              </w:rPr>
              <w:t>Screening Protocol</w:t>
            </w:r>
          </w:p>
        </w:tc>
        <w:tc>
          <w:tcPr>
            <w:tcW w:w="1417" w:type="dxa"/>
          </w:tcPr>
          <w:p w14:paraId="58DFF628" w14:textId="77777777" w:rsidR="005838D2" w:rsidRPr="00211566" w:rsidRDefault="00000000" w:rsidP="00211566">
            <w:pPr>
              <w:contextualSpacing/>
              <w:rPr>
                <w:rFonts w:ascii="Times New Roman" w:eastAsia="Times New Roman" w:hAnsi="Times New Roman" w:cs="Times New Roman"/>
                <w:b/>
                <w:sz w:val="20"/>
                <w:szCs w:val="20"/>
                <w:lang w:val="en-GB"/>
              </w:rPr>
            </w:pPr>
            <w:r w:rsidRPr="00211566">
              <w:rPr>
                <w:rFonts w:ascii="Times New Roman" w:eastAsia="Times New Roman" w:hAnsi="Times New Roman" w:cs="Times New Roman"/>
                <w:b/>
                <w:sz w:val="20"/>
                <w:szCs w:val="20"/>
                <w:lang w:val="en-GB"/>
              </w:rPr>
              <w:t>Age</w:t>
            </w:r>
          </w:p>
        </w:tc>
        <w:tc>
          <w:tcPr>
            <w:tcW w:w="2410" w:type="dxa"/>
          </w:tcPr>
          <w:p w14:paraId="22F33686" w14:textId="77777777" w:rsidR="005838D2" w:rsidRPr="00211566" w:rsidRDefault="00000000" w:rsidP="00211566">
            <w:pPr>
              <w:contextualSpacing/>
              <w:rPr>
                <w:rFonts w:ascii="Times New Roman" w:eastAsia="Times New Roman" w:hAnsi="Times New Roman" w:cs="Times New Roman"/>
                <w:b/>
                <w:sz w:val="20"/>
                <w:szCs w:val="20"/>
                <w:lang w:val="en-GB"/>
              </w:rPr>
            </w:pPr>
            <w:r w:rsidRPr="00211566">
              <w:rPr>
                <w:rFonts w:ascii="Times New Roman" w:eastAsia="Times New Roman" w:hAnsi="Times New Roman" w:cs="Times New Roman"/>
                <w:b/>
                <w:sz w:val="20"/>
                <w:szCs w:val="20"/>
                <w:lang w:val="en-GB"/>
              </w:rPr>
              <w:t>History of Cigarette Smoking</w:t>
            </w:r>
          </w:p>
        </w:tc>
        <w:tc>
          <w:tcPr>
            <w:tcW w:w="2977" w:type="dxa"/>
          </w:tcPr>
          <w:p w14:paraId="677F6BEC" w14:textId="77777777" w:rsidR="005838D2" w:rsidRPr="00211566" w:rsidRDefault="00000000" w:rsidP="00211566">
            <w:pPr>
              <w:contextualSpacing/>
              <w:rPr>
                <w:rFonts w:ascii="Times New Roman" w:eastAsia="Times New Roman" w:hAnsi="Times New Roman" w:cs="Times New Roman"/>
                <w:b/>
                <w:sz w:val="20"/>
                <w:szCs w:val="20"/>
                <w:lang w:val="en-GB"/>
              </w:rPr>
            </w:pPr>
            <w:r w:rsidRPr="00211566">
              <w:rPr>
                <w:rFonts w:ascii="Times New Roman" w:eastAsia="Times New Roman" w:hAnsi="Times New Roman" w:cs="Times New Roman"/>
                <w:b/>
                <w:sz w:val="20"/>
                <w:szCs w:val="20"/>
                <w:lang w:val="en-GB"/>
              </w:rPr>
              <w:t>Others</w:t>
            </w:r>
          </w:p>
        </w:tc>
      </w:tr>
      <w:tr w:rsidR="00367E20" w14:paraId="424A4E1F" w14:textId="77777777" w:rsidTr="00211566">
        <w:trPr>
          <w:trHeight w:val="49"/>
        </w:trPr>
        <w:tc>
          <w:tcPr>
            <w:tcW w:w="1555" w:type="dxa"/>
          </w:tcPr>
          <w:p w14:paraId="524D23DC" w14:textId="77777777"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CGSL 2021</w:t>
            </w:r>
          </w:p>
        </w:tc>
        <w:tc>
          <w:tcPr>
            <w:tcW w:w="1417" w:type="dxa"/>
          </w:tcPr>
          <w:p w14:paraId="746599FE" w14:textId="77777777"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50–74 Years</w:t>
            </w:r>
          </w:p>
        </w:tc>
        <w:tc>
          <w:tcPr>
            <w:tcW w:w="2410" w:type="dxa"/>
          </w:tcPr>
          <w:p w14:paraId="78D194C3" w14:textId="77777777"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Smoking ≥30 packs/year (including ever smoked ≥30 packs/year but quit &lt;15 years); passive smoking ≥20 years</w:t>
            </w:r>
          </w:p>
        </w:tc>
        <w:tc>
          <w:tcPr>
            <w:tcW w:w="2977" w:type="dxa"/>
          </w:tcPr>
          <w:p w14:paraId="6EA9EB31" w14:textId="77777777" w:rsidR="00211566" w:rsidRDefault="00000000" w:rsidP="00211566">
            <w:pPr>
              <w:contextualSpacing/>
              <w:rPr>
                <w:rFonts w:ascii="Times New Roman" w:hAnsi="Times New Roman" w:cs="Times New Roman"/>
                <w:sz w:val="20"/>
                <w:szCs w:val="20"/>
                <w:lang w:val="en-GB"/>
              </w:rPr>
            </w:pPr>
            <w:r w:rsidRPr="00211566">
              <w:rPr>
                <w:rFonts w:ascii="Times New Roman" w:eastAsia="Times New Roman" w:hAnsi="Times New Roman" w:cs="Times New Roman"/>
                <w:sz w:val="20"/>
                <w:szCs w:val="20"/>
                <w:lang w:val="en-GB"/>
              </w:rPr>
              <w:t>Chronic obstructive pulmonary disease;</w:t>
            </w:r>
          </w:p>
          <w:p w14:paraId="1CB5093A" w14:textId="77777777" w:rsidR="00211566" w:rsidRDefault="00000000" w:rsidP="00211566">
            <w:pPr>
              <w:contextualSpacing/>
              <w:rPr>
                <w:rFonts w:ascii="Times New Roman" w:hAnsi="Times New Roman" w:cs="Times New Roman"/>
                <w:sz w:val="20"/>
                <w:szCs w:val="20"/>
                <w:lang w:val="en-GB"/>
              </w:rPr>
            </w:pPr>
            <w:r w:rsidRPr="00211566">
              <w:rPr>
                <w:rFonts w:ascii="Times New Roman" w:eastAsia="Times New Roman" w:hAnsi="Times New Roman" w:cs="Times New Roman"/>
                <w:sz w:val="20"/>
                <w:szCs w:val="20"/>
                <w:lang w:val="en-GB"/>
              </w:rPr>
              <w:t xml:space="preserve"> history of occupational exposure ≥1 year; </w:t>
            </w:r>
          </w:p>
          <w:p w14:paraId="1B4507D6" w14:textId="07B0979D"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having a first-degree relative with a confirmed lung cancer diagnosis</w:t>
            </w:r>
          </w:p>
        </w:tc>
      </w:tr>
      <w:tr w:rsidR="00367E20" w14:paraId="5D155963" w14:textId="77777777" w:rsidTr="00211566">
        <w:trPr>
          <w:trHeight w:val="427"/>
        </w:trPr>
        <w:tc>
          <w:tcPr>
            <w:tcW w:w="1555" w:type="dxa"/>
          </w:tcPr>
          <w:p w14:paraId="37A3C9A3" w14:textId="77777777"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USPSTF2021</w:t>
            </w:r>
          </w:p>
        </w:tc>
        <w:tc>
          <w:tcPr>
            <w:tcW w:w="1417" w:type="dxa"/>
          </w:tcPr>
          <w:p w14:paraId="217B4BE8" w14:textId="77777777"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50–80 Years</w:t>
            </w:r>
          </w:p>
        </w:tc>
        <w:tc>
          <w:tcPr>
            <w:tcW w:w="2410" w:type="dxa"/>
          </w:tcPr>
          <w:p w14:paraId="121BC705" w14:textId="77777777"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Smoking ≥20 packs/year</w:t>
            </w:r>
          </w:p>
          <w:p w14:paraId="4EAEC616" w14:textId="1E5126EA"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Quit smoking</w:t>
            </w:r>
            <w:r w:rsidR="003C7E35" w:rsidRPr="00211566">
              <w:rPr>
                <w:rFonts w:ascii="Times New Roman" w:eastAsia="Times New Roman" w:hAnsi="Times New Roman" w:cs="Times New Roman"/>
                <w:sz w:val="20"/>
                <w:szCs w:val="20"/>
                <w:lang w:val="en-GB"/>
              </w:rPr>
              <w:t xml:space="preserve"> </w:t>
            </w:r>
            <w:r w:rsidRPr="00211566">
              <w:rPr>
                <w:rFonts w:ascii="Times New Roman" w:eastAsia="Times New Roman" w:hAnsi="Times New Roman" w:cs="Times New Roman"/>
                <w:sz w:val="20"/>
                <w:szCs w:val="20"/>
                <w:lang w:val="en-GB"/>
              </w:rPr>
              <w:t>15 years</w:t>
            </w:r>
          </w:p>
        </w:tc>
        <w:tc>
          <w:tcPr>
            <w:tcW w:w="2977" w:type="dxa"/>
          </w:tcPr>
          <w:p w14:paraId="21F20778" w14:textId="77777777" w:rsidR="005838D2" w:rsidRPr="00211566" w:rsidRDefault="00000000" w:rsidP="00211566">
            <w:pPr>
              <w:contextualSpacing/>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N/A</w:t>
            </w:r>
          </w:p>
        </w:tc>
      </w:tr>
    </w:tbl>
    <w:p w14:paraId="17132028" w14:textId="77777777" w:rsidR="005838D2" w:rsidRPr="00211566" w:rsidRDefault="00000000" w:rsidP="00211566">
      <w:pPr>
        <w:widowControl/>
        <w:contextualSpacing/>
        <w:jc w:val="left"/>
        <w:rPr>
          <w:rFonts w:ascii="Times New Roman" w:eastAsia="Times New Roman" w:hAnsi="Times New Roman" w:cs="Times New Roman"/>
          <w:sz w:val="20"/>
          <w:szCs w:val="20"/>
          <w:lang w:val="en-GB"/>
        </w:rPr>
      </w:pPr>
      <w:r w:rsidRPr="00211566">
        <w:rPr>
          <w:rFonts w:ascii="Times New Roman" w:eastAsia="Times New Roman" w:hAnsi="Times New Roman" w:cs="Times New Roman"/>
          <w:sz w:val="20"/>
          <w:szCs w:val="20"/>
          <w:lang w:val="en-GB"/>
        </w:rPr>
        <w:t>Abbreviations: CGSL = China guidelines for the screening and early detection of lung cancer; N/A = not applicable, USPSTF = US Preventive Services Task Force</w:t>
      </w:r>
    </w:p>
    <w:p w14:paraId="53C5554E" w14:textId="77777777" w:rsidR="005838D2" w:rsidRPr="00211566" w:rsidRDefault="005838D2">
      <w:pPr>
        <w:widowControl/>
        <w:spacing w:line="480" w:lineRule="auto"/>
        <w:contextualSpacing/>
        <w:jc w:val="left"/>
        <w:rPr>
          <w:rFonts w:ascii="Times New Roman" w:eastAsia="Times New Roman" w:hAnsi="Times New Roman" w:cs="Times New Roman"/>
          <w:sz w:val="20"/>
          <w:szCs w:val="20"/>
          <w:lang w:val="en-GB"/>
        </w:rPr>
      </w:pPr>
    </w:p>
    <w:p w14:paraId="546662B5" w14:textId="77777777" w:rsidR="005838D2" w:rsidRPr="0013434E" w:rsidRDefault="005838D2">
      <w:pPr>
        <w:spacing w:line="480" w:lineRule="auto"/>
        <w:rPr>
          <w:rFonts w:ascii="Times New Roman" w:eastAsia="Times New Roman" w:hAnsi="Times New Roman" w:cs="Times New Roman"/>
          <w:sz w:val="24"/>
          <w:lang w:val="en-GB"/>
        </w:rPr>
      </w:pPr>
    </w:p>
    <w:sectPr w:rsidR="005838D2" w:rsidRPr="0013434E" w:rsidSect="00211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F65D7" w14:textId="77777777" w:rsidR="00631C8F" w:rsidRDefault="00631C8F" w:rsidP="002C32D4">
      <w:pPr>
        <w:rPr>
          <w:rFonts w:hint="eastAsia"/>
        </w:rPr>
      </w:pPr>
      <w:r>
        <w:separator/>
      </w:r>
    </w:p>
  </w:endnote>
  <w:endnote w:type="continuationSeparator" w:id="0">
    <w:p w14:paraId="71B1EABE" w14:textId="77777777" w:rsidR="00631C8F" w:rsidRDefault="00631C8F" w:rsidP="002C32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1286D" w14:textId="77777777" w:rsidR="00631C8F" w:rsidRDefault="00631C8F" w:rsidP="002C32D4">
      <w:pPr>
        <w:rPr>
          <w:rFonts w:hint="eastAsia"/>
        </w:rPr>
      </w:pPr>
      <w:r>
        <w:separator/>
      </w:r>
    </w:p>
  </w:footnote>
  <w:footnote w:type="continuationSeparator" w:id="0">
    <w:p w14:paraId="25D6DC58" w14:textId="77777777" w:rsidR="00631C8F" w:rsidRDefault="00631C8F" w:rsidP="002C32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8D2"/>
    <w:rsid w:val="000D4D7A"/>
    <w:rsid w:val="0013434E"/>
    <w:rsid w:val="00211566"/>
    <w:rsid w:val="00227071"/>
    <w:rsid w:val="002C32D4"/>
    <w:rsid w:val="002E01EB"/>
    <w:rsid w:val="00306F6A"/>
    <w:rsid w:val="00353336"/>
    <w:rsid w:val="00367E20"/>
    <w:rsid w:val="003C7E35"/>
    <w:rsid w:val="00551476"/>
    <w:rsid w:val="005838D2"/>
    <w:rsid w:val="00631C8F"/>
    <w:rsid w:val="00691D6A"/>
    <w:rsid w:val="00730D76"/>
    <w:rsid w:val="00767C90"/>
    <w:rsid w:val="008541C6"/>
    <w:rsid w:val="008C2198"/>
    <w:rsid w:val="008F5193"/>
    <w:rsid w:val="00A46F64"/>
    <w:rsid w:val="00AE1883"/>
    <w:rsid w:val="00B23B45"/>
    <w:rsid w:val="00B52737"/>
    <w:rsid w:val="00B7404E"/>
    <w:rsid w:val="00BA3073"/>
    <w:rsid w:val="00BB241A"/>
    <w:rsid w:val="00D4434C"/>
    <w:rsid w:val="00D80B3C"/>
    <w:rsid w:val="00E461DC"/>
    <w:rsid w:val="00FD6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971EE"/>
  <w15:docId w15:val="{0C1EF805-A121-4582-A615-CF63CE6E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pPr>
      <w:spacing w:line="305" w:lineRule="auto"/>
    </w:pPr>
    <w:rPr>
      <w:rFonts w:ascii="Calibri" w:eastAsia="Calibri" w:hAnsi="Calibri" w:cs="Calibri"/>
      <w:sz w:val="26"/>
    </w:rPr>
  </w:style>
  <w:style w:type="paragraph" w:styleId="TOC2">
    <w:name w:val="toc 2"/>
    <w:basedOn w:val="a"/>
    <w:pPr>
      <w:spacing w:line="330" w:lineRule="auto"/>
    </w:pPr>
    <w:rPr>
      <w:rFonts w:ascii="Calibri" w:eastAsia="Calibri" w:hAnsi="Calibri" w:cs="Calibri"/>
      <w:sz w:val="24"/>
    </w:rPr>
  </w:style>
  <w:style w:type="paragraph" w:styleId="TOC3">
    <w:name w:val="toc 3"/>
    <w:basedOn w:val="a"/>
    <w:pPr>
      <w:spacing w:line="360" w:lineRule="auto"/>
    </w:pPr>
    <w:rPr>
      <w:rFonts w:ascii="Calibri" w:eastAsia="Calibri" w:hAnsi="Calibri" w:cs="Calibri"/>
      <w:sz w:val="22"/>
    </w:rPr>
  </w:style>
  <w:style w:type="paragraph" w:styleId="TOC4">
    <w:name w:val="toc 4"/>
    <w:basedOn w:val="a"/>
    <w:pPr>
      <w:spacing w:line="330" w:lineRule="exact"/>
    </w:pPr>
    <w:rPr>
      <w:rFonts w:ascii="Calibri" w:eastAsia="Calibri" w:hAnsi="Calibri" w:cs="Calibri"/>
    </w:rPr>
  </w:style>
  <w:style w:type="paragraph" w:styleId="TOC5">
    <w:name w:val="toc 5"/>
    <w:basedOn w:val="a"/>
    <w:pPr>
      <w:spacing w:line="330" w:lineRule="exact"/>
    </w:pPr>
    <w:rPr>
      <w:rFonts w:ascii="Calibri" w:eastAsia="Calibri" w:hAnsi="Calibri" w:cs="Calibri"/>
    </w:rPr>
  </w:style>
  <w:style w:type="paragraph" w:styleId="TOC6">
    <w:name w:val="toc 6"/>
    <w:basedOn w:val="a"/>
    <w:pPr>
      <w:spacing w:line="330" w:lineRule="exact"/>
    </w:pPr>
    <w:rPr>
      <w:rFonts w:ascii="Calibri" w:eastAsia="Calibri" w:hAnsi="Calibri" w:cs="Calibri"/>
    </w:rPr>
  </w:style>
  <w:style w:type="paragraph" w:styleId="TOC7">
    <w:name w:val="toc 7"/>
    <w:basedOn w:val="a"/>
    <w:pPr>
      <w:spacing w:line="330" w:lineRule="exact"/>
    </w:pPr>
    <w:rPr>
      <w:rFonts w:ascii="Calibri" w:eastAsia="Calibri" w:hAnsi="Calibri" w:cs="Calibri"/>
    </w:rPr>
  </w:style>
  <w:style w:type="paragraph" w:styleId="TOC8">
    <w:name w:val="toc 8"/>
    <w:basedOn w:val="a"/>
    <w:pPr>
      <w:spacing w:line="330" w:lineRule="exact"/>
    </w:pPr>
    <w:rPr>
      <w:rFonts w:ascii="Calibri" w:eastAsia="Calibri" w:hAnsi="Calibri" w:cs="Calibri"/>
    </w:rPr>
  </w:style>
  <w:style w:type="paragraph" w:styleId="TOC9">
    <w:name w:val="toc 9"/>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customStyle="1" w:styleId="CommentReference1">
    <w:name w:val="Comment Reference1"/>
    <w:basedOn w:val="a0"/>
    <w:rPr>
      <w:sz w:val="16"/>
    </w:rPr>
  </w:style>
  <w:style w:type="character" w:styleId="a4">
    <w:name w:val="endnote reference"/>
    <w:basedOn w:val="a0"/>
    <w:rPr>
      <w:vertAlign w:val="superscript"/>
    </w:rPr>
  </w:style>
  <w:style w:type="character" w:styleId="a5">
    <w:name w:val="footnote reference"/>
    <w:basedOn w:val="a0"/>
    <w:rPr>
      <w:vertAlign w:val="superscript"/>
    </w:rPr>
  </w:style>
  <w:style w:type="table" w:customStyle="1" w:styleId="1">
    <w:name w:val="网格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napToGrid w:val="0"/>
      <w:jc w:val="center"/>
    </w:pPr>
    <w:rPr>
      <w:sz w:val="18"/>
    </w:rPr>
  </w:style>
  <w:style w:type="paragraph" w:styleId="a7">
    <w:name w:val="footer"/>
    <w:basedOn w:val="a"/>
    <w:pPr>
      <w:tabs>
        <w:tab w:val="center" w:pos="4153"/>
        <w:tab w:val="right" w:pos="8306"/>
      </w:tabs>
      <w:snapToGrid w:val="0"/>
      <w:jc w:val="left"/>
    </w:pPr>
    <w:rPr>
      <w:sz w:val="18"/>
    </w:rPr>
  </w:style>
  <w:style w:type="paragraph" w:styleId="a8">
    <w:name w:val="Revision"/>
  </w:style>
  <w:style w:type="character" w:styleId="a9">
    <w:name w:val="annotation reference"/>
    <w:basedOn w:val="a0"/>
    <w:rPr>
      <w:sz w:val="16"/>
    </w:rPr>
  </w:style>
  <w:style w:type="paragraph" w:styleId="aa">
    <w:name w:val="annotation text"/>
    <w:basedOn w:val="a"/>
    <w:rPr>
      <w:sz w:val="20"/>
    </w:rPr>
  </w:style>
  <w:style w:type="paragraph" w:styleId="ab">
    <w:name w:val="annotation subject"/>
    <w:basedOn w:val="aa"/>
    <w:rPr>
      <w:b/>
    </w:rPr>
  </w:style>
  <w:style w:type="character" w:styleId="ac">
    <w:name w:val="Hyperlink"/>
    <w:basedOn w:val="a0"/>
    <w:rPr>
      <w:color w:val="0563C1"/>
      <w:u w:val="single"/>
    </w:rPr>
  </w:style>
  <w:style w:type="character" w:customStyle="1" w:styleId="UnresolvedMention1">
    <w:name w:val="Unresolved Mention1"/>
    <w:basedOn w:val="a0"/>
    <w:rPr>
      <w:color w:val="605E5C"/>
    </w:rPr>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ad">
    <w:name w:val="foot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styleId="ae">
    <w:name w:val="endnote text"/>
    <w:basedOn w:val="a"/>
    <w:rPr>
      <w:rFonts w:ascii="Calibri" w:eastAsia="Calibri" w:hAnsi="Calibri" w:cs="Calibri"/>
    </w:rPr>
  </w:style>
  <w:style w:type="paragraph" w:styleId="af">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f0">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f1">
    <w:name w:val="Balloon Text"/>
    <w:basedOn w:val="a"/>
    <w:rPr>
      <w:rFonts w:ascii="Calibri" w:eastAsia="Calibri" w:hAnsi="Calibri" w:cs="Calibri"/>
      <w:color w:val="000000"/>
      <w:sz w:val="16"/>
    </w:rPr>
  </w:style>
  <w:style w:type="character" w:customStyle="1" w:styleId="IssueNumber">
    <w:name w:val="Issue Number"/>
    <w:basedOn w:val="a0"/>
    <w:rPr>
      <w:shd w:val="clear" w:color="auto" w:fill="CDD5FF"/>
    </w:rPr>
  </w:style>
  <w:style w:type="paragraph" w:styleId="af2">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3">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
    <w:name w:val="List 5"/>
    <w:basedOn w:val="a"/>
    <w:pPr>
      <w:spacing w:line="360" w:lineRule="auto"/>
      <w:ind w:left="1800" w:hanging="400"/>
    </w:pPr>
    <w:rPr>
      <w:rFonts w:ascii="Calibri" w:eastAsia="Calibri" w:hAnsi="Calibri" w:cs="Calibri"/>
      <w:sz w:val="22"/>
    </w:rPr>
  </w:style>
  <w:style w:type="paragraph" w:customStyle="1" w:styleId="CommentText1">
    <w:name w:val="Comment Text1"/>
    <w:basedOn w:val="a"/>
    <w:pPr>
      <w:jc w:val="left"/>
    </w:pPr>
    <w:rPr>
      <w:rFonts w:ascii="Calibri" w:eastAsia="Calibri" w:hAnsi="Calibri" w:cs="Calibri"/>
      <w:sz w:val="20"/>
    </w:rPr>
  </w:style>
  <w:style w:type="character" w:customStyle="1" w:styleId="Publisher">
    <w:name w:val="Publisher"/>
    <w:basedOn w:val="a0"/>
    <w:rPr>
      <w:shd w:val="clear" w:color="auto" w:fill="F2DDFF"/>
    </w:rPr>
  </w:style>
  <w:style w:type="paragraph" w:styleId="af4">
    <w:name w:val="caption"/>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A5A15-0002-41A0-816B-7B409A439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595</Words>
  <Characters>3393</Characters>
  <Application>Microsoft Office Word</Application>
  <DocSecurity>0</DocSecurity>
  <Lines>28</Lines>
  <Paragraphs>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tyy</dc:creator>
  <cp:lastModifiedBy>yanyantang0407@163.com</cp:lastModifiedBy>
  <cp:revision>2</cp:revision>
  <dcterms:created xsi:type="dcterms:W3CDTF">2024-07-19T13:58:00Z</dcterms:created>
  <dcterms:modified xsi:type="dcterms:W3CDTF">2024-07-19T13:58:00Z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0</vt:lpwstr>
  </property>
  <property fmtid="{D5CDD505-2E9C-101B-9397-08002B2CF9AE}" pid="8" name="Merops client version">
    <vt:lpwstr/>
  </property>
  <property fmtid="{D5CDD505-2E9C-101B-9397-08002B2CF9AE}" pid="9" name="Merops comment count">
    <vt:lpwstr>0</vt:lpwstr>
  </property>
  <property fmtid="{D5CDD505-2E9C-101B-9397-08002B2CF9AE}" pid="10" name="Merops DOI links count">
    <vt:lpwstr>0</vt:lpwstr>
  </property>
  <property fmtid="{D5CDD505-2E9C-101B-9397-08002B2CF9AE}" pid="11" name="Merops email addresses count">
    <vt:lpwstr>0</vt:lpwstr>
  </property>
  <property fmtid="{D5CDD505-2E9C-101B-9397-08002B2CF9AE}" pid="12" name="Merops figures count">
    <vt:lpwstr>1</vt:lpwstr>
  </property>
  <property fmtid="{D5CDD505-2E9C-101B-9397-08002B2CF9AE}" pid="13" name="Merops footnotes/endnotes count">
    <vt:lpwstr>0</vt:lpwstr>
  </property>
  <property fmtid="{D5CDD505-2E9C-101B-9397-08002B2CF9AE}" pid="14" name="Merops graphics count">
    <vt:lpwstr>1</vt:lpwstr>
  </property>
  <property fmtid="{D5CDD505-2E9C-101B-9397-08002B2CF9AE}" pid="15" name="Merops input file path">
    <vt:lpwstr>c279d39b-84d2-46e9-8b19-020b2bcd839b.docx</vt:lpwstr>
  </property>
  <property fmtid="{D5CDD505-2E9C-101B-9397-08002B2CF9AE}" pid="16" name="Merops intra-document links count">
    <vt:lpwstr>0</vt:lpwstr>
  </property>
  <property fmtid="{D5CDD505-2E9C-101B-9397-08002B2CF9AE}" pid="17" name="Merops item path">
    <vt:lpwstr>MG-Session/On-20240718/I:b81e6d52-e204-4189-8ebf-ce7d7b55ada7</vt:lpwstr>
  </property>
  <property fmtid="{D5CDD505-2E9C-101B-9397-08002B2CF9AE}" pid="18" name="Merops processed date">
    <vt:lpwstr>2024/07/18 03:58:16 AM</vt:lpwstr>
  </property>
  <property fmtid="{D5CDD505-2E9C-101B-9397-08002B2CF9AE}" pid="19" name="Merops PubMed links count">
    <vt:lpwstr>0</vt:lpwstr>
  </property>
  <property fmtid="{D5CDD505-2E9C-101B-9397-08002B2CF9AE}" pid="20" name="Merops references count">
    <vt:lpwstr>0</vt:lpwstr>
  </property>
  <property fmtid="{D5CDD505-2E9C-101B-9397-08002B2CF9AE}" pid="21" name="Merops Scopus links count">
    <vt:lpwstr>0</vt:lpwstr>
  </property>
  <property fmtid="{D5CDD505-2E9C-101B-9397-08002B2CF9AE}" pid="22" name="Merops server path">
    <vt:lpwstr/>
  </property>
  <property fmtid="{D5CDD505-2E9C-101B-9397-08002B2CF9AE}" pid="23" name="Merops Standard Set">
    <vt:lpwstr>merops/preset-v1/biomed-central</vt:lpwstr>
  </property>
  <property fmtid="{D5CDD505-2E9C-101B-9397-08002B2CF9AE}" pid="24" name="Merops Standard Set modified">
    <vt:lpwstr/>
  </property>
  <property fmtid="{D5CDD505-2E9C-101B-9397-08002B2CF9AE}" pid="25" name="Merops tables count">
    <vt:lpwstr>1</vt:lpwstr>
  </property>
  <property fmtid="{D5CDD505-2E9C-101B-9397-08002B2CF9AE}" pid="26" name="Merops word count">
    <vt:lpwstr>699</vt:lpwstr>
  </property>
  <property fmtid="{D5CDD505-2E9C-101B-9397-08002B2CF9AE}" pid="27" name="Merops WorldCat links count">
    <vt:lpwstr>0</vt:lpwstr>
  </property>
  <property fmtid="{D5CDD505-2E9C-101B-9397-08002B2CF9AE}" pid="28" name="ppub">
    <vt:lpwstr/>
  </property>
  <property fmtid="{D5CDD505-2E9C-101B-9397-08002B2CF9AE}" pid="29" name="Publisher">
    <vt:lpwstr/>
  </property>
  <property fmtid="{D5CDD505-2E9C-101B-9397-08002B2CF9AE}" pid="30" name="Publisher-location">
    <vt:lpwstr/>
  </property>
  <property fmtid="{D5CDD505-2E9C-101B-9397-08002B2CF9AE}" pid="31" name="ReceivedDate">
    <vt:lpwstr/>
  </property>
  <property fmtid="{D5CDD505-2E9C-101B-9397-08002B2CF9AE}" pid="32" name="Reference citation style">
    <vt:lpwstr>numerical</vt:lpwstr>
  </property>
  <property fmtid="{D5CDD505-2E9C-101B-9397-08002B2CF9AE}" pid="33" name="Source">
    <vt:lpwstr/>
  </property>
  <property fmtid="{D5CDD505-2E9C-101B-9397-08002B2CF9AE}" pid="34" name="Source-abbreviated">
    <vt:lpwstr/>
  </property>
  <property fmtid="{D5CDD505-2E9C-101B-9397-08002B2CF9AE}" pid="35" name="Source-short">
    <vt:lpwstr/>
  </property>
  <property fmtid="{D5CDD505-2E9C-101B-9397-08002B2CF9AE}" pid="36" name="Subject">
    <vt:lpwstr/>
  </property>
</Properties>
</file>