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60" w:line="480" w:lineRule="auto"/>
        <w:jc w:val="center"/>
        <w:rPr>
          <w:rFonts w:ascii="Times New Roman" w:hAnsi="Times New Roman" w:eastAsia="宋体"/>
          <w:b/>
          <w:kern w:val="0"/>
          <w:sz w:val="32"/>
          <w:szCs w:val="32"/>
          <w:lang w:eastAsia="en-US"/>
        </w:rPr>
      </w:pPr>
      <w:bookmarkStart w:id="0" w:name="_Hlk15053634"/>
      <w:bookmarkStart w:id="10" w:name="_GoBack"/>
      <w:bookmarkEnd w:id="10"/>
      <w:r>
        <w:rPr>
          <w:rFonts w:ascii="Times New Roman" w:hAnsi="Times New Roman" w:eastAsia="宋体"/>
          <w:b/>
          <w:kern w:val="0"/>
          <w:sz w:val="32"/>
          <w:szCs w:val="32"/>
          <w:lang w:eastAsia="en-US"/>
        </w:rPr>
        <w:t>Supporting Information</w:t>
      </w:r>
    </w:p>
    <w:p>
      <w:pPr>
        <w:spacing w:line="40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Title: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 fluorescent sensor for rapid and quantitative aquatic bacteria detection based on bacterial reactive oxygen species</w:t>
      </w:r>
    </w:p>
    <w:p>
      <w:pPr>
        <w:spacing w:line="400" w:lineRule="atLeast"/>
        <w:rPr>
          <w:rFonts w:ascii="Times New Roman" w:hAnsi="Times New Roman" w:cs="Times New Roman"/>
          <w:sz w:val="24"/>
        </w:rPr>
      </w:pPr>
      <w:bookmarkStart w:id="1" w:name="_Hlk94547740"/>
    </w:p>
    <w:bookmarkEnd w:id="1"/>
    <w:p>
      <w:pPr>
        <w:spacing w:line="400" w:lineRule="atLeast"/>
        <w:rPr>
          <w:rFonts w:ascii="Times New Roman" w:hAnsi="Times New Roman" w:cs="Times New Roman"/>
          <w:iCs/>
          <w:color w:val="000000"/>
          <w:sz w:val="24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/>
          <w:bCs/>
          <w:sz w:val="24"/>
        </w:rPr>
        <w:t>Authors:</w:t>
      </w:r>
      <w:r>
        <w:rPr>
          <w:rFonts w:ascii="Times New Roman" w:hAnsi="Times New Roman" w:cs="Times New Roman"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Tingshan Song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, 1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, Rui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in Xiao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, Bao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h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ua Tian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cs="Times New Roman"/>
          <w:iCs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Xin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x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in Li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Hai</w:t>
      </w:r>
      <w:r>
        <w:rPr>
          <w:rFonts w:hint="eastAsia"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x</w:t>
      </w:r>
      <w:r>
        <w:rPr>
          <w:rFonts w:ascii="Times New Roman" w:hAnsi="Times New Roman" w:cs="Times New Roman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ia Liang </w:t>
      </w:r>
      <w:r>
        <w:rPr>
          <w:rFonts w:ascii="Times New Roman" w:hAnsi="Times New Roman" w:cs="Times New Roman"/>
          <w:iCs/>
          <w:color w:val="000000"/>
          <w:sz w:val="24"/>
          <w:shd w:val="clear" w:color="auto" w:fill="FFFFFF"/>
          <w:vertAlign w:val="superscript"/>
        </w:rPr>
        <w:t>a,</w:t>
      </w:r>
      <w:r>
        <w:rPr>
          <w:rFonts w:hint="eastAsia" w:ascii="Times New Roman" w:hAnsi="Times New Roman" w:cs="Times New Roman"/>
          <w:iCs/>
          <w:color w:val="000000"/>
          <w:sz w:val="24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hd w:val="clear" w:color="auto" w:fill="FFFFFF"/>
          <w:vertAlign w:val="superscript"/>
        </w:rPr>
        <w:t>b,</w:t>
      </w:r>
      <w:r>
        <w:rPr>
          <w:rFonts w:hint="eastAsia" w:ascii="Times New Roman" w:hAnsi="Times New Roman" w:cs="Times New Roman"/>
          <w:iCs/>
          <w:color w:val="000000"/>
          <w:sz w:val="24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hd w:val="clear" w:color="auto" w:fill="FFFFFF"/>
          <w:vertAlign w:val="superscript"/>
        </w:rPr>
        <w:t>*</w:t>
      </w:r>
    </w:p>
    <w:p>
      <w:pPr>
        <w:spacing w:line="400" w:lineRule="atLeast"/>
        <w:rPr>
          <w:rFonts w:ascii="Times New Roman" w:hAnsi="Times New Roman" w:cs="Times New Roman"/>
          <w:iCs/>
          <w:color w:val="000000"/>
          <w:sz w:val="24"/>
          <w:shd w:val="clear" w:color="auto" w:fill="FFFFFF"/>
          <w:vertAlign w:val="superscript"/>
        </w:rPr>
      </w:pPr>
    </w:p>
    <w:p>
      <w:pPr>
        <w:pStyle w:val="8"/>
        <w:spacing w:before="240" w:line="400" w:lineRule="atLeast"/>
        <w:rPr>
          <w:rFonts w:ascii="Times New Roman" w:hAnsi="Times New Roman" w:cs="Times New Roman"/>
          <w:b/>
          <w:bCs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lang w:val="en-US" w:eastAsia="zh-CN"/>
        </w:rPr>
        <w:t>Affiliations:</w:t>
      </w:r>
    </w:p>
    <w:p>
      <w:pPr>
        <w:pStyle w:val="8"/>
        <w:spacing w:before="240" w:line="40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  <w:lang w:val="en-US" w:eastAsia="zh-CN"/>
        </w:rPr>
        <w:t>a</w:t>
      </w:r>
      <w:r>
        <w:rPr>
          <w:rFonts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College of Biomedical Engineering, Taiyuan University of Technology, 209 University Street, Jinzhong, Shanxi 030600, China.</w:t>
      </w:r>
    </w:p>
    <w:p>
      <w:pPr>
        <w:pStyle w:val="8"/>
        <w:spacing w:before="240" w:line="40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  <w:lang w:val="en-US" w:eastAsia="zh-CN"/>
        </w:rPr>
        <w:t>b</w:t>
      </w:r>
      <w:r>
        <w:rPr>
          <w:rFonts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College of Ecology, Taiyuan University of Technology, 79 West Street Yingze, Taiyuan, Shanxi 030024, China.</w:t>
      </w:r>
    </w:p>
    <w:p>
      <w:pPr>
        <w:pStyle w:val="8"/>
        <w:spacing w:before="240" w:line="400" w:lineRule="atLeast"/>
        <w:rPr>
          <w:rFonts w:ascii="Times New Roman" w:hAnsi="Times New Roman" w:cs="Times New Roman"/>
          <w:sz w:val="24"/>
        </w:rPr>
      </w:pPr>
    </w:p>
    <w:p>
      <w:pPr>
        <w:pStyle w:val="8"/>
        <w:spacing w:before="240" w:line="400" w:lineRule="atLeast"/>
        <w:rPr>
          <w:rFonts w:ascii="Times New Roman" w:hAnsi="Times New Roman" w:cs="Times New Roman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/>
          <w:b/>
          <w:bCs/>
          <w:sz w:val="24"/>
          <w:lang w:val="en-US" w:eastAsia="zh-CN"/>
        </w:rPr>
        <w:t>Corresponding author E-mail address:</w:t>
      </w:r>
      <w:r>
        <w:rPr>
          <w:rFonts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lianghaixia456@hotmail.com</w:t>
      </w:r>
    </w:p>
    <w:p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4310" cy="2174240"/>
            <wp:effectExtent l="0" t="0" r="13970" b="5080"/>
            <wp:docPr id="2" name="图片 2" descr="宋婷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宋婷姗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Fig. S1</w:t>
      </w:r>
      <w:r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Fluorescence spectra of CDs and Ag@CDs prepared </w:t>
      </w:r>
      <w:r>
        <w:rPr>
          <w:rFonts w:hint="eastAsia" w:ascii="Times New Roman" w:hAnsi="Times New Roman" w:cs="Times New Roman"/>
          <w:szCs w:val="21"/>
        </w:rPr>
        <w:t>with</w:t>
      </w:r>
      <w:r>
        <w:rPr>
          <w:rFonts w:ascii="Times New Roman" w:hAnsi="Times New Roman" w:cs="Times New Roman"/>
          <w:szCs w:val="21"/>
        </w:rPr>
        <w:t xml:space="preserve"> different (a) reaction time and (b) temperature. </w:t>
      </w:r>
    </w:p>
    <w:p>
      <w:pPr>
        <w:rPr>
          <w:rFonts w:ascii="Times New Roman" w:hAnsi="Times New Roman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Tab</w:t>
      </w:r>
      <w:r>
        <w:rPr>
          <w:rFonts w:hint="eastAsia"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le. S1</w:t>
      </w:r>
      <w:r>
        <w:rPr>
          <w:rFonts w:ascii="Times New Roman" w:hAnsi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An overview of the recently reported optical methods for the detection of bacterial concentration in carbon-based nanomaterials</w:t>
      </w:r>
    </w:p>
    <w:tbl>
      <w:tblPr>
        <w:tblStyle w:val="7"/>
        <w:tblW w:w="8900" w:type="dxa"/>
        <w:jc w:val="center"/>
        <w:tblBorders>
          <w:top w:val="single" w:color="7E7E7E" w:themeColor="text1" w:themeTint="80" w:sz="12" w:space="0"/>
          <w:left w:val="none" w:color="auto" w:sz="0" w:space="0"/>
          <w:bottom w:val="single" w:color="7E7E7E" w:themeColor="text1" w:themeTint="80" w:sz="12" w:space="0"/>
          <w:right w:val="none" w:color="auto" w:sz="0" w:space="0"/>
          <w:insideH w:val="single" w:color="7E7E7E" w:themeColor="text1" w:themeTint="8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2321"/>
        <w:gridCol w:w="1814"/>
        <w:gridCol w:w="1161"/>
        <w:gridCol w:w="1010"/>
        <w:gridCol w:w="1074"/>
      </w:tblGrid>
      <w:tr>
        <w:tblPrEx>
          <w:tblBorders>
            <w:top w:val="single" w:color="7E7E7E" w:themeColor="text1" w:themeTint="80" w:sz="12" w:space="0"/>
            <w:left w:val="none" w:color="auto" w:sz="0" w:space="0"/>
            <w:bottom w:val="single" w:color="7E7E7E" w:themeColor="text1" w:themeTint="80" w:sz="12" w:space="0"/>
            <w:right w:val="none" w:color="auto" w:sz="0" w:space="0"/>
            <w:insideH w:val="single" w:color="7E7E7E" w:themeColor="text1" w:themeTint="8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0" w:type="auto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37855081"/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Materials</w:t>
            </w:r>
          </w:p>
        </w:tc>
        <w:tc>
          <w:tcPr>
            <w:tcW w:w="0" w:type="auto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Method</w:t>
            </w:r>
          </w:p>
        </w:tc>
        <w:tc>
          <w:tcPr>
            <w:tcW w:w="0" w:type="auto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Linear range</w:t>
            </w:r>
          </w:p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CFU/mL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LOD </w:t>
            </w:r>
          </w:p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CFU/mL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315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Reaction</w:t>
            </w:r>
          </w:p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time</w:t>
            </w:r>
          </w:p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(min)</w:t>
            </w:r>
          </w:p>
        </w:tc>
        <w:tc>
          <w:tcPr>
            <w:tcW w:w="0" w:type="auto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>
            <w:pPr>
              <w:pStyle w:val="4"/>
              <w:spacing w:beforeAutospacing="0" w:afterAutospacing="0" w:line="24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ref.</w:t>
            </w:r>
          </w:p>
        </w:tc>
      </w:tr>
      <w:tr>
        <w:tblPrEx>
          <w:tblBorders>
            <w:top w:val="single" w:color="7E7E7E" w:themeColor="text1" w:themeTint="80" w:sz="12" w:space="0"/>
            <w:left w:val="none" w:color="auto" w:sz="0" w:space="0"/>
            <w:bottom w:val="single" w:color="7E7E7E" w:themeColor="text1" w:themeTint="80" w:sz="12" w:space="0"/>
            <w:right w:val="none" w:color="auto" w:sz="0" w:space="0"/>
            <w:insideH w:val="single" w:color="7E7E7E" w:themeColor="text1" w:themeTint="8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themeColor="text1" w:sz="4" w:space="0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FF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D-FCD/DYE</w:t>
            </w:r>
          </w:p>
        </w:tc>
        <w:tc>
          <w:tcPr>
            <w:tcW w:w="0" w:type="auto"/>
            <w:tcBorders>
              <w:top w:val="single" w:color="000000" w:themeColor="text1" w:sz="4" w:space="0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Ratiometric fluorescence</w:t>
            </w:r>
          </w:p>
        </w:tc>
        <w:tc>
          <w:tcPr>
            <w:tcW w:w="0" w:type="auto"/>
            <w:tcBorders>
              <w:top w:val="single" w:color="000000" w:themeColor="text1" w:sz="4" w:space="0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1×10-1×10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single" w:color="000000" w:themeColor="text1" w:sz="4" w:space="0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1×10</w:t>
            </w:r>
          </w:p>
        </w:tc>
        <w:tc>
          <w:tcPr>
            <w:tcW w:w="1315" w:type="dxa"/>
            <w:tcBorders>
              <w:top w:val="single" w:color="000000" w:themeColor="text1" w:sz="4" w:space="0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single" w:color="000000" w:themeColor="text1" w:sz="4" w:space="0"/>
              <w:bottom w:val="nil"/>
              <w:right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instrText xml:space="preserve"> REF _Ref4209 \r \h </w:instrTex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[1]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7E7E7E" w:themeColor="text1" w:themeTint="80" w:sz="12" w:space="0"/>
            <w:left w:val="none" w:color="auto" w:sz="0" w:space="0"/>
            <w:bottom w:val="single" w:color="7E7E7E" w:themeColor="text1" w:themeTint="80" w:sz="12" w:space="0"/>
            <w:right w:val="none" w:color="auto" w:sz="0" w:space="0"/>
            <w:insideH w:val="single" w:color="7E7E7E" w:themeColor="text1" w:themeTint="8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GQDs/GO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FRET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1×10-1×10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1×10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"/>
                <w:sz w:val="21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instrText xml:space="preserve"> REF _Ref4219 \r \h </w:instrTex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[2]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7E7E7E" w:themeColor="text1" w:themeTint="80" w:sz="12" w:space="0"/>
            <w:left w:val="none" w:color="auto" w:sz="0" w:space="0"/>
            <w:bottom w:val="single" w:color="7E7E7E" w:themeColor="text1" w:themeTint="80" w:sz="12" w:space="0"/>
            <w:right w:val="none" w:color="auto" w:sz="0" w:space="0"/>
            <w:insideH w:val="single" w:color="7E7E7E" w:themeColor="text1" w:themeTint="8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CD@Van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Fluorescence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3.18×10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-1.59×10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9.40×10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"/>
                <w:sz w:val="21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instrText xml:space="preserve"> REF _Ref4226 \r \h </w:instrTex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[3]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7E7E7E" w:themeColor="text1" w:themeTint="80" w:sz="12" w:space="0"/>
            <w:left w:val="none" w:color="auto" w:sz="0" w:space="0"/>
            <w:bottom w:val="single" w:color="7E7E7E" w:themeColor="text1" w:themeTint="80" w:sz="12" w:space="0"/>
            <w:right w:val="none" w:color="auto" w:sz="0" w:space="0"/>
            <w:insideH w:val="single" w:color="7E7E7E" w:themeColor="text1" w:themeTint="8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Hb-FeQCs/Cu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Fluorescence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1.5×10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-1.5×10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8.3×10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"/>
                <w:sz w:val="21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instrText xml:space="preserve"> REF _Ref4229 \r \h </w:instrTex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[4]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7E7E7E" w:themeColor="text1" w:themeTint="80" w:sz="12" w:space="0"/>
            <w:left w:val="none" w:color="auto" w:sz="0" w:space="0"/>
            <w:bottom w:val="single" w:color="7E7E7E" w:themeColor="text1" w:themeTint="80" w:sz="12" w:space="0"/>
            <w:right w:val="none" w:color="auto" w:sz="0" w:space="0"/>
            <w:insideH w:val="single" w:color="7E7E7E" w:themeColor="text1" w:themeTint="8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Au NPs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Smartphone imaging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5×10-5×10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5×10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 w:val="0"/>
                <w:color w:val="000000" w:themeColor="text1"/>
                <w:kern w:val="2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instrText xml:space="preserve"> REF _Ref4235 \r \h </w:instrTex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[5]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7E7E7E" w:themeColor="text1" w:themeTint="80" w:sz="12" w:space="0"/>
            <w:left w:val="none" w:color="auto" w:sz="0" w:space="0"/>
            <w:bottom w:val="single" w:color="7E7E7E" w:themeColor="text1" w:themeTint="80" w:sz="12" w:space="0"/>
            <w:right w:val="none" w:color="auto" w:sz="0" w:space="0"/>
            <w:insideH w:val="single" w:color="7E7E7E" w:themeColor="text1" w:themeTint="8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GNP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LSPR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1×10-1×10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1×10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 w:line="360" w:lineRule="exact"/>
              <w:jc w:val="center"/>
              <w:rPr>
                <w:rFonts w:ascii="Times New Roman" w:hAnsi="Times New Roman"/>
                <w:bCs w:val="0"/>
                <w:strike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_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"/>
                <w:sz w:val="21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instrText xml:space="preserve"> REF _Ref4239 \r \h </w:instrTex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[6]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7E7E7E" w:themeColor="text1" w:themeTint="80" w:sz="12" w:space="0"/>
            <w:left w:val="none" w:color="auto" w:sz="0" w:space="0"/>
            <w:bottom w:val="single" w:color="7E7E7E" w:themeColor="text1" w:themeTint="80" w:sz="12" w:space="0"/>
            <w:right w:val="none" w:color="auto" w:sz="0" w:space="0"/>
            <w:insideH w:val="single" w:color="7E7E7E" w:themeColor="text1" w:themeTint="8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CuSeNPs@MPBA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Chemiluminescence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1×10-1×10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1.25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 w:val="0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kern w:val="2"/>
                <w:sz w:val="21"/>
                <w:szCs w:val="21"/>
                <w:shd w:val="clear" w:color="auto" w:fill="FFFFFF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instrText xml:space="preserve"> REF _Ref4242 \r \h </w:instrTex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[7]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7E7E7E" w:themeColor="text1" w:themeTint="80" w:sz="12" w:space="0"/>
            <w:left w:val="none" w:color="auto" w:sz="0" w:space="0"/>
            <w:bottom w:val="single" w:color="7E7E7E" w:themeColor="text1" w:themeTint="80" w:sz="12" w:space="0"/>
            <w:right w:val="none" w:color="auto" w:sz="0" w:space="0"/>
            <w:insideH w:val="single" w:color="7E7E7E" w:themeColor="text1" w:themeTint="8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0" w:type="auto"/>
            <w:tcBorders>
              <w:top w:val="nil"/>
              <w:bottom w:val="single" w:color="000000" w:themeColor="text1" w:sz="4" w:space="0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2E2E2E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Ag@CDs</w:t>
            </w:r>
          </w:p>
        </w:tc>
        <w:tc>
          <w:tcPr>
            <w:tcW w:w="0" w:type="auto"/>
            <w:tcBorders>
              <w:top w:val="nil"/>
              <w:bottom w:val="single" w:color="000000" w:themeColor="text1" w:sz="4" w:space="0"/>
            </w:tcBorders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Fluorescence</w:t>
            </w:r>
          </w:p>
        </w:tc>
        <w:tc>
          <w:tcPr>
            <w:tcW w:w="0" w:type="auto"/>
            <w:tcBorders>
              <w:top w:val="nil"/>
              <w:bottom w:val="single" w:color="000000" w:themeColor="text1" w:sz="4" w:space="0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-4×10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color="000000" w:themeColor="text1" w:sz="4" w:space="0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4×10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1315" w:type="dxa"/>
            <w:tcBorders>
              <w:top w:val="nil"/>
              <w:bottom w:val="single" w:color="000000" w:themeColor="text1" w:sz="4" w:space="0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pStyle w:val="4"/>
              <w:spacing w:beforeAutospacing="0" w:afterAutospacing="0"/>
              <w:jc w:val="center"/>
              <w:rPr>
                <w:rFonts w:ascii="Times New Roman" w:hAnsi="Times New Roman"/>
                <w:bCs w:val="0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This work</w:t>
            </w:r>
          </w:p>
        </w:tc>
      </w:tr>
      <w:bookmarkEnd w:id="0"/>
      <w:bookmarkEnd w:id="2"/>
    </w:tbl>
    <w:p>
      <w:pPr>
        <w:spacing w:before="312" w:beforeLines="100" w:after="312" w:afterLines="10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References</w:t>
      </w:r>
    </w:p>
    <w:p>
      <w:pPr>
        <w:pStyle w:val="9"/>
        <w:numPr>
          <w:ilvl w:val="0"/>
          <w:numId w:val="1"/>
        </w:numPr>
        <w:spacing w:line="400" w:lineRule="atLeast"/>
        <w:rPr>
          <w:rFonts w:ascii="Times New Roman" w:hAnsi="Times New Roman" w:cs="Times New Roman"/>
        </w:rPr>
      </w:pPr>
      <w:bookmarkStart w:id="3" w:name="_Ref4209"/>
      <w:r>
        <w:rPr>
          <w:rFonts w:ascii="Times New Roman" w:hAnsi="Times New Roman" w:cs="Times New Roman"/>
        </w:rPr>
        <w:t>C.A. Choi, Z.A.I. Mazrad, G. Lee, I. In, K.D. Lee, S.Y. Park, Boronate-based fluorescent carbon dot for rapid and selectively bacterial sensing by luminescence off/on system, J Pharm Biomed Anal 159 (2018) 1-10.</w:t>
      </w:r>
      <w:bookmarkEnd w:id="3"/>
    </w:p>
    <w:p>
      <w:pPr>
        <w:pStyle w:val="9"/>
        <w:numPr>
          <w:ilvl w:val="0"/>
          <w:numId w:val="1"/>
        </w:numPr>
        <w:spacing w:line="400" w:lineRule="atLeast"/>
        <w:rPr>
          <w:rFonts w:ascii="Times New Roman" w:hAnsi="Times New Roman" w:cs="Times New Roman"/>
        </w:rPr>
      </w:pPr>
      <w:bookmarkStart w:id="4" w:name="_Ref4219"/>
      <w:r>
        <w:rPr>
          <w:rFonts w:ascii="Times New Roman" w:hAnsi="Times New Roman" w:cs="Times New Roman"/>
        </w:rPr>
        <w:t>Z. Dehghani, J. Mohammadnejad, M. Hosseini, B. Bakhshi, A.H. Rezayan, Whole cell FRET immunosensor based on graphene oxide and graphene dot for Campylobacter jejuni detection, Food Chem 309 (2020) 125690.</w:t>
      </w:r>
      <w:bookmarkEnd w:id="4"/>
    </w:p>
    <w:p>
      <w:pPr>
        <w:pStyle w:val="9"/>
        <w:numPr>
          <w:ilvl w:val="0"/>
          <w:numId w:val="1"/>
        </w:numPr>
        <w:spacing w:line="400" w:lineRule="atLeast"/>
        <w:rPr>
          <w:rFonts w:ascii="Times New Roman" w:hAnsi="Times New Roman" w:cs="Times New Roman"/>
        </w:rPr>
      </w:pPr>
      <w:bookmarkStart w:id="5" w:name="_Ref4226"/>
      <w:r>
        <w:rPr>
          <w:rFonts w:ascii="Times New Roman" w:hAnsi="Times New Roman" w:cs="Times New Roman"/>
        </w:rPr>
        <w:t>M.L. Bhaisare, G. Gedda, M.S. Khan, H.F. Wu, Fluorimetric detection of pathogenic bacteria using magnetic carbon dots, Anal Chim Acta 920 (2016) 63-71.</w:t>
      </w:r>
      <w:bookmarkEnd w:id="5"/>
    </w:p>
    <w:p>
      <w:pPr>
        <w:pStyle w:val="9"/>
        <w:numPr>
          <w:ilvl w:val="0"/>
          <w:numId w:val="1"/>
        </w:numPr>
        <w:spacing w:line="400" w:lineRule="atLeast"/>
        <w:rPr>
          <w:rFonts w:ascii="Times New Roman" w:hAnsi="Times New Roman" w:cs="Times New Roman"/>
        </w:rPr>
      </w:pPr>
      <w:bookmarkStart w:id="6" w:name="_Ref4229"/>
      <w:r>
        <w:rPr>
          <w:rFonts w:ascii="Times New Roman" w:hAnsi="Times New Roman" w:cs="Times New Roman"/>
        </w:rPr>
        <w:t>Z. Vaezi, M. Azizi, S. Sadeghi Mohammadi, N. Hashemi, H. Naderi-Manesh, A novel iron quantum cluster confined in hemoglobin as fluorescent sensor for rapid detection of Escherichia coli, Talanta 218 (2020) 121137.</w:t>
      </w:r>
      <w:bookmarkEnd w:id="6"/>
    </w:p>
    <w:p>
      <w:pPr>
        <w:pStyle w:val="9"/>
        <w:numPr>
          <w:ilvl w:val="0"/>
          <w:numId w:val="1"/>
        </w:numPr>
        <w:spacing w:line="400" w:lineRule="atLeast"/>
        <w:rPr>
          <w:rFonts w:ascii="Times New Roman" w:hAnsi="Times New Roman" w:cs="Times New Roman"/>
        </w:rPr>
      </w:pPr>
      <w:bookmarkStart w:id="7" w:name="_Ref4235"/>
      <w:r>
        <w:rPr>
          <w:rFonts w:ascii="Times New Roman" w:hAnsi="Times New Roman" w:cs="Times New Roman"/>
        </w:rPr>
        <w:t>L. Zheng, G. Cai, S. Wang, M. Liao, Y. Li, J. Lin, A microfluidic colorimetric biosensor for rapid detection of Escherichia coli O157:H7 using gold nanoparticle aggregation and smart phone imaging, Biosens Bioelectron 124-125 (2019) 143-149.</w:t>
      </w:r>
      <w:bookmarkEnd w:id="7"/>
    </w:p>
    <w:p>
      <w:pPr>
        <w:pStyle w:val="9"/>
        <w:numPr>
          <w:ilvl w:val="0"/>
          <w:numId w:val="1"/>
        </w:numPr>
        <w:spacing w:line="400" w:lineRule="atLeast"/>
        <w:rPr>
          <w:rFonts w:ascii="Times New Roman" w:hAnsi="Times New Roman" w:cs="Times New Roman"/>
        </w:rPr>
      </w:pPr>
      <w:bookmarkStart w:id="8" w:name="_Ref4239"/>
      <w:r>
        <w:rPr>
          <w:rFonts w:ascii="Times New Roman" w:hAnsi="Times New Roman" w:cs="Times New Roman"/>
        </w:rPr>
        <w:t>F. Yaghubi, M. Zeinoddini, A.R. Saeedinia, A. Azizi, A. Samimi Nemati, Design of Localized Surface Plasmon Resonance (LSPR) Biosensor for Immunodiagnostic of E. coli O157:H7 Using Gold Nanoparticles Conjugated to the Chicken Antibody, Plasmonics 15(5) (2020) 1481-1487.</w:t>
      </w:r>
      <w:bookmarkEnd w:id="8"/>
    </w:p>
    <w:p>
      <w:pPr>
        <w:pStyle w:val="9"/>
        <w:numPr>
          <w:ilvl w:val="0"/>
          <w:numId w:val="1"/>
        </w:numPr>
        <w:spacing w:line="400" w:lineRule="atLeast"/>
        <w:rPr>
          <w:rFonts w:ascii="Times New Roman" w:hAnsi="Times New Roman" w:cs="Times New Roman"/>
        </w:rPr>
      </w:pPr>
      <w:bookmarkStart w:id="9" w:name="_Ref4242"/>
      <w:r>
        <w:rPr>
          <w:rFonts w:ascii="Times New Roman" w:hAnsi="Times New Roman" w:cs="Times New Roman"/>
        </w:rPr>
        <w:t>X. Chen, X. Wang, Y. Fang, L. Zhang, M. Zhao, Y. Liu, Long-Lasting Chemiluminescence-Based POCT for Portable and Visual Pathogenic Detection and In Situ Inactivation, Anal Chem 94(23) (2022) 8382-8391.</w:t>
      </w:r>
      <w:bookmarkEnd w:id="9"/>
    </w:p>
    <w:p>
      <w:pPr>
        <w:widowControl/>
        <w:spacing w:after="360" w:line="480" w:lineRule="auto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VU4NH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4B90EE"/>
    <w:multiLevelType w:val="singleLevel"/>
    <w:tmpl w:val="074B90EE"/>
    <w:lvl w:ilvl="0" w:tentative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Mjg4ZjY0MDEwNGY5NzU5MWRkMjgzOTNkNDg1ZjQifQ=="/>
  </w:docVars>
  <w:rsids>
    <w:rsidRoot w:val="0605655C"/>
    <w:rsid w:val="00047BA8"/>
    <w:rsid w:val="00094769"/>
    <w:rsid w:val="000A73D2"/>
    <w:rsid w:val="000C450E"/>
    <w:rsid w:val="000E3BE1"/>
    <w:rsid w:val="000E7D5E"/>
    <w:rsid w:val="00110F5B"/>
    <w:rsid w:val="001323F0"/>
    <w:rsid w:val="001520D4"/>
    <w:rsid w:val="001559CB"/>
    <w:rsid w:val="0015606A"/>
    <w:rsid w:val="00195FEA"/>
    <w:rsid w:val="001E7BE1"/>
    <w:rsid w:val="0020176B"/>
    <w:rsid w:val="002157AC"/>
    <w:rsid w:val="002451DE"/>
    <w:rsid w:val="002C034F"/>
    <w:rsid w:val="00305119"/>
    <w:rsid w:val="003253F4"/>
    <w:rsid w:val="00344647"/>
    <w:rsid w:val="00392D36"/>
    <w:rsid w:val="003B370F"/>
    <w:rsid w:val="003E0166"/>
    <w:rsid w:val="004127C6"/>
    <w:rsid w:val="00465B5F"/>
    <w:rsid w:val="00476AED"/>
    <w:rsid w:val="00494DC7"/>
    <w:rsid w:val="004A65F1"/>
    <w:rsid w:val="005C2230"/>
    <w:rsid w:val="005C5FF7"/>
    <w:rsid w:val="005D550B"/>
    <w:rsid w:val="00650A27"/>
    <w:rsid w:val="006930D6"/>
    <w:rsid w:val="006A7CDC"/>
    <w:rsid w:val="006B0601"/>
    <w:rsid w:val="006C7AE5"/>
    <w:rsid w:val="00745891"/>
    <w:rsid w:val="007E483B"/>
    <w:rsid w:val="007F0448"/>
    <w:rsid w:val="00891264"/>
    <w:rsid w:val="008933CD"/>
    <w:rsid w:val="008D718A"/>
    <w:rsid w:val="008F6B5B"/>
    <w:rsid w:val="00900DCC"/>
    <w:rsid w:val="009022FE"/>
    <w:rsid w:val="0091306E"/>
    <w:rsid w:val="009937C9"/>
    <w:rsid w:val="009B4DA6"/>
    <w:rsid w:val="009B5400"/>
    <w:rsid w:val="009B6357"/>
    <w:rsid w:val="009D54CE"/>
    <w:rsid w:val="00A21D80"/>
    <w:rsid w:val="00A62EE4"/>
    <w:rsid w:val="00A7689F"/>
    <w:rsid w:val="00AB29A7"/>
    <w:rsid w:val="00AB524E"/>
    <w:rsid w:val="00AC594E"/>
    <w:rsid w:val="00B1259B"/>
    <w:rsid w:val="00B25C15"/>
    <w:rsid w:val="00B739BF"/>
    <w:rsid w:val="00BA7F6A"/>
    <w:rsid w:val="00BB253E"/>
    <w:rsid w:val="00C85D69"/>
    <w:rsid w:val="00CA65D9"/>
    <w:rsid w:val="00CB6CFF"/>
    <w:rsid w:val="00CC29AC"/>
    <w:rsid w:val="00CC7FD9"/>
    <w:rsid w:val="00CD0582"/>
    <w:rsid w:val="00D00359"/>
    <w:rsid w:val="00D110DB"/>
    <w:rsid w:val="00E21B2A"/>
    <w:rsid w:val="00E601D0"/>
    <w:rsid w:val="00EB7138"/>
    <w:rsid w:val="00EF5425"/>
    <w:rsid w:val="00F115F3"/>
    <w:rsid w:val="00F27E4C"/>
    <w:rsid w:val="00FA7301"/>
    <w:rsid w:val="00FC62DB"/>
    <w:rsid w:val="0605655C"/>
    <w:rsid w:val="18ED07C2"/>
    <w:rsid w:val="1BCD35C6"/>
    <w:rsid w:val="55D811D9"/>
    <w:rsid w:val="5C7A3CC8"/>
    <w:rsid w:val="6E907305"/>
    <w:rsid w:val="7D1823C5"/>
    <w:rsid w:val="7D757A64"/>
    <w:rsid w:val="7F4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7">
    <w:name w:val="无格式表格 21"/>
    <w:basedOn w:val="5"/>
    <w:autoRedefine/>
    <w:qFormat/>
    <w:uiPriority w:val="42"/>
    <w:rPr>
      <w:rFonts w:eastAsia="TimesNewRomanPS-BoldMT"/>
      <w:bCs/>
      <w:color w:val="FF0000"/>
      <w:sz w:val="28"/>
      <w:szCs w:val="28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customStyle="1" w:styleId="8">
    <w:name w:val="RSC B01 ART Abstract"/>
    <w:basedOn w:val="1"/>
    <w:autoRedefine/>
    <w:qFormat/>
    <w:uiPriority w:val="0"/>
    <w:pPr>
      <w:widowControl/>
      <w:spacing w:after="200" w:line="240" w:lineRule="exact"/>
    </w:pPr>
    <w:rPr>
      <w:kern w:val="0"/>
      <w:sz w:val="16"/>
      <w:lang w:val="en-GB" w:eastAsia="en-GB"/>
    </w:rPr>
  </w:style>
  <w:style w:type="paragraph" w:customStyle="1" w:styleId="9">
    <w:name w:val="EndNote Bibliography"/>
    <w:autoRedefine/>
    <w:qFormat/>
    <w:uiPriority w:val="0"/>
    <w:pPr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10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F08BAA-6D79-4635-A1AF-155DDECC7A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397</Words>
  <Characters>2379</Characters>
  <Lines>21</Lines>
  <Paragraphs>5</Paragraphs>
  <TotalTime>153</TotalTime>
  <ScaleCrop>false</ScaleCrop>
  <LinksUpToDate>false</LinksUpToDate>
  <CharactersWithSpaces>2704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2023-05-17T05:55:00Z</dcterms:created>
  <dc:creator>沉溺1390898145</dc:creator>
  <cp:lastModifiedBy>USUS</cp:lastModifiedBy>
  <dcterms:modified xsi:type="dcterms:W3CDTF">2024-07-10T14:58:31Z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27010975457045C3BC46344FD5394DF2_13</vt:lpwstr>
  </property>
</Properties>
</file>