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D2C143" w14:textId="2053E289" w:rsidR="0020093D" w:rsidRDefault="0020093D" w:rsidP="0020093D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Hlk172281867"/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4D2661E8" wp14:editId="6B94D0B6">
            <wp:extent cx="4975860" cy="5897880"/>
            <wp:effectExtent l="0" t="0" r="0" b="0"/>
            <wp:docPr id="19753198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319872" name="图片 197531987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1" t="4494" r="3347" b="16431"/>
                    <a:stretch/>
                  </pic:blipFill>
                  <pic:spPr bwMode="auto">
                    <a:xfrm>
                      <a:off x="0" y="0"/>
                      <a:ext cx="4975860" cy="5897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2EEFDE" w14:textId="75FA4740" w:rsidR="00616187" w:rsidRPr="00313ADA" w:rsidRDefault="0020093D" w:rsidP="00313ADA">
      <w:pPr>
        <w:widowControl/>
        <w:spacing w:line="360" w:lineRule="auto"/>
        <w:jc w:val="left"/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</w:pPr>
      <w:r w:rsidRPr="00C965F2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Supplementary Fig</w:t>
      </w:r>
      <w:bookmarkEnd w:id="0"/>
      <w:r w:rsidRPr="00C965F2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1:</w:t>
      </w:r>
      <w:bookmarkStart w:id="1" w:name="_Hlk172282301"/>
      <w:r w:rsidRPr="00C823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Cell</w:t>
      </w:r>
      <w:proofErr w:type="gramEnd"/>
      <w:r w:rsidRPr="00C823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viability assay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, </w:t>
      </w:r>
      <w:r w:rsidRPr="00AF3526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Quantitative real-time PCR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and </w:t>
      </w:r>
      <w:r w:rsidRPr="00530EDB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apoptosis flow assays</w:t>
      </w:r>
      <w:bookmarkEnd w:id="1"/>
      <w:r w:rsidRPr="00530EDB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A)CCK8 OD value showing cell toxicity and proliferation of </w:t>
      </w:r>
      <w:proofErr w:type="spellStart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si</w:t>
      </w:r>
      <w:proofErr w:type="spellEnd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-EDNRB, </w:t>
      </w:r>
      <w:proofErr w:type="spellStart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si</w:t>
      </w:r>
      <w:proofErr w:type="spellEnd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-LURAP, si-SLC25A38, </w:t>
      </w:r>
      <w:proofErr w:type="spellStart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si</w:t>
      </w:r>
      <w:proofErr w:type="spellEnd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-NC and control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,</w:t>
      </w:r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ns = no significant difference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</w:t>
      </w:r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Kruskal-Wallis test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. </w:t>
      </w:r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B~D</w:t>
      </w:r>
      <w:r w:rsidRPr="00C965F2">
        <w:rPr>
          <w:rFonts w:ascii="Times New Roman" w:eastAsia="宋体" w:hAnsi="Times New Roman" w:cs="Times New Roman"/>
          <w:kern w:val="0"/>
          <w:sz w:val="24"/>
          <w:szCs w:val="24"/>
        </w:rPr>
        <w:t>）</w:t>
      </w:r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Relative mRNA levels of </w:t>
      </w:r>
      <w:proofErr w:type="spellStart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si</w:t>
      </w:r>
      <w:proofErr w:type="spellEnd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-EDNRB, </w:t>
      </w:r>
      <w:proofErr w:type="spellStart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si</w:t>
      </w:r>
      <w:proofErr w:type="spellEnd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-LURAP, si-SLA25A38 and </w:t>
      </w:r>
      <w:proofErr w:type="spellStart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si</w:t>
      </w:r>
      <w:proofErr w:type="spellEnd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-NC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were measured by </w:t>
      </w:r>
      <w:proofErr w:type="spellStart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qRT</w:t>
      </w:r>
      <w:proofErr w:type="spellEnd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-PCR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,</w:t>
      </w:r>
      <w:r w:rsidRPr="00DC153E">
        <w:rPr>
          <w:rFonts w:ascii="PingFang SC" w:hAnsi="PingFang SC"/>
          <w:color w:val="000000"/>
          <w:shd w:val="clear" w:color="auto" w:fill="FFFFFF"/>
        </w:rPr>
        <w:t xml:space="preserve"> </w:t>
      </w:r>
      <w:r w:rsidRPr="00DC153E">
        <w:rPr>
          <w:rFonts w:ascii="Times New Roman" w:eastAsia="宋体" w:hAnsi="Times New Roman" w:cs="Times New Roman"/>
          <w:kern w:val="0"/>
          <w:sz w:val="24"/>
          <w:szCs w:val="24"/>
        </w:rPr>
        <w:t>*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*</w:t>
      </w:r>
      <w:r w:rsidRPr="00DC153E">
        <w:rPr>
          <w:rFonts w:ascii="Times New Roman" w:eastAsia="宋体" w:hAnsi="Times New Roman" w:cs="Times New Roman"/>
          <w:kern w:val="0"/>
          <w:sz w:val="24"/>
          <w:szCs w:val="24"/>
        </w:rPr>
        <w:t>p&lt; 0.0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 w:rsidRPr="00DC153E">
        <w:rPr>
          <w:rFonts w:ascii="Times New Roman" w:eastAsia="宋体" w:hAnsi="Times New Roman" w:cs="Times New Roman"/>
          <w:kern w:val="0"/>
          <w:sz w:val="24"/>
          <w:szCs w:val="24"/>
        </w:rPr>
        <w:t>, *</w:t>
      </w:r>
      <w:r w:rsidRPr="00DC153E">
        <w:rPr>
          <w:rFonts w:ascii="Times New Roman" w:eastAsia="宋体" w:hAnsi="Times New Roman" w:cs="Times New Roman" w:hint="eastAsia"/>
          <w:kern w:val="0"/>
          <w:sz w:val="24"/>
          <w:szCs w:val="24"/>
        </w:rPr>
        <w:t>***</w:t>
      </w:r>
      <w:r w:rsidRPr="00DC153E">
        <w:rPr>
          <w:rFonts w:ascii="Times New Roman" w:eastAsia="宋体" w:hAnsi="Times New Roman" w:cs="Times New Roman"/>
          <w:kern w:val="0"/>
          <w:sz w:val="24"/>
          <w:szCs w:val="24"/>
        </w:rPr>
        <w:t>p&lt; 0.0</w:t>
      </w:r>
      <w:r w:rsidRPr="00DC153E">
        <w:rPr>
          <w:rFonts w:ascii="Times New Roman" w:eastAsia="宋体" w:hAnsi="Times New Roman" w:cs="Times New Roman" w:hint="eastAsia"/>
          <w:kern w:val="0"/>
          <w:sz w:val="24"/>
          <w:szCs w:val="24"/>
        </w:rPr>
        <w:t>00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1, </w:t>
      </w:r>
      <w:r w:rsidRPr="00DC153E">
        <w:rPr>
          <w:rFonts w:ascii="Times New Roman" w:eastAsia="宋体" w:hAnsi="Times New Roman" w:cs="Times New Roman" w:hint="eastAsia"/>
          <w:kern w:val="0"/>
          <w:sz w:val="24"/>
          <w:szCs w:val="24"/>
        </w:rPr>
        <w:t>one-way ANOVA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. </w:t>
      </w:r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E</w:t>
      </w:r>
      <w:r w:rsidRPr="00C965F2">
        <w:rPr>
          <w:rFonts w:ascii="Times New Roman" w:eastAsia="宋体" w:hAnsi="Times New Roman" w:cs="Times New Roman"/>
          <w:kern w:val="0"/>
          <w:sz w:val="24"/>
          <w:szCs w:val="24"/>
        </w:rPr>
        <w:t>）</w:t>
      </w:r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MUM2B cells were treated with transfection reagents for 24-48h. Cell apoptosis was analyzed by flow cytometry with annexin V and propidium iodide (PI) double staining (left), and the percentage of apoptotic cells was quantified (right, n = 4)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was performed. ns = no significant difference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,</w:t>
      </w:r>
      <w:r w:rsidRPr="00DC153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Kruskal-</w:t>
      </w:r>
      <w:proofErr w:type="gramStart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>Wallis</w:t>
      </w:r>
      <w:proofErr w:type="gramEnd"/>
      <w:r w:rsidRPr="00C965F2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test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sectPr w:rsidR="00616187" w:rsidRPr="00313A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C38FA5" w14:textId="77777777" w:rsidR="00A322B7" w:rsidRDefault="00A322B7" w:rsidP="0020093D">
      <w:pPr>
        <w:rPr>
          <w:rFonts w:hint="eastAsia"/>
        </w:rPr>
      </w:pPr>
      <w:r>
        <w:separator/>
      </w:r>
    </w:p>
  </w:endnote>
  <w:endnote w:type="continuationSeparator" w:id="0">
    <w:p w14:paraId="560A2EA5" w14:textId="77777777" w:rsidR="00A322B7" w:rsidRDefault="00A322B7" w:rsidP="0020093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B6FA8F" w14:textId="77777777" w:rsidR="00A322B7" w:rsidRDefault="00A322B7" w:rsidP="0020093D">
      <w:pPr>
        <w:rPr>
          <w:rFonts w:hint="eastAsia"/>
        </w:rPr>
      </w:pPr>
      <w:r>
        <w:separator/>
      </w:r>
    </w:p>
  </w:footnote>
  <w:footnote w:type="continuationSeparator" w:id="0">
    <w:p w14:paraId="317A7BB8" w14:textId="77777777" w:rsidR="00A322B7" w:rsidRDefault="00A322B7" w:rsidP="0020093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1B2A"/>
    <w:rsid w:val="0020093D"/>
    <w:rsid w:val="00313ADA"/>
    <w:rsid w:val="00616187"/>
    <w:rsid w:val="00A322B7"/>
    <w:rsid w:val="00B41B2A"/>
    <w:rsid w:val="00EA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87EB8"/>
  <w15:chartTrackingRefBased/>
  <w15:docId w15:val="{C1A78728-F5C0-447D-A3A8-978DEF03B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09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09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09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0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09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 moria</dc:creator>
  <cp:keywords/>
  <dc:description/>
  <cp:lastModifiedBy>vv moria</cp:lastModifiedBy>
  <cp:revision>3</cp:revision>
  <dcterms:created xsi:type="dcterms:W3CDTF">2024-07-19T03:58:00Z</dcterms:created>
  <dcterms:modified xsi:type="dcterms:W3CDTF">2024-07-19T03:59:00Z</dcterms:modified>
</cp:coreProperties>
</file>