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819B4E" w14:textId="77777777" w:rsidR="00F62275" w:rsidRDefault="00F62275">
      <w:pPr>
        <w:pStyle w:val="Heading1"/>
        <w:spacing w:after="179" w:line="248" w:lineRule="auto"/>
        <w:ind w:left="410" w:right="77"/>
      </w:pPr>
      <w:bookmarkStart w:id="0" w:name="_hw7tx5bs7e64" w:colFirst="0" w:colLast="0"/>
      <w:bookmarkEnd w:id="0"/>
    </w:p>
    <w:p w14:paraId="482FC53E" w14:textId="77777777" w:rsidR="00F62275" w:rsidRDefault="00F62275">
      <w:pPr>
        <w:pStyle w:val="Heading1"/>
        <w:spacing w:after="179" w:line="248" w:lineRule="auto"/>
        <w:ind w:left="410" w:right="77"/>
      </w:pPr>
      <w:bookmarkStart w:id="1" w:name="_yjpt37rp60mr" w:colFirst="0" w:colLast="0"/>
      <w:bookmarkEnd w:id="1"/>
    </w:p>
    <w:p w14:paraId="6BAEC76B" w14:textId="77777777" w:rsidR="00F62275" w:rsidRDefault="00000000">
      <w:pPr>
        <w:pStyle w:val="Heading1"/>
        <w:spacing w:after="179" w:line="248" w:lineRule="auto"/>
        <w:ind w:left="410" w:right="77"/>
      </w:pPr>
      <w:bookmarkStart w:id="2" w:name="_25isvyvjavch" w:colFirst="0" w:colLast="0"/>
      <w:bookmarkEnd w:id="2"/>
      <w:r>
        <w:t>Supplements</w:t>
      </w:r>
    </w:p>
    <w:p w14:paraId="2B25434B" w14:textId="77777777" w:rsidR="00F62275" w:rsidRDefault="00F62275"/>
    <w:p w14:paraId="4F934B9E" w14:textId="77777777" w:rsidR="00F62275" w:rsidRDefault="00F62275">
      <w:pPr>
        <w:ind w:left="-15" w:right="77"/>
        <w:rPr>
          <w:i/>
          <w:sz w:val="18"/>
          <w:szCs w:val="18"/>
        </w:rPr>
      </w:pPr>
    </w:p>
    <w:p w14:paraId="60C8CF27" w14:textId="77777777" w:rsidR="00F62275" w:rsidRDefault="00F62275">
      <w:pPr>
        <w:ind w:left="-15" w:right="77"/>
        <w:rPr>
          <w:i/>
          <w:sz w:val="18"/>
          <w:szCs w:val="18"/>
        </w:rPr>
      </w:pPr>
    </w:p>
    <w:tbl>
      <w:tblPr>
        <w:tblStyle w:val="a4"/>
        <w:tblW w:w="6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80"/>
        <w:gridCol w:w="3480"/>
      </w:tblGrid>
      <w:tr w:rsidR="00F62275" w14:paraId="691174C1" w14:textId="77777777">
        <w:trPr>
          <w:trHeight w:val="380"/>
        </w:trPr>
        <w:tc>
          <w:tcPr>
            <w:tcW w:w="6960" w:type="dxa"/>
            <w:gridSpan w:val="2"/>
          </w:tcPr>
          <w:p w14:paraId="12BFF472" w14:textId="77777777" w:rsidR="00F62275" w:rsidRDefault="00000000">
            <w:pPr>
              <w:widowControl w:val="0"/>
              <w:spacing w:after="0" w:line="240" w:lineRule="auto"/>
              <w:ind w:right="0"/>
              <w:jc w:val="center"/>
              <w:rPr>
                <w:i/>
                <w:sz w:val="18"/>
                <w:szCs w:val="18"/>
              </w:rPr>
            </w:pPr>
            <w:r>
              <w:rPr>
                <w:i/>
                <w:sz w:val="18"/>
                <w:szCs w:val="18"/>
              </w:rPr>
              <w:t xml:space="preserve">Control group (more </w:t>
            </w:r>
            <w:proofErr w:type="gramStart"/>
            <w:r>
              <w:rPr>
                <w:i/>
                <w:sz w:val="18"/>
                <w:szCs w:val="18"/>
              </w:rPr>
              <w:t>than  287</w:t>
            </w:r>
            <w:proofErr w:type="gramEnd"/>
            <w:r>
              <w:rPr>
                <w:i/>
                <w:sz w:val="18"/>
                <w:szCs w:val="18"/>
              </w:rPr>
              <w:t xml:space="preserve"> lobules)</w:t>
            </w:r>
          </w:p>
        </w:tc>
      </w:tr>
      <w:tr w:rsidR="00F62275" w14:paraId="4ACF6158" w14:textId="77777777">
        <w:tc>
          <w:tcPr>
            <w:tcW w:w="3480" w:type="dxa"/>
          </w:tcPr>
          <w:p w14:paraId="5DB90AEB"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36F165DD" wp14:editId="65DD9737">
                  <wp:extent cx="2076450" cy="1549400"/>
                  <wp:effectExtent l="0" t="0" r="0" 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2076450" cy="1549400"/>
                          </a:xfrm>
                          <a:prstGeom prst="rect">
                            <a:avLst/>
                          </a:prstGeom>
                          <a:ln/>
                        </pic:spPr>
                      </pic:pic>
                    </a:graphicData>
                  </a:graphic>
                </wp:inline>
              </w:drawing>
            </w:r>
          </w:p>
        </w:tc>
        <w:tc>
          <w:tcPr>
            <w:tcW w:w="3480" w:type="dxa"/>
          </w:tcPr>
          <w:p w14:paraId="1EE4CE69"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00FF0136" wp14:editId="51DE1B21">
                  <wp:extent cx="2076450" cy="1549400"/>
                  <wp:effectExtent l="0" t="0" r="0" b="0"/>
                  <wp:docPr id="3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7"/>
                          <a:srcRect/>
                          <a:stretch>
                            <a:fillRect/>
                          </a:stretch>
                        </pic:blipFill>
                        <pic:spPr>
                          <a:xfrm>
                            <a:off x="0" y="0"/>
                            <a:ext cx="2076450" cy="1549400"/>
                          </a:xfrm>
                          <a:prstGeom prst="rect">
                            <a:avLst/>
                          </a:prstGeom>
                          <a:ln/>
                        </pic:spPr>
                      </pic:pic>
                    </a:graphicData>
                  </a:graphic>
                </wp:inline>
              </w:drawing>
            </w:r>
          </w:p>
        </w:tc>
      </w:tr>
      <w:tr w:rsidR="00F62275" w14:paraId="54F6BABA" w14:textId="77777777">
        <w:tc>
          <w:tcPr>
            <w:tcW w:w="3480" w:type="dxa"/>
          </w:tcPr>
          <w:p w14:paraId="10D64696"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50C3A8C4" wp14:editId="7D2E3C18">
                  <wp:extent cx="2076450" cy="1549400"/>
                  <wp:effectExtent l="0" t="0" r="0" b="0"/>
                  <wp:docPr id="1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2076450" cy="1549400"/>
                          </a:xfrm>
                          <a:prstGeom prst="rect">
                            <a:avLst/>
                          </a:prstGeom>
                          <a:ln/>
                        </pic:spPr>
                      </pic:pic>
                    </a:graphicData>
                  </a:graphic>
                </wp:inline>
              </w:drawing>
            </w:r>
          </w:p>
        </w:tc>
        <w:tc>
          <w:tcPr>
            <w:tcW w:w="3480" w:type="dxa"/>
          </w:tcPr>
          <w:p w14:paraId="075EA543"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71C45D33" wp14:editId="153870BB">
                  <wp:extent cx="2076450" cy="1549400"/>
                  <wp:effectExtent l="0" t="0" r="0" b="0"/>
                  <wp:docPr id="42"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9"/>
                          <a:srcRect/>
                          <a:stretch>
                            <a:fillRect/>
                          </a:stretch>
                        </pic:blipFill>
                        <pic:spPr>
                          <a:xfrm>
                            <a:off x="0" y="0"/>
                            <a:ext cx="2076450" cy="1549400"/>
                          </a:xfrm>
                          <a:prstGeom prst="rect">
                            <a:avLst/>
                          </a:prstGeom>
                          <a:ln/>
                        </pic:spPr>
                      </pic:pic>
                    </a:graphicData>
                  </a:graphic>
                </wp:inline>
              </w:drawing>
            </w:r>
          </w:p>
        </w:tc>
      </w:tr>
      <w:tr w:rsidR="00F62275" w14:paraId="263ABDED" w14:textId="77777777">
        <w:tc>
          <w:tcPr>
            <w:tcW w:w="3480" w:type="dxa"/>
          </w:tcPr>
          <w:p w14:paraId="1866650A"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31496B82" wp14:editId="68AE2F31">
                  <wp:extent cx="2076450" cy="1549400"/>
                  <wp:effectExtent l="0" t="0" r="0" b="0"/>
                  <wp:docPr id="2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2076450" cy="1549400"/>
                          </a:xfrm>
                          <a:prstGeom prst="rect">
                            <a:avLst/>
                          </a:prstGeom>
                          <a:ln/>
                        </pic:spPr>
                      </pic:pic>
                    </a:graphicData>
                  </a:graphic>
                </wp:inline>
              </w:drawing>
            </w:r>
          </w:p>
        </w:tc>
        <w:tc>
          <w:tcPr>
            <w:tcW w:w="3480" w:type="dxa"/>
          </w:tcPr>
          <w:p w14:paraId="2B3EE097"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7D556A40" wp14:editId="50DA1854">
                  <wp:extent cx="2076450" cy="1549400"/>
                  <wp:effectExtent l="0" t="0" r="0" b="0"/>
                  <wp:docPr id="2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2076450" cy="1549400"/>
                          </a:xfrm>
                          <a:prstGeom prst="rect">
                            <a:avLst/>
                          </a:prstGeom>
                          <a:ln/>
                        </pic:spPr>
                      </pic:pic>
                    </a:graphicData>
                  </a:graphic>
                </wp:inline>
              </w:drawing>
            </w:r>
          </w:p>
        </w:tc>
      </w:tr>
    </w:tbl>
    <w:p w14:paraId="3694E1FF" w14:textId="77777777" w:rsidR="00F62275" w:rsidRDefault="00F62275">
      <w:pPr>
        <w:ind w:left="-15" w:right="77"/>
        <w:rPr>
          <w:i/>
          <w:sz w:val="18"/>
          <w:szCs w:val="18"/>
        </w:rPr>
      </w:pPr>
    </w:p>
    <w:p w14:paraId="08AED69F" w14:textId="77777777" w:rsidR="00F62275" w:rsidRDefault="00000000">
      <w:pPr>
        <w:ind w:left="-15" w:right="77"/>
        <w:rPr>
          <w:b/>
          <w:i/>
          <w:sz w:val="18"/>
          <w:szCs w:val="18"/>
        </w:rPr>
      </w:pPr>
      <w:r>
        <w:rPr>
          <w:b/>
          <w:i/>
          <w:sz w:val="18"/>
          <w:szCs w:val="18"/>
        </w:rPr>
        <w:t xml:space="preserve">Figure 5c: Box-whisker-plot quantifying the spatial distribution of parameters within the hepatic lobules of a </w:t>
      </w:r>
      <w:proofErr w:type="spellStart"/>
      <w:r>
        <w:rPr>
          <w:b/>
          <w:i/>
          <w:sz w:val="18"/>
          <w:szCs w:val="18"/>
        </w:rPr>
        <w:t>steatotic</w:t>
      </w:r>
      <w:proofErr w:type="spellEnd"/>
      <w:r>
        <w:rPr>
          <w:b/>
          <w:i/>
          <w:sz w:val="18"/>
          <w:szCs w:val="18"/>
        </w:rPr>
        <w:t xml:space="preserve"> mouse liver along the sinusoidal </w:t>
      </w:r>
      <w:proofErr w:type="spellStart"/>
      <w:r>
        <w:rPr>
          <w:b/>
          <w:i/>
          <w:sz w:val="18"/>
          <w:szCs w:val="18"/>
        </w:rPr>
        <w:t>porto</w:t>
      </w:r>
      <w:proofErr w:type="spellEnd"/>
      <w:r>
        <w:rPr>
          <w:b/>
          <w:i/>
          <w:sz w:val="18"/>
          <w:szCs w:val="18"/>
        </w:rPr>
        <w:t xml:space="preserve">-central axis. </w:t>
      </w:r>
    </w:p>
    <w:p w14:paraId="366C4337" w14:textId="77777777" w:rsidR="00F62275" w:rsidRDefault="00000000">
      <w:pPr>
        <w:ind w:left="-15" w:right="77"/>
        <w:rPr>
          <w:i/>
          <w:sz w:val="18"/>
          <w:szCs w:val="18"/>
        </w:rPr>
      </w:pPr>
      <w:r>
        <w:rPr>
          <w:b/>
          <w:i/>
          <w:sz w:val="18"/>
          <w:szCs w:val="18"/>
        </w:rPr>
        <w:t>(A)</w:t>
      </w:r>
      <w:r>
        <w:rPr>
          <w:i/>
          <w:sz w:val="18"/>
          <w:szCs w:val="18"/>
        </w:rPr>
        <w:t xml:space="preserve"> Graphical representation of the quantitative intralobular spatial distribution of steatosis showing the gentle decline of the slope from portal to central vein. </w:t>
      </w:r>
      <w:r>
        <w:rPr>
          <w:b/>
          <w:i/>
          <w:sz w:val="18"/>
          <w:szCs w:val="18"/>
        </w:rPr>
        <w:t>(B)</w:t>
      </w:r>
      <w:r>
        <w:rPr>
          <w:i/>
          <w:sz w:val="18"/>
          <w:szCs w:val="18"/>
        </w:rPr>
        <w:t xml:space="preserve"> Graphical representation of the quantitative intralobular zonal distribution of GS showing the absence of expression in zone 1-8 and the steep gradient representing the expression in zone 9-11. </w:t>
      </w:r>
      <w:r>
        <w:rPr>
          <w:b/>
          <w:i/>
          <w:sz w:val="18"/>
          <w:szCs w:val="18"/>
        </w:rPr>
        <w:t>(C)</w:t>
      </w:r>
      <w:r>
        <w:rPr>
          <w:i/>
          <w:sz w:val="18"/>
          <w:szCs w:val="18"/>
        </w:rPr>
        <w:t xml:space="preserve"> demonstrating CYP enzyme </w:t>
      </w:r>
      <w:proofErr w:type="gramStart"/>
      <w:r>
        <w:rPr>
          <w:i/>
          <w:sz w:val="18"/>
          <w:szCs w:val="18"/>
        </w:rPr>
        <w:t>expression  showing</w:t>
      </w:r>
      <w:proofErr w:type="gramEnd"/>
      <w:r>
        <w:rPr>
          <w:i/>
          <w:sz w:val="18"/>
          <w:szCs w:val="18"/>
        </w:rPr>
        <w:t xml:space="preserve"> the steep incline of the slope representing  CYP1A2  (upper left) and (</w:t>
      </w:r>
      <w:r>
        <w:rPr>
          <w:b/>
          <w:i/>
          <w:sz w:val="18"/>
          <w:szCs w:val="18"/>
        </w:rPr>
        <w:t xml:space="preserve">D) </w:t>
      </w:r>
      <w:r>
        <w:rPr>
          <w:i/>
          <w:sz w:val="18"/>
          <w:szCs w:val="18"/>
        </w:rPr>
        <w:t xml:space="preserve"> for CYP2E1 (upper right) from 0 to 0.8, </w:t>
      </w:r>
      <w:r>
        <w:rPr>
          <w:b/>
          <w:i/>
          <w:sz w:val="18"/>
          <w:szCs w:val="18"/>
        </w:rPr>
        <w:t>(E)</w:t>
      </w:r>
      <w:r>
        <w:rPr>
          <w:i/>
          <w:sz w:val="18"/>
          <w:szCs w:val="18"/>
        </w:rPr>
        <w:t xml:space="preserve"> the gentle incline for CYP3A4 from 0.5 to 0.8  and </w:t>
      </w:r>
      <w:r>
        <w:rPr>
          <w:b/>
          <w:i/>
          <w:sz w:val="18"/>
          <w:szCs w:val="18"/>
        </w:rPr>
        <w:t>(F)</w:t>
      </w:r>
      <w:r>
        <w:rPr>
          <w:i/>
          <w:sz w:val="18"/>
          <w:szCs w:val="18"/>
        </w:rPr>
        <w:t xml:space="preserve"> no incline but rather uniform throughout the lobule for CYP2D6. </w:t>
      </w:r>
      <w:r>
        <w:rPr>
          <w:i/>
          <w:sz w:val="18"/>
          <w:szCs w:val="18"/>
          <w:highlight w:val="yellow"/>
        </w:rPr>
        <w:t xml:space="preserve">The X-axis represents the </w:t>
      </w:r>
      <w:proofErr w:type="spellStart"/>
      <w:r>
        <w:rPr>
          <w:i/>
          <w:sz w:val="18"/>
          <w:szCs w:val="18"/>
          <w:highlight w:val="yellow"/>
        </w:rPr>
        <w:t>portality</w:t>
      </w:r>
      <w:proofErr w:type="spellEnd"/>
      <w:r>
        <w:rPr>
          <w:i/>
          <w:sz w:val="18"/>
          <w:szCs w:val="18"/>
          <w:highlight w:val="yellow"/>
        </w:rPr>
        <w:t xml:space="preserve"> index arbitrarily divided into 12 zones. The y-axis represents </w:t>
      </w:r>
      <w:r>
        <w:rPr>
          <w:i/>
          <w:sz w:val="18"/>
          <w:szCs w:val="18"/>
        </w:rPr>
        <w:t xml:space="preserve">fat droplet area fraction and the ratio of </w:t>
      </w:r>
      <w:r>
        <w:rPr>
          <w:i/>
          <w:sz w:val="18"/>
          <w:szCs w:val="18"/>
          <w:highlight w:val="yellow"/>
        </w:rPr>
        <w:t>positively stained over all tissue in each zone, respectively.</w:t>
      </w:r>
      <w:r>
        <w:rPr>
          <w:i/>
          <w:sz w:val="18"/>
          <w:szCs w:val="18"/>
        </w:rPr>
        <w:t xml:space="preserve"> The orange line indicates the median, the box in the 1st and 3rd quartiles, and the median whiskers extend up to 1.5 times the interquartile range. Data outside the whiskers range are displayed as circles indicating outliers.  Notably, two Steatosis outliers in the control group are caused by isolated foreground pixels in a vessel that is mainly classified as background.</w:t>
      </w:r>
    </w:p>
    <w:p w14:paraId="725B6A52" w14:textId="77777777" w:rsidR="00F62275" w:rsidRDefault="00F62275">
      <w:pPr>
        <w:ind w:left="-15" w:right="77"/>
        <w:rPr>
          <w:i/>
          <w:sz w:val="18"/>
          <w:szCs w:val="18"/>
        </w:rPr>
      </w:pPr>
    </w:p>
    <w:p w14:paraId="380AC7B9" w14:textId="77777777" w:rsidR="00F62275" w:rsidRDefault="00F62275">
      <w:pPr>
        <w:ind w:left="-15" w:right="77" w:firstLine="289"/>
      </w:pPr>
    </w:p>
    <w:p w14:paraId="109CC878" w14:textId="77777777" w:rsidR="00F62275" w:rsidRDefault="00F62275"/>
    <w:p w14:paraId="69C36946" w14:textId="77777777" w:rsidR="00F62275" w:rsidRDefault="00F62275">
      <w:pPr>
        <w:ind w:left="-15" w:right="77" w:firstLine="289"/>
        <w:rPr>
          <w:i/>
          <w:sz w:val="18"/>
          <w:szCs w:val="18"/>
        </w:rPr>
      </w:pPr>
    </w:p>
    <w:p w14:paraId="08AA9FCA" w14:textId="77777777" w:rsidR="00F62275" w:rsidRDefault="00F62275">
      <w:pPr>
        <w:ind w:left="-15" w:right="77"/>
        <w:rPr>
          <w:i/>
          <w:sz w:val="18"/>
          <w:szCs w:val="18"/>
        </w:rPr>
      </w:pPr>
    </w:p>
    <w:tbl>
      <w:tblPr>
        <w:tblStyle w:val="a5"/>
        <w:tblW w:w="6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80"/>
        <w:gridCol w:w="3480"/>
      </w:tblGrid>
      <w:tr w:rsidR="00F62275" w14:paraId="404A2039" w14:textId="77777777">
        <w:trPr>
          <w:trHeight w:val="380"/>
        </w:trPr>
        <w:tc>
          <w:tcPr>
            <w:tcW w:w="6960" w:type="dxa"/>
            <w:gridSpan w:val="2"/>
          </w:tcPr>
          <w:p w14:paraId="14C0B771" w14:textId="77777777" w:rsidR="00F62275" w:rsidRDefault="00000000">
            <w:pPr>
              <w:widowControl w:val="0"/>
              <w:spacing w:after="0" w:line="240" w:lineRule="auto"/>
              <w:ind w:right="0"/>
              <w:jc w:val="center"/>
              <w:rPr>
                <w:i/>
                <w:sz w:val="18"/>
                <w:szCs w:val="18"/>
              </w:rPr>
            </w:pPr>
            <w:r>
              <w:rPr>
                <w:i/>
                <w:sz w:val="18"/>
                <w:szCs w:val="18"/>
              </w:rPr>
              <w:t>2 weeks feeding (more than 175 lobules)</w:t>
            </w:r>
          </w:p>
        </w:tc>
      </w:tr>
      <w:tr w:rsidR="00F62275" w14:paraId="1FB18E9D" w14:textId="77777777">
        <w:tc>
          <w:tcPr>
            <w:tcW w:w="3480" w:type="dxa"/>
          </w:tcPr>
          <w:p w14:paraId="76C3110E"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59E42AC0" wp14:editId="2148F898">
                  <wp:extent cx="2076450" cy="1549400"/>
                  <wp:effectExtent l="0" t="0" r="0" b="0"/>
                  <wp:docPr id="2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2"/>
                          <a:srcRect/>
                          <a:stretch>
                            <a:fillRect/>
                          </a:stretch>
                        </pic:blipFill>
                        <pic:spPr>
                          <a:xfrm>
                            <a:off x="0" y="0"/>
                            <a:ext cx="2076450" cy="1549400"/>
                          </a:xfrm>
                          <a:prstGeom prst="rect">
                            <a:avLst/>
                          </a:prstGeom>
                          <a:ln/>
                        </pic:spPr>
                      </pic:pic>
                    </a:graphicData>
                  </a:graphic>
                </wp:inline>
              </w:drawing>
            </w:r>
          </w:p>
        </w:tc>
        <w:tc>
          <w:tcPr>
            <w:tcW w:w="3480" w:type="dxa"/>
          </w:tcPr>
          <w:p w14:paraId="34724AEF"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0775A7D4" wp14:editId="47B423DE">
                  <wp:extent cx="2076450" cy="1549400"/>
                  <wp:effectExtent l="0" t="0" r="0" b="0"/>
                  <wp:docPr id="2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3"/>
                          <a:srcRect/>
                          <a:stretch>
                            <a:fillRect/>
                          </a:stretch>
                        </pic:blipFill>
                        <pic:spPr>
                          <a:xfrm>
                            <a:off x="0" y="0"/>
                            <a:ext cx="2076450" cy="1549400"/>
                          </a:xfrm>
                          <a:prstGeom prst="rect">
                            <a:avLst/>
                          </a:prstGeom>
                          <a:ln/>
                        </pic:spPr>
                      </pic:pic>
                    </a:graphicData>
                  </a:graphic>
                </wp:inline>
              </w:drawing>
            </w:r>
          </w:p>
        </w:tc>
      </w:tr>
      <w:tr w:rsidR="00F62275" w14:paraId="6867F044" w14:textId="77777777">
        <w:tc>
          <w:tcPr>
            <w:tcW w:w="3480" w:type="dxa"/>
          </w:tcPr>
          <w:p w14:paraId="79B8E410"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64D0C9CC" wp14:editId="38DA8242">
                  <wp:extent cx="2076450" cy="1549400"/>
                  <wp:effectExtent l="0" t="0" r="0" b="0"/>
                  <wp:docPr id="2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2076450" cy="1549400"/>
                          </a:xfrm>
                          <a:prstGeom prst="rect">
                            <a:avLst/>
                          </a:prstGeom>
                          <a:ln/>
                        </pic:spPr>
                      </pic:pic>
                    </a:graphicData>
                  </a:graphic>
                </wp:inline>
              </w:drawing>
            </w:r>
          </w:p>
        </w:tc>
        <w:tc>
          <w:tcPr>
            <w:tcW w:w="3480" w:type="dxa"/>
          </w:tcPr>
          <w:p w14:paraId="45124182"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31C3EE13" wp14:editId="44912F69">
                  <wp:extent cx="2076450" cy="1549400"/>
                  <wp:effectExtent l="0" t="0" r="0" b="0"/>
                  <wp:docPr id="1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5"/>
                          <a:srcRect/>
                          <a:stretch>
                            <a:fillRect/>
                          </a:stretch>
                        </pic:blipFill>
                        <pic:spPr>
                          <a:xfrm>
                            <a:off x="0" y="0"/>
                            <a:ext cx="2076450" cy="1549400"/>
                          </a:xfrm>
                          <a:prstGeom prst="rect">
                            <a:avLst/>
                          </a:prstGeom>
                          <a:ln/>
                        </pic:spPr>
                      </pic:pic>
                    </a:graphicData>
                  </a:graphic>
                </wp:inline>
              </w:drawing>
            </w:r>
          </w:p>
        </w:tc>
      </w:tr>
      <w:tr w:rsidR="00F62275" w14:paraId="162DB925" w14:textId="77777777">
        <w:tc>
          <w:tcPr>
            <w:tcW w:w="3480" w:type="dxa"/>
          </w:tcPr>
          <w:p w14:paraId="76794AF3" w14:textId="77777777" w:rsidR="00F62275" w:rsidRDefault="00000000">
            <w:pPr>
              <w:widowControl w:val="0"/>
              <w:spacing w:after="0" w:line="240" w:lineRule="auto"/>
              <w:ind w:right="0"/>
              <w:jc w:val="left"/>
              <w:rPr>
                <w:i/>
                <w:sz w:val="18"/>
                <w:szCs w:val="18"/>
              </w:rPr>
            </w:pPr>
            <w:r>
              <w:rPr>
                <w:i/>
                <w:noProof/>
                <w:sz w:val="18"/>
                <w:szCs w:val="18"/>
              </w:rPr>
              <w:lastRenderedPageBreak/>
              <w:drawing>
                <wp:inline distT="114300" distB="114300" distL="114300" distR="114300" wp14:anchorId="10D4A730" wp14:editId="491EA053">
                  <wp:extent cx="2076450" cy="1549400"/>
                  <wp:effectExtent l="0" t="0" r="0" b="0"/>
                  <wp:docPr id="1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a:off x="0" y="0"/>
                            <a:ext cx="2076450" cy="1549400"/>
                          </a:xfrm>
                          <a:prstGeom prst="rect">
                            <a:avLst/>
                          </a:prstGeom>
                          <a:ln/>
                        </pic:spPr>
                      </pic:pic>
                    </a:graphicData>
                  </a:graphic>
                </wp:inline>
              </w:drawing>
            </w:r>
          </w:p>
        </w:tc>
        <w:tc>
          <w:tcPr>
            <w:tcW w:w="3480" w:type="dxa"/>
          </w:tcPr>
          <w:p w14:paraId="263D3BD9" w14:textId="77777777" w:rsidR="00F62275" w:rsidRDefault="00000000">
            <w:pPr>
              <w:widowControl w:val="0"/>
              <w:spacing w:after="0" w:line="240" w:lineRule="auto"/>
              <w:ind w:right="0"/>
              <w:jc w:val="left"/>
              <w:rPr>
                <w:i/>
                <w:sz w:val="18"/>
                <w:szCs w:val="18"/>
              </w:rPr>
            </w:pPr>
            <w:r>
              <w:rPr>
                <w:i/>
                <w:noProof/>
                <w:sz w:val="18"/>
                <w:szCs w:val="18"/>
              </w:rPr>
              <w:drawing>
                <wp:inline distT="114300" distB="114300" distL="114300" distR="114300" wp14:anchorId="36F9595C" wp14:editId="16E5E3A9">
                  <wp:extent cx="2076450" cy="1549400"/>
                  <wp:effectExtent l="0" t="0" r="0" b="0"/>
                  <wp:docPr id="2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7"/>
                          <a:srcRect/>
                          <a:stretch>
                            <a:fillRect/>
                          </a:stretch>
                        </pic:blipFill>
                        <pic:spPr>
                          <a:xfrm>
                            <a:off x="0" y="0"/>
                            <a:ext cx="2076450" cy="1549400"/>
                          </a:xfrm>
                          <a:prstGeom prst="rect">
                            <a:avLst/>
                          </a:prstGeom>
                          <a:ln/>
                        </pic:spPr>
                      </pic:pic>
                    </a:graphicData>
                  </a:graphic>
                </wp:inline>
              </w:drawing>
            </w:r>
          </w:p>
        </w:tc>
      </w:tr>
    </w:tbl>
    <w:p w14:paraId="73247497" w14:textId="77777777" w:rsidR="00F62275" w:rsidRDefault="00F62275">
      <w:pPr>
        <w:ind w:left="-15" w:right="77"/>
        <w:rPr>
          <w:i/>
          <w:sz w:val="18"/>
          <w:szCs w:val="18"/>
        </w:rPr>
      </w:pPr>
    </w:p>
    <w:p w14:paraId="5899AEE1" w14:textId="77777777" w:rsidR="00F62275" w:rsidRDefault="00000000">
      <w:pPr>
        <w:ind w:left="-15" w:right="77"/>
        <w:rPr>
          <w:b/>
          <w:i/>
          <w:sz w:val="18"/>
          <w:szCs w:val="18"/>
        </w:rPr>
      </w:pPr>
      <w:r>
        <w:rPr>
          <w:b/>
          <w:i/>
          <w:sz w:val="18"/>
          <w:szCs w:val="18"/>
        </w:rPr>
        <w:t xml:space="preserve">Figure 5b: Box-whisker-plot quantifying the spatial distribution of parameters within the hepatic lobules of a </w:t>
      </w:r>
      <w:proofErr w:type="spellStart"/>
      <w:r>
        <w:rPr>
          <w:b/>
          <w:i/>
          <w:sz w:val="18"/>
          <w:szCs w:val="18"/>
        </w:rPr>
        <w:t>steatotic</w:t>
      </w:r>
      <w:proofErr w:type="spellEnd"/>
      <w:r>
        <w:rPr>
          <w:b/>
          <w:i/>
          <w:sz w:val="18"/>
          <w:szCs w:val="18"/>
        </w:rPr>
        <w:t xml:space="preserve"> mouse liver along the sinusoidal </w:t>
      </w:r>
      <w:proofErr w:type="spellStart"/>
      <w:r>
        <w:rPr>
          <w:b/>
          <w:i/>
          <w:sz w:val="18"/>
          <w:szCs w:val="18"/>
        </w:rPr>
        <w:t>porto</w:t>
      </w:r>
      <w:proofErr w:type="spellEnd"/>
      <w:r>
        <w:rPr>
          <w:b/>
          <w:i/>
          <w:sz w:val="18"/>
          <w:szCs w:val="18"/>
        </w:rPr>
        <w:t xml:space="preserve">-central axis. </w:t>
      </w:r>
    </w:p>
    <w:p w14:paraId="1AD6C87B" w14:textId="77777777" w:rsidR="00F62275" w:rsidRDefault="00000000">
      <w:pPr>
        <w:ind w:left="-15" w:right="77"/>
        <w:rPr>
          <w:i/>
          <w:sz w:val="18"/>
          <w:szCs w:val="18"/>
        </w:rPr>
      </w:pPr>
      <w:r>
        <w:rPr>
          <w:b/>
          <w:i/>
          <w:sz w:val="18"/>
          <w:szCs w:val="18"/>
        </w:rPr>
        <w:t>(A)</w:t>
      </w:r>
      <w:r>
        <w:rPr>
          <w:i/>
          <w:sz w:val="18"/>
          <w:szCs w:val="18"/>
        </w:rPr>
        <w:t xml:space="preserve"> Graphical representation of the quantitative intralobular spatial distribution of steatosis showing the gentle decline of the slope from portal to central vein. </w:t>
      </w:r>
      <w:r>
        <w:rPr>
          <w:b/>
          <w:i/>
          <w:sz w:val="18"/>
          <w:szCs w:val="18"/>
        </w:rPr>
        <w:t>(B)</w:t>
      </w:r>
      <w:r>
        <w:rPr>
          <w:i/>
          <w:sz w:val="18"/>
          <w:szCs w:val="18"/>
        </w:rPr>
        <w:t xml:space="preserve"> Graphical representation of the quantitative intralobular zonal distribution of GS showing the absence of expression in zone 1-8 and the steep gradient representing the expression in zone 9-11. </w:t>
      </w:r>
      <w:r>
        <w:rPr>
          <w:b/>
          <w:i/>
          <w:sz w:val="18"/>
          <w:szCs w:val="18"/>
        </w:rPr>
        <w:t>(C)</w:t>
      </w:r>
      <w:r>
        <w:rPr>
          <w:i/>
          <w:sz w:val="18"/>
          <w:szCs w:val="18"/>
        </w:rPr>
        <w:t xml:space="preserve"> demonstrating CYP enzyme </w:t>
      </w:r>
      <w:proofErr w:type="gramStart"/>
      <w:r>
        <w:rPr>
          <w:i/>
          <w:sz w:val="18"/>
          <w:szCs w:val="18"/>
        </w:rPr>
        <w:t>expression  showing</w:t>
      </w:r>
      <w:proofErr w:type="gramEnd"/>
      <w:r>
        <w:rPr>
          <w:i/>
          <w:sz w:val="18"/>
          <w:szCs w:val="18"/>
        </w:rPr>
        <w:t xml:space="preserve"> the steep incline of the slope representing  CYP1A2  (upper left) and (</w:t>
      </w:r>
      <w:r>
        <w:rPr>
          <w:b/>
          <w:i/>
          <w:sz w:val="18"/>
          <w:szCs w:val="18"/>
        </w:rPr>
        <w:t xml:space="preserve">D) </w:t>
      </w:r>
      <w:r>
        <w:rPr>
          <w:i/>
          <w:sz w:val="18"/>
          <w:szCs w:val="18"/>
        </w:rPr>
        <w:t xml:space="preserve"> for CYP2E1 (upper right) from 0 to 0.8, </w:t>
      </w:r>
      <w:r>
        <w:rPr>
          <w:b/>
          <w:i/>
          <w:sz w:val="18"/>
          <w:szCs w:val="18"/>
        </w:rPr>
        <w:t>(E)</w:t>
      </w:r>
      <w:r>
        <w:rPr>
          <w:i/>
          <w:sz w:val="18"/>
          <w:szCs w:val="18"/>
        </w:rPr>
        <w:t xml:space="preserve"> the gentle incline for CYP3A4 from 0.5 to 0.8  and </w:t>
      </w:r>
      <w:r>
        <w:rPr>
          <w:b/>
          <w:i/>
          <w:sz w:val="18"/>
          <w:szCs w:val="18"/>
        </w:rPr>
        <w:t>(F)</w:t>
      </w:r>
      <w:r>
        <w:rPr>
          <w:i/>
          <w:sz w:val="18"/>
          <w:szCs w:val="18"/>
        </w:rPr>
        <w:t xml:space="preserve"> no incline but rather uniform throughout the lobule for CYP2D6. </w:t>
      </w:r>
      <w:r>
        <w:rPr>
          <w:i/>
          <w:sz w:val="18"/>
          <w:szCs w:val="18"/>
          <w:highlight w:val="yellow"/>
        </w:rPr>
        <w:t xml:space="preserve">The X-axis represents the </w:t>
      </w:r>
      <w:proofErr w:type="spellStart"/>
      <w:r>
        <w:rPr>
          <w:i/>
          <w:sz w:val="18"/>
          <w:szCs w:val="18"/>
          <w:highlight w:val="yellow"/>
        </w:rPr>
        <w:t>portality</w:t>
      </w:r>
      <w:proofErr w:type="spellEnd"/>
      <w:r>
        <w:rPr>
          <w:i/>
          <w:sz w:val="18"/>
          <w:szCs w:val="18"/>
          <w:highlight w:val="yellow"/>
        </w:rPr>
        <w:t xml:space="preserve"> index arbitrarily divided into 12 zones. The y-axis represents </w:t>
      </w:r>
      <w:r>
        <w:rPr>
          <w:i/>
          <w:sz w:val="18"/>
          <w:szCs w:val="18"/>
        </w:rPr>
        <w:t xml:space="preserve">fat droplet area fraction and the ratio of </w:t>
      </w:r>
      <w:r>
        <w:rPr>
          <w:i/>
          <w:sz w:val="18"/>
          <w:szCs w:val="18"/>
          <w:highlight w:val="yellow"/>
        </w:rPr>
        <w:t>positively stained over all tissue in each zone, respectively.</w:t>
      </w:r>
      <w:r>
        <w:rPr>
          <w:i/>
          <w:sz w:val="18"/>
          <w:szCs w:val="18"/>
        </w:rPr>
        <w:t xml:space="preserve"> The orange line indicates the median, the box in the 1st and 3rd quartiles, and the median whiskers extend up to 1.5 times the interquartile range. Data outside the whiskers range are displayed as circles indicating outliers.  Notably, two Steatosis outliers in the control group are caused by isolated foreground pixels in a vessel that is mainly classified as background.</w:t>
      </w:r>
    </w:p>
    <w:p w14:paraId="3CD5C8E3" w14:textId="77777777" w:rsidR="00F62275" w:rsidRDefault="00F62275">
      <w:pPr>
        <w:ind w:left="-15" w:right="77"/>
        <w:rPr>
          <w:i/>
          <w:sz w:val="18"/>
          <w:szCs w:val="18"/>
        </w:rPr>
      </w:pPr>
    </w:p>
    <w:p w14:paraId="70887AC3" w14:textId="77777777" w:rsidR="00F62275" w:rsidRDefault="00F62275">
      <w:pPr>
        <w:ind w:left="-15" w:right="77" w:firstLine="289"/>
      </w:pPr>
    </w:p>
    <w:p w14:paraId="3EDA83ED" w14:textId="77777777" w:rsidR="00F62275" w:rsidRDefault="00F62275">
      <w:pPr>
        <w:widowControl w:val="0"/>
        <w:pBdr>
          <w:top w:val="nil"/>
          <w:left w:val="nil"/>
          <w:bottom w:val="nil"/>
          <w:right w:val="nil"/>
          <w:between w:val="nil"/>
        </w:pBdr>
        <w:spacing w:after="0" w:line="276" w:lineRule="auto"/>
        <w:ind w:right="0"/>
        <w:jc w:val="left"/>
      </w:pPr>
    </w:p>
    <w:sectPr w:rsidR="00F62275">
      <w:headerReference w:type="default" r:id="rId18"/>
      <w:footerReference w:type="even" r:id="rId19"/>
      <w:footerReference w:type="default" r:id="rId20"/>
      <w:footerReference w:type="first" r:id="rId21"/>
      <w:pgSz w:w="12240" w:h="15840"/>
      <w:pgMar w:top="2496" w:right="2598" w:bottom="2346" w:left="2675" w:header="720" w:footer="174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B7366" w14:textId="77777777" w:rsidR="00D3630D" w:rsidRDefault="00D3630D">
      <w:pPr>
        <w:spacing w:after="0" w:line="240" w:lineRule="auto"/>
      </w:pPr>
      <w:r>
        <w:separator/>
      </w:r>
    </w:p>
  </w:endnote>
  <w:endnote w:type="continuationSeparator" w:id="0">
    <w:p w14:paraId="20A2CF39" w14:textId="77777777" w:rsidR="00D3630D" w:rsidRDefault="00D36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2FF" w:usb1="400004FF" w:usb2="00000000" w:usb3="00000000" w:csb0="0000019F" w:csb1="00000000"/>
    <w:embedRegular r:id="rId1" w:fontKey="{18D7D6B6-035D-434B-B921-53A5527CA616}"/>
    <w:embedBold r:id="rId2" w:fontKey="{DE0C4809-8B1E-1940-9BCF-0543B108342E}"/>
    <w:embedItalic r:id="rId3" w:fontKey="{20EC0622-87C1-834D-8C03-FC86B23C0C30}"/>
    <w:embedBoldItalic r:id="rId4" w:fontKey="{B70CCE1E-98CF-B340-AAA0-313339664946}"/>
  </w:font>
  <w:font w:name="Play">
    <w:charset w:val="00"/>
    <w:family w:val="auto"/>
    <w:pitch w:val="default"/>
    <w:embedRegular r:id="rId5" w:fontKey="{1EFB9816-8351-3A43-A5F5-E5A236E18E68}"/>
    <w:embedItalic r:id="rId6" w:fontKey="{7C43F9C9-EBC3-8F45-A421-EB950809A75A}"/>
  </w:font>
  <w:font w:name="Times New Roman">
    <w:panose1 w:val="02020603050405020304"/>
    <w:charset w:val="00"/>
    <w:family w:val="roman"/>
    <w:pitch w:val="variable"/>
    <w:sig w:usb0="E0002EFF" w:usb1="C000785B" w:usb2="00000009" w:usb3="00000000" w:csb0="000001FF" w:csb1="00000000"/>
    <w:embedRegular r:id="rId7" w:fontKey="{5072F529-DD65-1E46-9947-401FE1886167}"/>
  </w:font>
  <w:font w:name="Georgia">
    <w:panose1 w:val="02040502050405020303"/>
    <w:charset w:val="00"/>
    <w:family w:val="roman"/>
    <w:pitch w:val="variable"/>
    <w:sig w:usb0="00000287" w:usb1="00000000" w:usb2="00000000" w:usb3="00000000" w:csb0="0000009F" w:csb1="00000000"/>
    <w:embedRegular r:id="rId8" w:fontKey="{CF9EE730-E58C-884F-8E5F-0774B3C6CCBD}"/>
    <w:embedItalic r:id="rId9" w:fontKey="{B4C9F9BA-3490-7A4B-93DB-FAB9741F3F2E}"/>
  </w:font>
  <w:font w:name="Tahoma">
    <w:panose1 w:val="020B0604030504040204"/>
    <w:charset w:val="00"/>
    <w:family w:val="swiss"/>
    <w:pitch w:val="variable"/>
    <w:sig w:usb0="E1002EFF" w:usb1="C000605B" w:usb2="00000029" w:usb3="00000000" w:csb0="000101FF" w:csb1="00000000"/>
    <w:embedRegular r:id="rId10" w:fontKey="{4807ACB6-C03D-0543-9089-C27C7DF02AB7}"/>
  </w:font>
  <w:font w:name="Calibri">
    <w:panose1 w:val="020F0502020204030204"/>
    <w:charset w:val="00"/>
    <w:family w:val="swiss"/>
    <w:pitch w:val="variable"/>
    <w:sig w:usb0="E0002AFF" w:usb1="C000247B" w:usb2="00000009" w:usb3="00000000" w:csb0="000001FF" w:csb1="00000000"/>
    <w:embedRegular r:id="rId11" w:fontKey="{6D5B912C-16DC-4C4A-A12B-6B92679D3D1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DC93C9" w14:textId="77777777" w:rsidR="00F62275" w:rsidRDefault="00000000">
    <w:pPr>
      <w:spacing w:after="0" w:line="259" w:lineRule="auto"/>
      <w:jc w:val="center"/>
    </w:pPr>
    <w:r>
      <w:fldChar w:fldCharType="begin"/>
    </w:r>
    <w:r>
      <w:instrText>PAGE</w:instrText>
    </w:r>
    <w:r>
      <w:fldChar w:fldCharType="separate"/>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D6692" w14:textId="77777777" w:rsidR="00F62275" w:rsidRDefault="00000000">
    <w:pPr>
      <w:spacing w:after="0" w:line="259" w:lineRule="auto"/>
      <w:jc w:val="center"/>
    </w:pPr>
    <w:r>
      <w:fldChar w:fldCharType="begin"/>
    </w:r>
    <w:r>
      <w:instrText>PAGE</w:instrText>
    </w:r>
    <w:r>
      <w:fldChar w:fldCharType="separate"/>
    </w:r>
    <w:r w:rsidR="005E39D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A11683" w14:textId="77777777" w:rsidR="00F62275" w:rsidRDefault="00000000">
    <w:pPr>
      <w:spacing w:after="0" w:line="259" w:lineRule="auto"/>
      <w:jc w:val="center"/>
    </w:pPr>
    <w:r>
      <w:fldChar w:fldCharType="begin"/>
    </w:r>
    <w:r>
      <w:instrText>PAGE</w:instrText>
    </w:r>
    <w:r>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DF328E" w14:textId="77777777" w:rsidR="00D3630D" w:rsidRDefault="00D3630D">
      <w:pPr>
        <w:spacing w:after="0" w:line="240" w:lineRule="auto"/>
      </w:pPr>
      <w:r>
        <w:separator/>
      </w:r>
    </w:p>
  </w:footnote>
  <w:footnote w:type="continuationSeparator" w:id="0">
    <w:p w14:paraId="450D2C38" w14:textId="77777777" w:rsidR="00D3630D" w:rsidRDefault="00D363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6F2C81" w14:textId="77777777" w:rsidR="00F62275" w:rsidRDefault="00F62275">
    <w:pPr>
      <w:pBdr>
        <w:top w:val="nil"/>
        <w:left w:val="nil"/>
        <w:bottom w:val="nil"/>
        <w:right w:val="nil"/>
        <w:between w:val="nil"/>
      </w:pBdr>
      <w:spacing w:after="0" w:line="240" w:lineRule="auto"/>
      <w:ind w:firstLine="289"/>
      <w:rPr>
        <w:rFonts w:ascii="Tahoma" w:eastAsia="Tahoma" w:hAnsi="Tahoma" w:cs="Tahoma"/>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275"/>
    <w:rsid w:val="000A3721"/>
    <w:rsid w:val="00122C42"/>
    <w:rsid w:val="002044C5"/>
    <w:rsid w:val="002A5303"/>
    <w:rsid w:val="003226CC"/>
    <w:rsid w:val="005E39D1"/>
    <w:rsid w:val="008B67CF"/>
    <w:rsid w:val="008F7570"/>
    <w:rsid w:val="00A55DA1"/>
    <w:rsid w:val="00CD7D96"/>
    <w:rsid w:val="00D3630D"/>
    <w:rsid w:val="00F62275"/>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72D82F1E"/>
  <w15:docId w15:val="{650ABA10-1084-014F-935F-36D0AC81B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Cambria"/>
        <w:lang w:val="en" w:eastAsia="en-GB" w:bidi="ar-SA"/>
      </w:rPr>
    </w:rPrDefault>
    <w:pPrDefault>
      <w:pPr>
        <w:spacing w:after="3" w:line="255" w:lineRule="auto"/>
        <w:ind w:right="9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84" w:line="259" w:lineRule="auto"/>
      <w:outlineLvl w:val="0"/>
    </w:pPr>
    <w:rPr>
      <w:b/>
      <w:sz w:val="29"/>
      <w:szCs w:val="29"/>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75" w:line="259" w:lineRule="auto"/>
      <w:ind w:right="0"/>
      <w:jc w:val="left"/>
      <w:outlineLvl w:val="1"/>
    </w:pPr>
    <w:rPr>
      <w:b/>
      <w:color w:val="000000"/>
      <w:sz w:val="24"/>
      <w:szCs w:val="24"/>
    </w:rPr>
  </w:style>
  <w:style w:type="paragraph" w:styleId="Heading3">
    <w:name w:val="heading 3"/>
    <w:basedOn w:val="Normal"/>
    <w:next w:val="Normal"/>
    <w:uiPriority w:val="9"/>
    <w:unhideWhenUsed/>
    <w:qFormat/>
    <w:pPr>
      <w:keepNext/>
      <w:keepLines/>
      <w:spacing w:before="40" w:after="0"/>
      <w:outlineLvl w:val="2"/>
    </w:pPr>
    <w:rPr>
      <w:rFonts w:ascii="Play" w:eastAsia="Play" w:hAnsi="Play" w:cs="Play"/>
      <w:color w:val="0A2F40"/>
      <w:sz w:val="24"/>
      <w:szCs w:val="24"/>
    </w:rPr>
  </w:style>
  <w:style w:type="paragraph" w:styleId="Heading4">
    <w:name w:val="heading 4"/>
    <w:basedOn w:val="Normal"/>
    <w:next w:val="Normal"/>
    <w:uiPriority w:val="9"/>
    <w:semiHidden/>
    <w:unhideWhenUsed/>
    <w:qFormat/>
    <w:pPr>
      <w:keepNext/>
      <w:keepLines/>
      <w:spacing w:before="40" w:after="0"/>
      <w:outlineLvl w:val="3"/>
    </w:pPr>
    <w:rPr>
      <w:rFonts w:ascii="Play" w:eastAsia="Play" w:hAnsi="Play" w:cs="Play"/>
      <w:i/>
      <w:color w:val="0F476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5E39D1"/>
    <w:pPr>
      <w:spacing w:after="0" w:line="240" w:lineRule="auto"/>
      <w:ind w:right="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.~WRD0000</Template>
  <TotalTime>2</TotalTime>
  <Pages>3</Pages>
  <Words>439</Words>
  <Characters>2507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Laue, Hendrik</cp:lastModifiedBy>
  <cp:revision>2</cp:revision>
  <dcterms:created xsi:type="dcterms:W3CDTF">2024-07-17T16:22:00Z</dcterms:created>
  <dcterms:modified xsi:type="dcterms:W3CDTF">2024-07-17T16:22:00Z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id="cM4INNiW"/&gt;&lt;style id="http://www.zotero.org/styles/association-for-computing-machinery" hasBibliography="1" bibliographyStyleHasBeenSet="1"/&gt;&lt;prefs&gt;&lt;pref name="fieldType" value="Field"/&gt;&lt;/prefs&gt;&lt;</vt:lpwstr>
  </property>
  <property fmtid="{D5CDD505-2E9C-101B-9397-08002B2CF9AE}" pid="3" name="ZOTERO_PREF_2">
    <vt:lpwstr>/data&gt;</vt:lpwstr>
  </property>
</Properties>
</file>