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A2A565" w14:textId="52E0E4F9" w:rsidR="004D7023" w:rsidRPr="001F67F6" w:rsidRDefault="004D7023" w:rsidP="002408C7">
      <w:pPr>
        <w:spacing w:line="480" w:lineRule="auto"/>
        <w:rPr>
          <w:rFonts w:ascii="Arial" w:hAnsi="Arial" w:cs="Arial"/>
        </w:rPr>
      </w:pPr>
    </w:p>
    <w:p w14:paraId="30044EB5" w14:textId="77777777" w:rsidR="00097AB4" w:rsidRPr="001F67F6" w:rsidRDefault="00097AB4" w:rsidP="002408C7">
      <w:pPr>
        <w:spacing w:line="480" w:lineRule="auto"/>
        <w:rPr>
          <w:rFonts w:ascii="Arial" w:hAnsi="Arial" w:cs="Arial"/>
        </w:rPr>
      </w:pPr>
    </w:p>
    <w:p w14:paraId="191A3605" w14:textId="45E879CC" w:rsidR="00010A87" w:rsidRPr="001F67F6" w:rsidRDefault="00E35001" w:rsidP="00D46A77">
      <w:pPr>
        <w:spacing w:line="240" w:lineRule="auto"/>
        <w:rPr>
          <w:rFonts w:ascii="Arial" w:hAnsi="Arial" w:cs="Arial"/>
          <w:b/>
          <w:bCs/>
        </w:rPr>
      </w:pPr>
      <w:r w:rsidRPr="001F67F6">
        <w:rPr>
          <w:rFonts w:ascii="Arial" w:hAnsi="Arial" w:cs="Arial"/>
          <w:b/>
          <w:bCs/>
        </w:rPr>
        <w:t>Table 1</w:t>
      </w:r>
      <w:r w:rsidR="00084161">
        <w:rPr>
          <w:rFonts w:ascii="Arial" w:hAnsi="Arial" w:cs="Arial"/>
          <w:b/>
          <w:bCs/>
        </w:rPr>
        <w:t xml:space="preserve">. </w:t>
      </w:r>
      <w:r w:rsidR="00084161" w:rsidRPr="000665E9">
        <w:rPr>
          <w:rFonts w:ascii="Arial" w:hAnsi="Arial" w:cs="Arial"/>
        </w:rPr>
        <w:t>Summary of characteristics of studies included in the systematic literature review</w:t>
      </w:r>
    </w:p>
    <w:tbl>
      <w:tblPr>
        <w:tblW w:w="15480" w:type="dxa"/>
        <w:tblInd w:w="-1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910"/>
        <w:gridCol w:w="911"/>
        <w:gridCol w:w="910"/>
        <w:gridCol w:w="911"/>
        <w:gridCol w:w="910"/>
        <w:gridCol w:w="911"/>
        <w:gridCol w:w="911"/>
        <w:gridCol w:w="910"/>
        <w:gridCol w:w="911"/>
        <w:gridCol w:w="910"/>
        <w:gridCol w:w="911"/>
        <w:gridCol w:w="911"/>
        <w:gridCol w:w="910"/>
        <w:gridCol w:w="911"/>
        <w:gridCol w:w="910"/>
        <w:gridCol w:w="911"/>
        <w:gridCol w:w="911"/>
      </w:tblGrid>
      <w:tr w:rsidR="00302347" w:rsidRPr="00376551" w14:paraId="7E4C1E6B" w14:textId="77777777" w:rsidTr="00C3229C">
        <w:trPr>
          <w:trHeight w:val="288"/>
        </w:trPr>
        <w:tc>
          <w:tcPr>
            <w:tcW w:w="15480" w:type="dxa"/>
            <w:gridSpan w:val="17"/>
            <w:shd w:val="clear" w:color="auto" w:fill="F2F2F2" w:themeFill="background1" w:themeFillShade="F2"/>
            <w:noWrap/>
            <w:hideMark/>
          </w:tcPr>
          <w:p w14:paraId="2FE4F9B3" w14:textId="04F807C7" w:rsidR="00376551" w:rsidRPr="00376551" w:rsidRDefault="00376551" w:rsidP="00C32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  <w:t>Tab</w:t>
            </w:r>
            <w:r w:rsidR="00D73596"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  <w:t>le</w:t>
            </w:r>
            <w:r w:rsidRPr="00376551"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  <w:t xml:space="preserve"> 1: Summary of characteristics of studies included in the systematic literature review</w:t>
            </w:r>
          </w:p>
        </w:tc>
      </w:tr>
      <w:tr w:rsidR="00C3229C" w:rsidRPr="00376551" w14:paraId="6027D8B8" w14:textId="77777777" w:rsidTr="00C3229C">
        <w:trPr>
          <w:trHeight w:val="1836"/>
        </w:trPr>
        <w:tc>
          <w:tcPr>
            <w:tcW w:w="910" w:type="dxa"/>
            <w:shd w:val="clear" w:color="auto" w:fill="F2F2F2" w:themeFill="background1" w:themeFillShade="F2"/>
            <w:hideMark/>
          </w:tcPr>
          <w:p w14:paraId="4937F046" w14:textId="77777777" w:rsidR="00376551" w:rsidRPr="00376551" w:rsidRDefault="00376551" w:rsidP="00C32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  <w:t>Number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02097B96" w14:textId="77777777" w:rsidR="00376551" w:rsidRPr="00376551" w:rsidRDefault="00376551" w:rsidP="00C32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  <w:t>First author, year, location                                             Study design             Study period (month and date)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40D6C7EA" w14:textId="77777777" w:rsidR="00376551" w:rsidRPr="00376551" w:rsidRDefault="00376551" w:rsidP="00C32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  <w:t>Patient's  department         (total number)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0AC02C1D" w14:textId="77777777" w:rsidR="00376551" w:rsidRPr="00376551" w:rsidRDefault="00376551" w:rsidP="00C32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  <w:t>Type of dermatology consultation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0968FF53" w14:textId="77777777" w:rsidR="00376551" w:rsidRPr="00376551" w:rsidRDefault="00376551" w:rsidP="00C32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  <w:t>Main departments who made non-dermatology consultations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1C17BBC4" w14:textId="77777777" w:rsidR="00376551" w:rsidRPr="00376551" w:rsidRDefault="00376551" w:rsidP="00C32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  <w:t>Dermatology consultation (n)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558B12E9" w14:textId="77777777" w:rsidR="00376551" w:rsidRPr="00376551" w:rsidRDefault="00376551" w:rsidP="00C32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  <w:t>Pseudocellulitis Differential Diagnosis before Dermatologic consultation**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53616423" w14:textId="77777777" w:rsidR="00376551" w:rsidRPr="00376551" w:rsidRDefault="00376551" w:rsidP="00C32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  <w:t>Length of antibiotic use (days)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5A4B7758" w14:textId="77777777" w:rsidR="00376551" w:rsidRPr="00376551" w:rsidRDefault="00376551" w:rsidP="00C32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  <w:t>Length of IV antibiotic use (days)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1C2E42A3" w14:textId="77777777" w:rsidR="00376551" w:rsidRPr="00376551" w:rsidRDefault="00376551" w:rsidP="00C32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  <w:t>Swith therapy (IV to oral)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35BF2E9F" w14:textId="77777777" w:rsidR="00376551" w:rsidRPr="00376551" w:rsidRDefault="00376551" w:rsidP="00C32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  <w:t>Readmissions (days)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026C6793" w14:textId="77777777" w:rsidR="00376551" w:rsidRPr="00376551" w:rsidRDefault="00376551" w:rsidP="00C32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  <w:t>Length of hospital stay (days)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13CE35C4" w14:textId="06602E90" w:rsidR="00376551" w:rsidRPr="00376551" w:rsidRDefault="00376551" w:rsidP="00C32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  <w:t>Costs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68F15EFE" w14:textId="77777777" w:rsidR="00376551" w:rsidRPr="00376551" w:rsidRDefault="00376551" w:rsidP="00C32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  <w:t>Laboratory tests requested after dermatology consultation and their need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0ED62F5C" w14:textId="77777777" w:rsidR="00376551" w:rsidRPr="00376551" w:rsidRDefault="00376551" w:rsidP="00C32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  <w:t>Primary dermatology related diagnosis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49E3A447" w14:textId="77777777" w:rsidR="00376551" w:rsidRPr="00376551" w:rsidRDefault="00376551" w:rsidP="00C32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  <w:t>Treatment change involving antibiotics (%)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3D22190D" w14:textId="77777777" w:rsidR="00376551" w:rsidRPr="00376551" w:rsidRDefault="00376551" w:rsidP="00C32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b/>
                <w:bCs/>
                <w:color w:val="3F3F3F"/>
                <w:kern w:val="0"/>
                <w14:ligatures w14:val="none"/>
              </w:rPr>
              <w:t>D&amp;B Score</w:t>
            </w:r>
          </w:p>
        </w:tc>
      </w:tr>
      <w:tr w:rsidR="0022266D" w:rsidRPr="00376551" w14:paraId="6C931A05" w14:textId="77777777" w:rsidTr="00C3229C">
        <w:trPr>
          <w:trHeight w:val="3828"/>
        </w:trPr>
        <w:tc>
          <w:tcPr>
            <w:tcW w:w="910" w:type="dxa"/>
            <w:shd w:val="clear" w:color="auto" w:fill="F2F2F2" w:themeFill="background1" w:themeFillShade="F2"/>
            <w:hideMark/>
          </w:tcPr>
          <w:p w14:paraId="73B1F23E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1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0CA727D7" w14:textId="32E70701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Fayne, 2020, USA        Retrospective cohort study                       January 2012 - December 2017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03B02B91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Inpatient and ED observation       (1004)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1883FF98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On-site consultation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1AF11A40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Emergency, Internal Medicine, and General Surgery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2E88CD49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1004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513840A9" w14:textId="64049025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Non-bacterial infections (8.2%), Autoimmune disease (7.4%), Inflammatory disease (4.1%), Malignancy (2.3%), Vascular disease (0.7%), Others (54.3%)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761576BF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3079780C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3EFF252C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5D41E764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4456E26F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 xml:space="preserve">Dermatology consultation changed the provisional diagnosis more often when the consult was placed 2 or more days after admission (p-0.01), when the admission length was more than one week </w:t>
            </w: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(p=0.09)…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5439A6DF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 xml:space="preserve">Approximately 22% of all dermatology consultations were from the ED. By taking care of patients in this setting, we may avoid hospital admission for these patients. Overall, this has a significant effect on </w:t>
            </w: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reducing healthcare costs, given that an average hospital admission costs approximately $2000 per night.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42C39E17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 xml:space="preserve">The most frequently recommended testing and work-up by dermatology was biopsy for histology (41.3%), blood tests (16.5%), and wound culture (15%); however, a significant number of cases (31.3%) </w:t>
            </w: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did not require additional testing.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6594B377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Not skin-related (39%) and skin-related (61%)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14B5D7A4" w14:textId="015818C4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1F1E6846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22</w:t>
            </w:r>
          </w:p>
        </w:tc>
      </w:tr>
      <w:tr w:rsidR="0022266D" w:rsidRPr="00376551" w14:paraId="636A2A67" w14:textId="77777777" w:rsidTr="00C3229C">
        <w:trPr>
          <w:trHeight w:val="1152"/>
        </w:trPr>
        <w:tc>
          <w:tcPr>
            <w:tcW w:w="910" w:type="dxa"/>
            <w:shd w:val="clear" w:color="auto" w:fill="F2F2F2" w:themeFill="background1" w:themeFillShade="F2"/>
            <w:hideMark/>
          </w:tcPr>
          <w:p w14:paraId="625A34CA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2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39A816B4" w14:textId="1E1AD308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Georgesen, 2019, USA   Retrospective cohort study                          July 2014 - June 2018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007BD1C2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Inpatient          (1320)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292AB534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Teledermatology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6676486F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62C5A6AC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1320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5397FCA2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Vascular disease, Inflammatory disease, Malignancy, Non-bacterial infections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08C3BF20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5887F428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72AE91F2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2E21F4F0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67BE771F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 xml:space="preserve">eDemarmatology consultants provided specific diagnoses and treatment recommendations </w:t>
            </w: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for these patients over an average hospital stay of 4.42 days.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10ECDB99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69B12F4E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In 44% of cases, additional workup was recommended to formulate a diagnosis, inlcudi</w:t>
            </w: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ng a skin biopsy 36% of the time.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4D70C26A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Not skin-related (59%) and skin-related (41%)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79DF38BE" w14:textId="3F62C363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0390C1DF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17</w:t>
            </w:r>
          </w:p>
        </w:tc>
      </w:tr>
      <w:tr w:rsidR="0022266D" w:rsidRPr="00376551" w14:paraId="0EEF3628" w14:textId="77777777" w:rsidTr="00C3229C">
        <w:trPr>
          <w:trHeight w:val="1440"/>
        </w:trPr>
        <w:tc>
          <w:tcPr>
            <w:tcW w:w="910" w:type="dxa"/>
            <w:shd w:val="clear" w:color="auto" w:fill="F2F2F2" w:themeFill="background1" w:themeFillShade="F2"/>
            <w:hideMark/>
          </w:tcPr>
          <w:p w14:paraId="7AE99991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3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6EB53BF2" w14:textId="061E897D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Hu, 2013, USA                  Retrospective cohort study                         2009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39C99EE3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Inpatient            (512)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06E13A91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On-site consultation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099086D3" w14:textId="5C8D40FF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General Medicine, Oncology, Emergency, Burn ICU, Cardiology, Neurology, Neurosurgery, Renal Transplant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0890FE55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58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3D79C6C4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Vascular disease, Autoimmune disease, Non-bacterial infection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03CB1669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21277F61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034E7FCA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758909CC" w14:textId="32036681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Dermatology-specific conult patients had a lower 30-day readmission rate, but this was not statiscally significant.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2549D7C4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 xml:space="preserve">To this end, we found that on average dermatology consult patients had a longer length of stay than non-consults. This may reflect a higher </w:t>
            </w: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level of complexity in the consult population.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1CE73FF7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6E8D9E53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As suggested by previous studies, the leading procedures dermatologists performed are skin biopsies and skin cultures.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49FFCDD0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7587818C" w14:textId="27BDE945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96% (56/58) 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6A81C1A8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20</w:t>
            </w:r>
          </w:p>
        </w:tc>
      </w:tr>
      <w:tr w:rsidR="0022266D" w:rsidRPr="00376551" w14:paraId="1D992661" w14:textId="77777777" w:rsidTr="00C3229C">
        <w:trPr>
          <w:trHeight w:val="1728"/>
        </w:trPr>
        <w:tc>
          <w:tcPr>
            <w:tcW w:w="910" w:type="dxa"/>
            <w:shd w:val="clear" w:color="auto" w:fill="F2F2F2" w:themeFill="background1" w:themeFillShade="F2"/>
            <w:hideMark/>
          </w:tcPr>
          <w:p w14:paraId="09FD5422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4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56914749" w14:textId="478043F8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Joseph, 2021, Australia                      Retrospective cohort study                               June 2018 - November 2019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1E68986F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Inpatient and ED observation        (306)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2DAC96CB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On-site consultation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5121B3A0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Emergency, Infectious Disease, Geriatric, Hematology, General Surgery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14F4DEB7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306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1110C0F0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Eczema, Farmacodermia, Autoimmune Disease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4AC68257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3C832490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0E1E83CE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43B320FF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4A05A217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 xml:space="preserve">The median length of admission of the aptients assessed was 10 days. As suggested by previous studies, the leading procedures dermatologists performed </w:t>
            </w: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are skin biopsies and skin cultures.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552822D2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7FCCC3A7" w14:textId="1EBC6A85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Skin biopsies were required in 24.5% of cases, and these were performed by the consulting dermatology team.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6D7AD70D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1C98F174" w14:textId="694AB06D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82%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3273BFFD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17</w:t>
            </w:r>
          </w:p>
        </w:tc>
      </w:tr>
      <w:tr w:rsidR="0022266D" w:rsidRPr="00376551" w14:paraId="15833A49" w14:textId="77777777" w:rsidTr="00C3229C">
        <w:trPr>
          <w:trHeight w:val="2592"/>
        </w:trPr>
        <w:tc>
          <w:tcPr>
            <w:tcW w:w="910" w:type="dxa"/>
            <w:shd w:val="clear" w:color="auto" w:fill="F2F2F2" w:themeFill="background1" w:themeFillShade="F2"/>
            <w:hideMark/>
          </w:tcPr>
          <w:p w14:paraId="17620612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5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268FA82C" w14:textId="3D4F3999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Keller, 2020, USA                         Prospective cohort study                     November 2017 - August 2018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70336C55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Inpatient and ED observation (100)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7FCFFC99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On-site consultation and Teledermatology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691A865F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Emergency, Internal Medicine, Hematology, Oncology, General Surgery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39A1D00A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100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0FB6EE32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Inflammatory disease, Vascular disease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77DCB07A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686B40FD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75A90FBC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71CD99BA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778F6D47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54602E9C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08E8ED38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 xml:space="preserve">The teledermatologist recommended biopsy more frequently than the dermatologist (65.5% vs 56.5%). The 2 raters agreed in their biopsy recommendation for 66.0% (95% </w:t>
            </w: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CI, 56.3-75.7) of patients. Kappa was deemed fair (0.36; 95% CI, 0.19- 0.52).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6AE128F3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5AECE78A" w14:textId="5B481FE4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47.20%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4D7B7D50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19</w:t>
            </w:r>
          </w:p>
        </w:tc>
      </w:tr>
      <w:tr w:rsidR="0022266D" w:rsidRPr="00376551" w14:paraId="6E8FBCB1" w14:textId="77777777" w:rsidTr="00C3229C">
        <w:trPr>
          <w:trHeight w:val="4176"/>
        </w:trPr>
        <w:tc>
          <w:tcPr>
            <w:tcW w:w="910" w:type="dxa"/>
            <w:shd w:val="clear" w:color="auto" w:fill="F2F2F2" w:themeFill="background1" w:themeFillShade="F2"/>
            <w:noWrap/>
            <w:hideMark/>
          </w:tcPr>
          <w:p w14:paraId="665FBC4A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6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01C73E73" w14:textId="23616EC9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Ko, 2018, USA                         Randomized controlled trial                                 October 2012 - January 2017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53B373E7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Inpatient (175)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2672529E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On-site consultation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0AD83EE2" w14:textId="6BE3E471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Primary Care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24F12285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88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51C6078E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Vascular disease, Non-bacterial disease (ex: Erythema migrans)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351CB81D" w14:textId="20BFB192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 xml:space="preserve">…these patients had shorter durations of IV antibiotics (&lt;4 days: 86.4 vs 72.5; absolute difference, 13.9%; 95% CI, 1.9%-25.9%; P = .04) and </w:t>
            </w: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total antibiotic treatment which was statistically significant, suggesting that dermatologists can facilitate targeted antibiotic use…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29D00F19" w14:textId="750C04E1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Intravenous antibiotics were discontinued in 16 (18.2%) of 88 patients after dermatologic consultation resulted in an alternate diagnos</w:t>
            </w: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is, compared with only 3 (3.4%) in patients in the control group (18.2% vs. 3.4%; absolute difference, 14.8%; 95% CI, 5.9%- 23.7%; P = .002).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2DDFEE67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In the intervention group, patients with pseudocellulitis received significantly fewer days of IV antibiotic use compared with patient</w:t>
            </w: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 xml:space="preserve">s with cellulitis (&lt;4 days: 100% vs 79%; absolute difference, 21.0%; 95% CI, 10.8%-31.2%; P &lt; .001), suggesting that dermatologic involvement can foster antibiotic stewardship through improved diagnostic </w:t>
            </w: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accuracy.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02C9A15D" w14:textId="69241995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 xml:space="preserve">There was no significant difference in the 1-month readmission rate between groups, likely given the low overall re- admission rate </w:t>
            </w: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(10 of 175).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0C402C41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Thus, though hospitalization length did not decrease with intervention, the improvement in diagnostic accuracy and addressing of modifia</w:t>
            </w: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ble risk factors and concurrent skin conditions benefitted patients.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14EE6753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18FE9DFB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Results not statiscally significant.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7AFF71AC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Yes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34B8C09E" w14:textId="6B3763DC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73.9% (65/88)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2EC249A3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24</w:t>
            </w:r>
          </w:p>
        </w:tc>
      </w:tr>
      <w:tr w:rsidR="0022266D" w:rsidRPr="00376551" w14:paraId="235F1FC2" w14:textId="77777777" w:rsidTr="00C3229C">
        <w:trPr>
          <w:trHeight w:val="2088"/>
        </w:trPr>
        <w:tc>
          <w:tcPr>
            <w:tcW w:w="910" w:type="dxa"/>
            <w:shd w:val="clear" w:color="auto" w:fill="F2F2F2" w:themeFill="background1" w:themeFillShade="F2"/>
            <w:noWrap/>
            <w:hideMark/>
          </w:tcPr>
          <w:p w14:paraId="1B46C146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7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04714E5C" w14:textId="28F64E0F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Li, 2018, USA                        Prospective cohort study                                February 2017 - September 2017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09D7CE2E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Inpatient and ED observation         (116)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370D7B60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On-site consultation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1B42E25A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Emergency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6FF24D51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116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3D8D063A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Vascular disease, Inflammatory disease, Non-bacterial infections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6634A4D4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0CA436FB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12DDE61F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65D1E9CF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 xml:space="preserve">During the 30 days following discharge, 2 patients with pseudocellulitis (5.1%) experienced a drug rash and 1 (2.6%) </w:t>
            </w: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had diarrhea, with none requiring readmission related to cellulitis.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41038D08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 xml:space="preserve">Patients with lower-extremity pseudocellulitis in this study were more likely to have a same-day discharge, had a </w:t>
            </w: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decrease in length of hospital stay of 2.0 days.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404635C9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These estimates translate to an average of $582.39 in net cost savings (after accounting for consultation fee) per dermat</w:t>
            </w: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ology consultation for presumed cellulitis.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608A3D9A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NR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326A3821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Yes (100%)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2FF81525" w14:textId="33E13E09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5B4FE709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21</w:t>
            </w:r>
          </w:p>
        </w:tc>
      </w:tr>
      <w:tr w:rsidR="0022266D" w:rsidRPr="00376551" w14:paraId="46A8DFDD" w14:textId="77777777" w:rsidTr="00C3229C">
        <w:trPr>
          <w:trHeight w:val="2976"/>
        </w:trPr>
        <w:tc>
          <w:tcPr>
            <w:tcW w:w="910" w:type="dxa"/>
            <w:shd w:val="clear" w:color="auto" w:fill="F2F2F2" w:themeFill="background1" w:themeFillShade="F2"/>
            <w:noWrap/>
            <w:hideMark/>
          </w:tcPr>
          <w:p w14:paraId="13522700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8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51AEF674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Sherban, 2021, USA                     Retrospective cross-sectional study                     January  2019 - December 2019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4031969C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Inpatient and ED observation               (253)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496BA9AD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On-site consultation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425924DE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Emergency, Internal Medicine, Hematology, Oncology, Cardiology, ICU, Neurology, General surgery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70E83C60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253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18612604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61FC13BC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1E8DFA8D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47D1B23D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52AF9EC8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366B4994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Yes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4CF29452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Yes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1130FAAA" w14:textId="0C1D62A1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Twenty-eight percent of all consultations required at least 1 biopsy. Seventy-two percent of all biopsies were consistent with the dermatologist’</w:t>
            </w: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s working diagnosis or highest-ranked differential diagnosis, and 16% of biopsy results were consistent with the second- or third-ranked diagnosis.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1F0CFC50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50385783" w14:textId="6467BB16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86% (218/253) 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1C821D40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14</w:t>
            </w:r>
          </w:p>
        </w:tc>
      </w:tr>
      <w:tr w:rsidR="0022266D" w:rsidRPr="00376551" w14:paraId="37A7EB23" w14:textId="77777777" w:rsidTr="00C3229C">
        <w:trPr>
          <w:trHeight w:val="4968"/>
        </w:trPr>
        <w:tc>
          <w:tcPr>
            <w:tcW w:w="910" w:type="dxa"/>
            <w:shd w:val="clear" w:color="auto" w:fill="F2F2F2" w:themeFill="background1" w:themeFillShade="F2"/>
            <w:noWrap/>
            <w:hideMark/>
          </w:tcPr>
          <w:p w14:paraId="57A1034A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9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57081E33" w14:textId="5E5D7169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Connolly, 2015, USA     Retrospective cohort study                              July 2012 - August 2013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6D7B6F14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Inpatient               (243)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33614954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On-site consultation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3646E71F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Internal Medicine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591D4E4D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243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5451C919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Vascular disease, Inflammatory diseases, Non-bacterial infections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609C97DA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727A62E1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5C304607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42FB50C9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3E570B7B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2C604D12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057967C9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 xml:space="preserve">No additional testing by the dermatology consult service was required for 155 patients (63.8%). Table 6 shows the most frequently requested additional tests. A total of 79 skin biopsies were performed on </w:t>
            </w: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 xml:space="preserve">47 patients. The other most commonly performed diagnostic tests included bacterial, viral, and fungal cultures and tzank smears. It is not possible to determine the diagnostic value of these tests, </w:t>
            </w: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as even a "negative" biopsy or test result offered value in ruling out certain conditions in the differential diagnosis.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1D8F3EFF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Yes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1B708039" w14:textId="3DD36E6F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72.4% (176/243)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45F3DE67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18</w:t>
            </w:r>
          </w:p>
        </w:tc>
      </w:tr>
      <w:tr w:rsidR="0022266D" w:rsidRPr="00376551" w14:paraId="0A5D0D4C" w14:textId="77777777" w:rsidTr="00C3229C">
        <w:trPr>
          <w:trHeight w:val="5544"/>
        </w:trPr>
        <w:tc>
          <w:tcPr>
            <w:tcW w:w="910" w:type="dxa"/>
            <w:shd w:val="clear" w:color="auto" w:fill="F2F2F2" w:themeFill="background1" w:themeFillShade="F2"/>
            <w:noWrap/>
            <w:hideMark/>
          </w:tcPr>
          <w:p w14:paraId="3FF46FC3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10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1F7061B6" w14:textId="41D4A874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Falanga, 1994, USA     Prospective cohort study                             July 1989 - March 1990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35613CBD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Inpatient and ED observation               (591)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6E63EC49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On-site consultation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0A6C8D41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Internal Medicine, Pediatrics, Surgery, Psychiatry, Neurology, ICU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0173BD46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591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5030E4EB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Inflammatory diseases, Autoimmune diseases, Non-bacterial infections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7ECAF7F1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?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4B96C56C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?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72209739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6756617D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77E6D4F2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6D842E43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02EFC557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 xml:space="preserve">A total of 205 skin biopsies were performed; it was not possible to determine with any degree of certainty their diagnostic value, since even a "negative"biopsy has important implications in excluding certain </w:t>
            </w: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 xml:space="preserve">conditions. Potassium hydroxide preparations, Tzanck smear, Gram stains, and scabies preparations were the most commonly performed "dermatologic" tests. Table 2 shows that these tests confirmed the clinical </w:t>
            </w: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suspicion of bacterial, fungal, and viral infection or scabies infestation in 32% to 50% of the cases in which they were performed.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43725DF7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No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158BB1E4" w14:textId="4B7AE774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61% (362/591)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2B342430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19</w:t>
            </w:r>
          </w:p>
        </w:tc>
      </w:tr>
      <w:tr w:rsidR="0022266D" w:rsidRPr="00376551" w14:paraId="3B7E15D8" w14:textId="77777777" w:rsidTr="00C3229C">
        <w:trPr>
          <w:trHeight w:val="2016"/>
        </w:trPr>
        <w:tc>
          <w:tcPr>
            <w:tcW w:w="910" w:type="dxa"/>
            <w:shd w:val="clear" w:color="auto" w:fill="F2F2F2" w:themeFill="background1" w:themeFillShade="F2"/>
            <w:noWrap/>
            <w:hideMark/>
          </w:tcPr>
          <w:p w14:paraId="2ED3D781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11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0FFF40DD" w14:textId="164F45C8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Davila, 2010, USA           Retrospective cohort study                             January 1998 - May 1999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4E681F53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Inpatient                     (271)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0B86801B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On-site consultation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41ED5431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 xml:space="preserve">Internal Medicine, Pediatrics, Surgery, Psychiatry, Neurology, </w:t>
            </w: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ICU, OB/GYN, Oncology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48C3A11C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271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140889B0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Autoimmune disease, Inflammatory disease, Non-bacterial infectio</w:t>
            </w: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n, Other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2696E89A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06661040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148A127D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0FF3F179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1C835AF1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76449AED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40F86BF6" w14:textId="7A34C2C0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 xml:space="preserve">Fifty-four skin biopsies were performed. Forty-six (85.6%) of them </w:t>
            </w: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resulted in a definite diagnosis. Sixty-one percent of all other lab tests performed resulted in a positive result aiding in determining the diagnosis.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15528B92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1AC1134B" w14:textId="1F504181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77%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7C0DE102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16</w:t>
            </w:r>
          </w:p>
        </w:tc>
      </w:tr>
      <w:tr w:rsidR="0022266D" w:rsidRPr="00376551" w14:paraId="456FE655" w14:textId="77777777" w:rsidTr="00C3229C">
        <w:trPr>
          <w:trHeight w:val="1728"/>
        </w:trPr>
        <w:tc>
          <w:tcPr>
            <w:tcW w:w="910" w:type="dxa"/>
            <w:shd w:val="clear" w:color="auto" w:fill="F2F2F2" w:themeFill="background1" w:themeFillShade="F2"/>
            <w:noWrap/>
            <w:hideMark/>
          </w:tcPr>
          <w:p w14:paraId="6F18CCB8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12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2572931A" w14:textId="55202953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Galimberti, 2016, USA    Prospective cohort study                               Novem</w:t>
            </w: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ber 2013 - Novemver 2014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3782016C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Inpatient (691)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117D4FD3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On-site consultation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0F6BFEFD" w14:textId="4DDE2C71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Internal Medicine, Surgery, Hematology/Oncolo</w:t>
            </w: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gy, Pediatrics, Cardiology, Emergency, Neurology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3D21DF44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691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577F05C0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Autoimmune disease, Inflammatory disease, Non-bacteri</w:t>
            </w: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al infection, Connective tissue disease, Graft versus host disease, Other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3F0C6C9E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5AAFC961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24CD823B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7B09CBCD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41DC646B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3F053AE8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46B1AE8C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298209A7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However, skin disease was present at the</w:t>
            </w: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br/>
              <w:t xml:space="preserve">time of admission in </w:t>
            </w: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292 patients (42.2%).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7CB90882" w14:textId="0C0DF2F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81.9% (566/691)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61884FF2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18</w:t>
            </w:r>
          </w:p>
        </w:tc>
      </w:tr>
      <w:tr w:rsidR="0022266D" w:rsidRPr="00376551" w14:paraId="2975980D" w14:textId="77777777" w:rsidTr="00C3229C">
        <w:trPr>
          <w:trHeight w:val="1440"/>
        </w:trPr>
        <w:tc>
          <w:tcPr>
            <w:tcW w:w="910" w:type="dxa"/>
            <w:shd w:val="clear" w:color="auto" w:fill="F2F2F2" w:themeFill="background1" w:themeFillShade="F2"/>
            <w:noWrap/>
            <w:hideMark/>
          </w:tcPr>
          <w:p w14:paraId="70E42889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13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7BF411EB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Holmes, 2020, USA     Prospective cohort study                               January 2013 - November 2017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5D6051D7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Outpatient (131)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53308D7B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Teledermatology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08B08280" w14:textId="5F5BDC5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Primary Care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768B21AB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131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52978DAA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Inflammatory disease, Malignancies, Other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1B228601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167BA6A3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20B47FA0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4790F0BF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1E709E24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616F7AE1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0CCA0599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3D457BB9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Yes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2DA84A71" w14:textId="3190EF2D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82% (59/72)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2C3C898C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18</w:t>
            </w:r>
          </w:p>
        </w:tc>
      </w:tr>
      <w:tr w:rsidR="0022266D" w:rsidRPr="00376551" w14:paraId="5F9F8D0B" w14:textId="77777777" w:rsidTr="00C3229C">
        <w:trPr>
          <w:trHeight w:val="1704"/>
        </w:trPr>
        <w:tc>
          <w:tcPr>
            <w:tcW w:w="910" w:type="dxa"/>
            <w:shd w:val="clear" w:color="auto" w:fill="F2F2F2" w:themeFill="background1" w:themeFillShade="F2"/>
            <w:noWrap/>
            <w:hideMark/>
          </w:tcPr>
          <w:p w14:paraId="1F56FC8C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14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672347D2" w14:textId="6220E805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Wells, 2020, USA         Randomized controlled trial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4F872FA2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Inpatient and ED observation (30)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103B4CB8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Teledermatology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4DFAF3C7" w14:textId="2371EFAB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Emergency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2F66F754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13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1C2B29C9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Vascular disease, Other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3EEEB672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66DA169E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57A2981E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13B2A63F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The SC patients had lower rates of persisting cellulitis-like sympto</w:t>
            </w: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ms at the 30-day follow-up (58% vs. 69%).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47A06F37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 xml:space="preserve">...more TDC patients received intravenous antibiotics </w:t>
            </w: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(85% vs. 53%), and had a longer length of stay (LOS) (4 vs.  1.7 days)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70D770E3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lastRenderedPageBreak/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1412A17D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NR</w:t>
            </w:r>
          </w:p>
        </w:tc>
        <w:tc>
          <w:tcPr>
            <w:tcW w:w="910" w:type="dxa"/>
            <w:shd w:val="clear" w:color="auto" w:fill="F2F2F2" w:themeFill="background1" w:themeFillShade="F2"/>
            <w:hideMark/>
          </w:tcPr>
          <w:p w14:paraId="29C9F6FA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Yes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4414A1FF" w14:textId="5AF57F11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669790EC" w14:textId="77777777" w:rsidR="0022266D" w:rsidRPr="00376551" w:rsidRDefault="0022266D" w:rsidP="00222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</w:pPr>
            <w:r w:rsidRPr="00376551">
              <w:rPr>
                <w:rFonts w:ascii="Calibri" w:eastAsia="Times New Roman" w:hAnsi="Calibri" w:cs="Calibri"/>
                <w:color w:val="3F3F3F"/>
                <w:kern w:val="0"/>
                <w14:ligatures w14:val="none"/>
              </w:rPr>
              <w:t>17</w:t>
            </w:r>
          </w:p>
        </w:tc>
      </w:tr>
    </w:tbl>
    <w:p w14:paraId="427F5F3D" w14:textId="77777777" w:rsidR="00FE3476" w:rsidRPr="001F67F6" w:rsidRDefault="00FE3476" w:rsidP="00D46A77">
      <w:pPr>
        <w:spacing w:line="240" w:lineRule="auto"/>
        <w:rPr>
          <w:rFonts w:ascii="Arial" w:hAnsi="Arial" w:cs="Arial"/>
          <w:b/>
          <w:bCs/>
        </w:rPr>
      </w:pPr>
    </w:p>
    <w:p w14:paraId="3C6B7F1A" w14:textId="77777777" w:rsidR="003B0CDD" w:rsidRPr="003B0CDD" w:rsidRDefault="003B0CDD" w:rsidP="003B0CDD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US"/>
          <w14:ligatures w14:val="none"/>
        </w:rPr>
      </w:pPr>
      <w:r w:rsidRPr="003B0CDD">
        <w:rPr>
          <w:rFonts w:ascii="Calibri" w:eastAsia="Times New Roman" w:hAnsi="Calibri" w:cs="Calibri"/>
          <w:color w:val="000000"/>
          <w:kern w:val="0"/>
          <w:lang w:eastAsia="en-US"/>
          <w14:ligatures w14:val="none"/>
        </w:rPr>
        <w:t>*ED= Emergency Department / NR = Not reported / D&amp;B score=Downs &amp; Black score</w:t>
      </w:r>
    </w:p>
    <w:p w14:paraId="7276944D" w14:textId="77777777" w:rsidR="002408C7" w:rsidRPr="001F67F6" w:rsidRDefault="002408C7" w:rsidP="00D46A77">
      <w:pPr>
        <w:spacing w:line="240" w:lineRule="auto"/>
        <w:rPr>
          <w:rFonts w:ascii="Arial" w:hAnsi="Arial" w:cs="Arial"/>
          <w:b/>
          <w:bCs/>
        </w:rPr>
      </w:pPr>
    </w:p>
    <w:p w14:paraId="6E116381" w14:textId="77777777" w:rsidR="002408C7" w:rsidRPr="001F67F6" w:rsidRDefault="002408C7" w:rsidP="00D46A77">
      <w:pPr>
        <w:spacing w:line="240" w:lineRule="auto"/>
        <w:rPr>
          <w:rFonts w:ascii="Arial" w:hAnsi="Arial" w:cs="Arial"/>
          <w:b/>
          <w:bCs/>
        </w:rPr>
      </w:pPr>
    </w:p>
    <w:p w14:paraId="57CF3F6A" w14:textId="42357D77" w:rsidR="00FE3476" w:rsidRPr="001F67F6" w:rsidRDefault="00FE3476" w:rsidP="00D46A7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F3F3F"/>
          <w:kern w:val="0"/>
          <w14:ligatures w14:val="none"/>
        </w:rPr>
      </w:pPr>
      <w:r w:rsidRPr="001F67F6">
        <w:rPr>
          <w:rFonts w:ascii="Arial" w:eastAsia="Times New Roman" w:hAnsi="Arial" w:cs="Arial"/>
          <w:b/>
          <w:bCs/>
          <w:color w:val="3F3F3F"/>
          <w:kern w:val="0"/>
          <w14:ligatures w14:val="none"/>
        </w:rPr>
        <w:t>Table 2: Pseudocellulitis groups</w:t>
      </w:r>
    </w:p>
    <w:p w14:paraId="6162097E" w14:textId="77777777" w:rsidR="00FE3476" w:rsidRPr="001F67F6" w:rsidRDefault="00FE3476" w:rsidP="00D46A7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F3F3F"/>
          <w:kern w:val="0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55"/>
        <w:gridCol w:w="9895"/>
      </w:tblGrid>
      <w:tr w:rsidR="00FE3476" w:rsidRPr="00FE3476" w14:paraId="2B01829E" w14:textId="77777777" w:rsidTr="00B86FDE">
        <w:trPr>
          <w:trHeight w:val="20"/>
        </w:trPr>
        <w:tc>
          <w:tcPr>
            <w:tcW w:w="3055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14:paraId="67DE92C9" w14:textId="569972A2" w:rsidR="00FE3476" w:rsidRPr="00FE3476" w:rsidRDefault="00FE3476" w:rsidP="00D735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</w:pPr>
            <w:r w:rsidRPr="00FE3476"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  <w:t>Groups</w:t>
            </w:r>
          </w:p>
        </w:tc>
        <w:tc>
          <w:tcPr>
            <w:tcW w:w="9895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14:paraId="60B215F7" w14:textId="77777777" w:rsidR="00FE3476" w:rsidRPr="00FE3476" w:rsidRDefault="00FE3476" w:rsidP="00D735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</w:pPr>
            <w:r w:rsidRPr="00FE3476"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  <w:t>Examples</w:t>
            </w:r>
          </w:p>
        </w:tc>
      </w:tr>
      <w:tr w:rsidR="00FE3476" w:rsidRPr="00FE3476" w14:paraId="3485AF7A" w14:textId="77777777" w:rsidTr="00B86FDE">
        <w:trPr>
          <w:trHeight w:val="20"/>
        </w:trPr>
        <w:tc>
          <w:tcPr>
            <w:tcW w:w="305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14:paraId="73FCB1B9" w14:textId="54963C3F" w:rsidR="00FE3476" w:rsidRPr="00FE3476" w:rsidRDefault="00FE3476" w:rsidP="00D735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</w:pPr>
            <w:r w:rsidRPr="00FE3476"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  <w:t xml:space="preserve">Inflammatory </w:t>
            </w:r>
            <w:r w:rsidR="00B86FDE"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  <w:t>D</w:t>
            </w:r>
            <w:r w:rsidRPr="00FE3476"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  <w:t>iseases</w:t>
            </w:r>
          </w:p>
        </w:tc>
        <w:tc>
          <w:tcPr>
            <w:tcW w:w="9895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14:paraId="403B0D9A" w14:textId="77777777" w:rsidR="00FE3476" w:rsidRPr="00FE3476" w:rsidRDefault="00FE3476" w:rsidP="00D73596">
            <w:pPr>
              <w:spacing w:after="0" w:line="240" w:lineRule="auto"/>
              <w:rPr>
                <w:rFonts w:ascii="Arial" w:eastAsia="Times New Roman" w:hAnsi="Arial" w:cs="Arial"/>
                <w:color w:val="3F3F3F"/>
                <w:kern w:val="0"/>
                <w14:ligatures w14:val="none"/>
              </w:rPr>
            </w:pPr>
            <w:r w:rsidRPr="00FE3476">
              <w:rPr>
                <w:rFonts w:ascii="Arial" w:eastAsia="Times New Roman" w:hAnsi="Arial" w:cs="Arial"/>
                <w:color w:val="3F3F3F"/>
                <w:kern w:val="0"/>
                <w14:ligatures w14:val="none"/>
              </w:rPr>
              <w:t>contact dermatitis, atopic dermatitis, hidradenitis, seborrheic dermatitis, statis panniculitis, lipodermatosclerosis</w:t>
            </w:r>
          </w:p>
        </w:tc>
      </w:tr>
      <w:tr w:rsidR="00FE3476" w:rsidRPr="00FE3476" w14:paraId="2955DD0C" w14:textId="77777777" w:rsidTr="00B86FDE">
        <w:trPr>
          <w:trHeight w:val="20"/>
        </w:trPr>
        <w:tc>
          <w:tcPr>
            <w:tcW w:w="305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14:paraId="07A9AFB1" w14:textId="0240B340" w:rsidR="00FE3476" w:rsidRPr="00FE3476" w:rsidRDefault="00FE3476" w:rsidP="00D735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</w:pPr>
            <w:r w:rsidRPr="00FE3476"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  <w:t xml:space="preserve">Autoimmune </w:t>
            </w:r>
            <w:r w:rsidR="00B86FDE"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  <w:t>D</w:t>
            </w:r>
            <w:r w:rsidRPr="00FE3476"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  <w:t>iseases</w:t>
            </w:r>
          </w:p>
        </w:tc>
        <w:tc>
          <w:tcPr>
            <w:tcW w:w="9895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14:paraId="13C5E103" w14:textId="3C1B5E67" w:rsidR="00FE3476" w:rsidRPr="00FE3476" w:rsidRDefault="00B86FDE" w:rsidP="00D73596">
            <w:pPr>
              <w:spacing w:after="0" w:line="240" w:lineRule="auto"/>
              <w:rPr>
                <w:rFonts w:ascii="Arial" w:eastAsia="Times New Roman" w:hAnsi="Arial" w:cs="Arial"/>
                <w:color w:val="3F3F3F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3F3F3F"/>
                <w:kern w:val="0"/>
                <w14:ligatures w14:val="none"/>
              </w:rPr>
              <w:t>p</w:t>
            </w:r>
            <w:r w:rsidR="00FE3476" w:rsidRPr="00FE3476">
              <w:rPr>
                <w:rFonts w:ascii="Arial" w:eastAsia="Times New Roman" w:hAnsi="Arial" w:cs="Arial"/>
                <w:color w:val="3F3F3F"/>
                <w:kern w:val="0"/>
                <w14:ligatures w14:val="none"/>
              </w:rPr>
              <w:t>soriasis</w:t>
            </w:r>
          </w:p>
        </w:tc>
      </w:tr>
      <w:tr w:rsidR="00FE3476" w:rsidRPr="001C0709" w14:paraId="7C37B3CA" w14:textId="77777777" w:rsidTr="00B86FDE">
        <w:trPr>
          <w:trHeight w:val="20"/>
        </w:trPr>
        <w:tc>
          <w:tcPr>
            <w:tcW w:w="305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14:paraId="5E0DEE99" w14:textId="1B322A57" w:rsidR="00FE3476" w:rsidRPr="00FE3476" w:rsidRDefault="00FE3476" w:rsidP="00D735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</w:pPr>
            <w:r w:rsidRPr="00FE3476"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  <w:t xml:space="preserve">Non-bacterial </w:t>
            </w:r>
            <w:r w:rsidR="00B86FDE"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  <w:t>I</w:t>
            </w:r>
            <w:r w:rsidRPr="00FE3476"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  <w:t>nfections</w:t>
            </w:r>
          </w:p>
        </w:tc>
        <w:tc>
          <w:tcPr>
            <w:tcW w:w="9895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14:paraId="57874A3C" w14:textId="04A819BC" w:rsidR="00FE3476" w:rsidRPr="001C0709" w:rsidRDefault="00D73596" w:rsidP="00D73596">
            <w:pPr>
              <w:spacing w:after="0" w:line="240" w:lineRule="auto"/>
              <w:rPr>
                <w:rFonts w:ascii="Arial" w:eastAsia="Times New Roman" w:hAnsi="Arial" w:cs="Arial"/>
                <w:color w:val="3F3F3F"/>
                <w:kern w:val="0"/>
                <w:lang w:val="pt-BR"/>
                <w14:ligatures w14:val="none"/>
              </w:rPr>
            </w:pPr>
            <w:r>
              <w:rPr>
                <w:rFonts w:ascii="Arial" w:eastAsia="Times New Roman" w:hAnsi="Arial" w:cs="Arial"/>
                <w:color w:val="3F3F3F"/>
                <w:kern w:val="0"/>
                <w:lang w:val="pt-BR"/>
                <w14:ligatures w14:val="none"/>
              </w:rPr>
              <w:t>h</w:t>
            </w:r>
            <w:r w:rsidR="001C0709" w:rsidRPr="001C0709">
              <w:rPr>
                <w:rFonts w:ascii="Arial" w:eastAsia="Times New Roman" w:hAnsi="Arial" w:cs="Arial"/>
                <w:color w:val="3F3F3F"/>
                <w:kern w:val="0"/>
                <w:lang w:val="pt-BR"/>
                <w14:ligatures w14:val="none"/>
              </w:rPr>
              <w:t>erpes si</w:t>
            </w:r>
            <w:r w:rsidR="001C0709">
              <w:rPr>
                <w:rFonts w:ascii="Arial" w:eastAsia="Times New Roman" w:hAnsi="Arial" w:cs="Arial"/>
                <w:color w:val="3F3F3F"/>
                <w:kern w:val="0"/>
                <w:lang w:val="pt-BR"/>
                <w14:ligatures w14:val="none"/>
              </w:rPr>
              <w:t>mplex virus</w:t>
            </w:r>
            <w:r w:rsidR="00FE3476" w:rsidRPr="001C0709">
              <w:rPr>
                <w:rFonts w:ascii="Arial" w:eastAsia="Times New Roman" w:hAnsi="Arial" w:cs="Arial"/>
                <w:color w:val="3F3F3F"/>
                <w:kern w:val="0"/>
                <w:lang w:val="pt-BR"/>
                <w14:ligatures w14:val="none"/>
              </w:rPr>
              <w:t>/ Zoster, viral exanthema, fungal infections (ex: candidiasis, dermatophyte), folliculitis, viral rash</w:t>
            </w:r>
          </w:p>
        </w:tc>
      </w:tr>
      <w:tr w:rsidR="00FE3476" w:rsidRPr="00FE3476" w14:paraId="7063C40A" w14:textId="77777777" w:rsidTr="00B86FDE">
        <w:trPr>
          <w:trHeight w:val="20"/>
        </w:trPr>
        <w:tc>
          <w:tcPr>
            <w:tcW w:w="305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14:paraId="7FF93DF8" w14:textId="77777777" w:rsidR="00FE3476" w:rsidRPr="00FE3476" w:rsidRDefault="00FE3476" w:rsidP="00D735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</w:pPr>
            <w:r w:rsidRPr="00FE3476"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  <w:t>Bullous Disease</w:t>
            </w:r>
          </w:p>
        </w:tc>
        <w:tc>
          <w:tcPr>
            <w:tcW w:w="9895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14:paraId="17CB6163" w14:textId="77777777" w:rsidR="00FE3476" w:rsidRPr="00FE3476" w:rsidRDefault="00FE3476" w:rsidP="00D73596">
            <w:pPr>
              <w:spacing w:after="0" w:line="240" w:lineRule="auto"/>
              <w:rPr>
                <w:rFonts w:ascii="Arial" w:eastAsia="Times New Roman" w:hAnsi="Arial" w:cs="Arial"/>
                <w:color w:val="3F3F3F"/>
                <w:kern w:val="0"/>
                <w14:ligatures w14:val="none"/>
              </w:rPr>
            </w:pPr>
            <w:r w:rsidRPr="00FE3476">
              <w:rPr>
                <w:rFonts w:ascii="Arial" w:eastAsia="Times New Roman" w:hAnsi="Arial" w:cs="Arial"/>
                <w:color w:val="3F3F3F"/>
                <w:kern w:val="0"/>
                <w14:ligatures w14:val="none"/>
              </w:rPr>
              <w:t>bullous pemphigoid, pemphigus vulgaris, epidermolysis bullosa</w:t>
            </w:r>
          </w:p>
        </w:tc>
      </w:tr>
      <w:tr w:rsidR="00FE3476" w:rsidRPr="00FE3476" w14:paraId="6CC71D0F" w14:textId="77777777" w:rsidTr="00B86FDE">
        <w:trPr>
          <w:trHeight w:val="20"/>
        </w:trPr>
        <w:tc>
          <w:tcPr>
            <w:tcW w:w="305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14:paraId="3E64B2DD" w14:textId="77777777" w:rsidR="00FE3476" w:rsidRPr="00FE3476" w:rsidRDefault="00FE3476" w:rsidP="00D735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</w:pPr>
            <w:r w:rsidRPr="00FE3476"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  <w:t>Malignancies</w:t>
            </w:r>
          </w:p>
        </w:tc>
        <w:tc>
          <w:tcPr>
            <w:tcW w:w="9895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14:paraId="382E8C3F" w14:textId="3DE6EB6F" w:rsidR="00FE3476" w:rsidRPr="00FE3476" w:rsidRDefault="00CB722A" w:rsidP="00D73596">
            <w:pPr>
              <w:spacing w:after="0" w:line="240" w:lineRule="auto"/>
              <w:rPr>
                <w:rFonts w:ascii="Arial" w:eastAsia="Times New Roman" w:hAnsi="Arial" w:cs="Arial"/>
                <w:color w:val="3F3F3F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3F3F3F"/>
                <w:kern w:val="0"/>
                <w14:ligatures w14:val="none"/>
              </w:rPr>
              <w:t>basal cell carcinoma, squamous cell carcinoma, melanoma, cutaneous lymphoma</w:t>
            </w:r>
          </w:p>
        </w:tc>
      </w:tr>
      <w:tr w:rsidR="00FE3476" w:rsidRPr="00FE3476" w14:paraId="062EC2F3" w14:textId="77777777" w:rsidTr="00B86FDE">
        <w:trPr>
          <w:trHeight w:val="20"/>
        </w:trPr>
        <w:tc>
          <w:tcPr>
            <w:tcW w:w="305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14:paraId="2DB2AFED" w14:textId="555544ED" w:rsidR="00FE3476" w:rsidRPr="00FE3476" w:rsidRDefault="00FE3476" w:rsidP="00D735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</w:pPr>
            <w:r w:rsidRPr="00FE3476"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  <w:t xml:space="preserve">Connective </w:t>
            </w:r>
            <w:r w:rsidR="00B86FDE"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  <w:t>T</w:t>
            </w:r>
            <w:r w:rsidRPr="00FE3476"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  <w:t xml:space="preserve">issue </w:t>
            </w:r>
            <w:r w:rsidR="00B86FDE"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  <w:t>D</w:t>
            </w:r>
            <w:r w:rsidRPr="00FE3476"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  <w:t>isease</w:t>
            </w:r>
          </w:p>
        </w:tc>
        <w:tc>
          <w:tcPr>
            <w:tcW w:w="9895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14:paraId="3B13EB18" w14:textId="1EA9BF50" w:rsidR="00FE3476" w:rsidRPr="00FE3476" w:rsidRDefault="00FE3476" w:rsidP="00D73596">
            <w:pPr>
              <w:spacing w:after="0" w:line="240" w:lineRule="auto"/>
              <w:rPr>
                <w:rFonts w:ascii="Arial" w:eastAsia="Times New Roman" w:hAnsi="Arial" w:cs="Arial"/>
                <w:color w:val="3F3F3F"/>
                <w:kern w:val="0"/>
                <w14:ligatures w14:val="none"/>
              </w:rPr>
            </w:pPr>
            <w:r w:rsidRPr="00FE3476">
              <w:rPr>
                <w:rFonts w:ascii="Arial" w:eastAsia="Times New Roman" w:hAnsi="Arial" w:cs="Arial"/>
                <w:color w:val="3F3F3F"/>
                <w:kern w:val="0"/>
                <w14:ligatures w14:val="none"/>
              </w:rPr>
              <w:t xml:space="preserve">Lupus, </w:t>
            </w:r>
            <w:r w:rsidR="00272C92" w:rsidRPr="00FE3476">
              <w:rPr>
                <w:rFonts w:ascii="Arial" w:eastAsia="Times New Roman" w:hAnsi="Arial" w:cs="Arial"/>
                <w:color w:val="3F3F3F"/>
                <w:kern w:val="0"/>
                <w14:ligatures w14:val="none"/>
              </w:rPr>
              <w:t>systemic</w:t>
            </w:r>
            <w:r w:rsidRPr="00FE3476">
              <w:rPr>
                <w:rFonts w:ascii="Arial" w:eastAsia="Times New Roman" w:hAnsi="Arial" w:cs="Arial"/>
                <w:color w:val="3F3F3F"/>
                <w:kern w:val="0"/>
                <w14:ligatures w14:val="none"/>
              </w:rPr>
              <w:t xml:space="preserve"> sclerosis, dermatomyositis</w:t>
            </w:r>
          </w:p>
        </w:tc>
      </w:tr>
      <w:tr w:rsidR="00FE3476" w:rsidRPr="00FE3476" w14:paraId="728AF3DA" w14:textId="77777777" w:rsidTr="00B86FDE">
        <w:trPr>
          <w:trHeight w:val="20"/>
        </w:trPr>
        <w:tc>
          <w:tcPr>
            <w:tcW w:w="305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14:paraId="4AF9A5D7" w14:textId="7D2446E9" w:rsidR="00FE3476" w:rsidRPr="00FE3476" w:rsidRDefault="00FE3476" w:rsidP="00D735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</w:pPr>
            <w:r w:rsidRPr="00FE3476"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  <w:t xml:space="preserve">Vascular </w:t>
            </w:r>
            <w:r w:rsidR="00B86FDE"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  <w:t>D</w:t>
            </w:r>
            <w:r w:rsidRPr="00FE3476"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  <w:t>iseases</w:t>
            </w:r>
          </w:p>
        </w:tc>
        <w:tc>
          <w:tcPr>
            <w:tcW w:w="9895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14:paraId="665C0078" w14:textId="77777777" w:rsidR="00FE3476" w:rsidRPr="00FE3476" w:rsidRDefault="00FE3476" w:rsidP="00D73596">
            <w:pPr>
              <w:spacing w:after="0" w:line="240" w:lineRule="auto"/>
              <w:rPr>
                <w:rFonts w:ascii="Arial" w:eastAsia="Times New Roman" w:hAnsi="Arial" w:cs="Arial"/>
                <w:color w:val="3F3F3F"/>
                <w:kern w:val="0"/>
                <w14:ligatures w14:val="none"/>
              </w:rPr>
            </w:pPr>
            <w:r w:rsidRPr="00FE3476">
              <w:rPr>
                <w:rFonts w:ascii="Arial" w:eastAsia="Times New Roman" w:hAnsi="Arial" w:cs="Arial"/>
                <w:color w:val="3F3F3F"/>
                <w:kern w:val="0"/>
                <w14:ligatures w14:val="none"/>
              </w:rPr>
              <w:t>venous statis dermatitis, deep venous thrombosis</w:t>
            </w:r>
          </w:p>
        </w:tc>
      </w:tr>
      <w:tr w:rsidR="00B86FDE" w:rsidRPr="00FE3476" w14:paraId="33FD646A" w14:textId="77777777" w:rsidTr="00B86FDE">
        <w:trPr>
          <w:trHeight w:val="20"/>
        </w:trPr>
        <w:tc>
          <w:tcPr>
            <w:tcW w:w="305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</w:tcPr>
          <w:p w14:paraId="46E83F0A" w14:textId="696D34DC" w:rsidR="00B86FDE" w:rsidRPr="00FE3476" w:rsidRDefault="00B86FDE" w:rsidP="00D735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  <w:t>Adverse Drug Events</w:t>
            </w:r>
          </w:p>
        </w:tc>
        <w:tc>
          <w:tcPr>
            <w:tcW w:w="9895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</w:tcPr>
          <w:p w14:paraId="56C739B3" w14:textId="0B48D2A1" w:rsidR="00B86FDE" w:rsidRPr="00FE3476" w:rsidRDefault="00B86FDE" w:rsidP="00D73596">
            <w:pPr>
              <w:spacing w:after="0" w:line="240" w:lineRule="auto"/>
              <w:rPr>
                <w:rFonts w:ascii="Arial" w:eastAsia="Times New Roman" w:hAnsi="Arial" w:cs="Arial"/>
                <w:color w:val="3F3F3F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3F3F3F"/>
                <w:kern w:val="0"/>
                <w14:ligatures w14:val="none"/>
              </w:rPr>
              <w:t>pharmacodermia, drug eruptions</w:t>
            </w:r>
          </w:p>
        </w:tc>
      </w:tr>
      <w:tr w:rsidR="00FE3476" w:rsidRPr="00FE3476" w14:paraId="63265117" w14:textId="77777777" w:rsidTr="00B86FDE">
        <w:trPr>
          <w:trHeight w:val="20"/>
        </w:trPr>
        <w:tc>
          <w:tcPr>
            <w:tcW w:w="305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14:paraId="57B9E07D" w14:textId="77777777" w:rsidR="00FE3476" w:rsidRPr="00FE3476" w:rsidRDefault="00FE3476" w:rsidP="00D735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</w:pPr>
            <w:r w:rsidRPr="00FE3476">
              <w:rPr>
                <w:rFonts w:ascii="Arial" w:eastAsia="Times New Roman" w:hAnsi="Arial" w:cs="Arial"/>
                <w:b/>
                <w:bCs/>
                <w:color w:val="3F3F3F"/>
                <w:kern w:val="0"/>
                <w14:ligatures w14:val="none"/>
              </w:rPr>
              <w:t>Other</w:t>
            </w:r>
          </w:p>
        </w:tc>
        <w:tc>
          <w:tcPr>
            <w:tcW w:w="9895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14:paraId="10E603A3" w14:textId="63CD1048" w:rsidR="00FE3476" w:rsidRPr="00FE3476" w:rsidRDefault="00FE3476" w:rsidP="00D73596">
            <w:pPr>
              <w:spacing w:after="0" w:line="240" w:lineRule="auto"/>
              <w:rPr>
                <w:rFonts w:ascii="Arial" w:eastAsia="Times New Roman" w:hAnsi="Arial" w:cs="Arial"/>
                <w:color w:val="3F3F3F"/>
                <w:kern w:val="0"/>
                <w14:ligatures w14:val="none"/>
              </w:rPr>
            </w:pPr>
            <w:r w:rsidRPr="00FE3476">
              <w:rPr>
                <w:rFonts w:ascii="Arial" w:eastAsia="Times New Roman" w:hAnsi="Arial" w:cs="Arial"/>
                <w:color w:val="3F3F3F"/>
                <w:kern w:val="0"/>
                <w14:ligatures w14:val="none"/>
              </w:rPr>
              <w:t>skin ulcer, abscess, acne vulgaris, seborrheic keratosis, scabies, hair disorders, pigmentary disorders, acute lymphedema, unknown</w:t>
            </w:r>
          </w:p>
        </w:tc>
      </w:tr>
    </w:tbl>
    <w:p w14:paraId="06F199B9" w14:textId="5777C753" w:rsidR="00196CD4" w:rsidRPr="00302347" w:rsidRDefault="00196CD4" w:rsidP="00302347">
      <w:pPr>
        <w:tabs>
          <w:tab w:val="left" w:pos="646"/>
        </w:tabs>
        <w:rPr>
          <w:rFonts w:ascii="Arial" w:eastAsia="Times New Roman" w:hAnsi="Arial" w:cs="Arial"/>
        </w:rPr>
        <w:sectPr w:rsidR="00196CD4" w:rsidRPr="00302347" w:rsidSect="00F25F3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BC2602E" w14:textId="77777777" w:rsidR="00AE3B30" w:rsidRPr="001F67F6" w:rsidRDefault="00AE3B30" w:rsidP="0050202B">
      <w:pPr>
        <w:spacing w:line="240" w:lineRule="auto"/>
        <w:rPr>
          <w:rFonts w:ascii="Arial" w:hAnsi="Arial" w:cs="Arial"/>
        </w:rPr>
      </w:pPr>
    </w:p>
    <w:sectPr w:rsidR="00AE3B30" w:rsidRPr="001F67F6" w:rsidSect="00F25F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11EFB2" w14:textId="77777777" w:rsidR="004D0A8F" w:rsidRDefault="004D0A8F" w:rsidP="00C008F0">
      <w:pPr>
        <w:spacing w:after="0" w:line="240" w:lineRule="auto"/>
      </w:pPr>
      <w:r>
        <w:separator/>
      </w:r>
    </w:p>
  </w:endnote>
  <w:endnote w:type="continuationSeparator" w:id="0">
    <w:p w14:paraId="21DC7E96" w14:textId="77777777" w:rsidR="004D0A8F" w:rsidRDefault="004D0A8F" w:rsidP="00C00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0DF12C" w14:textId="77777777" w:rsidR="004D0A8F" w:rsidRDefault="004D0A8F" w:rsidP="00C008F0">
      <w:pPr>
        <w:spacing w:after="0" w:line="240" w:lineRule="auto"/>
      </w:pPr>
      <w:r>
        <w:separator/>
      </w:r>
    </w:p>
  </w:footnote>
  <w:footnote w:type="continuationSeparator" w:id="0">
    <w:p w14:paraId="5A5533AE" w14:textId="77777777" w:rsidR="004D0A8F" w:rsidRDefault="004D0A8F" w:rsidP="00C008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631953"/>
    <w:multiLevelType w:val="hybridMultilevel"/>
    <w:tmpl w:val="BC243490"/>
    <w:lvl w:ilvl="0" w:tplc="ABF447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22222"/>
        <w:sz w:val="1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06258"/>
    <w:multiLevelType w:val="hybridMultilevel"/>
    <w:tmpl w:val="F3CED3A6"/>
    <w:lvl w:ilvl="0" w:tplc="FBD49C3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22222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319647">
    <w:abstractNumId w:val="0"/>
  </w:num>
  <w:num w:numId="2" w16cid:durableId="654263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EEE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4D7023"/>
    <w:rsid w:val="0000204C"/>
    <w:rsid w:val="00006B91"/>
    <w:rsid w:val="00010A87"/>
    <w:rsid w:val="000124E7"/>
    <w:rsid w:val="00013292"/>
    <w:rsid w:val="0002240B"/>
    <w:rsid w:val="000229E5"/>
    <w:rsid w:val="00023733"/>
    <w:rsid w:val="0003068B"/>
    <w:rsid w:val="00033EB2"/>
    <w:rsid w:val="000363CC"/>
    <w:rsid w:val="00040E6D"/>
    <w:rsid w:val="0004233A"/>
    <w:rsid w:val="0004336F"/>
    <w:rsid w:val="00044E42"/>
    <w:rsid w:val="00045D8F"/>
    <w:rsid w:val="000629B8"/>
    <w:rsid w:val="000755D6"/>
    <w:rsid w:val="0007794A"/>
    <w:rsid w:val="00084161"/>
    <w:rsid w:val="00084231"/>
    <w:rsid w:val="00093626"/>
    <w:rsid w:val="0009653D"/>
    <w:rsid w:val="000966B7"/>
    <w:rsid w:val="000970A1"/>
    <w:rsid w:val="00097AB4"/>
    <w:rsid w:val="000A0B7A"/>
    <w:rsid w:val="000E1581"/>
    <w:rsid w:val="000F3650"/>
    <w:rsid w:val="00100AF5"/>
    <w:rsid w:val="00102822"/>
    <w:rsid w:val="00107AFC"/>
    <w:rsid w:val="00146448"/>
    <w:rsid w:val="001525C8"/>
    <w:rsid w:val="0015393B"/>
    <w:rsid w:val="00160541"/>
    <w:rsid w:val="00162F5C"/>
    <w:rsid w:val="00166F0E"/>
    <w:rsid w:val="00184A80"/>
    <w:rsid w:val="00194472"/>
    <w:rsid w:val="00196CD4"/>
    <w:rsid w:val="001A042C"/>
    <w:rsid w:val="001A27E7"/>
    <w:rsid w:val="001B0C7B"/>
    <w:rsid w:val="001B1A21"/>
    <w:rsid w:val="001B2545"/>
    <w:rsid w:val="001B432E"/>
    <w:rsid w:val="001C0709"/>
    <w:rsid w:val="001C10EF"/>
    <w:rsid w:val="001C6DC9"/>
    <w:rsid w:val="001D2515"/>
    <w:rsid w:val="001D7E4B"/>
    <w:rsid w:val="001E275F"/>
    <w:rsid w:val="001E5E55"/>
    <w:rsid w:val="001E7FAB"/>
    <w:rsid w:val="001F2D02"/>
    <w:rsid w:val="001F5AAA"/>
    <w:rsid w:val="001F67F6"/>
    <w:rsid w:val="001F7892"/>
    <w:rsid w:val="002043BD"/>
    <w:rsid w:val="00205BCC"/>
    <w:rsid w:val="002137D4"/>
    <w:rsid w:val="0022266D"/>
    <w:rsid w:val="00227FCD"/>
    <w:rsid w:val="00234B02"/>
    <w:rsid w:val="0023776F"/>
    <w:rsid w:val="00237ACC"/>
    <w:rsid w:val="002408C7"/>
    <w:rsid w:val="00242152"/>
    <w:rsid w:val="0024524D"/>
    <w:rsid w:val="0025089E"/>
    <w:rsid w:val="002510F0"/>
    <w:rsid w:val="0025706B"/>
    <w:rsid w:val="0026417A"/>
    <w:rsid w:val="00264ACD"/>
    <w:rsid w:val="00272C92"/>
    <w:rsid w:val="00284515"/>
    <w:rsid w:val="00287363"/>
    <w:rsid w:val="00287A34"/>
    <w:rsid w:val="002925F4"/>
    <w:rsid w:val="002A70BA"/>
    <w:rsid w:val="002C2DB9"/>
    <w:rsid w:val="002C3CEA"/>
    <w:rsid w:val="002D3187"/>
    <w:rsid w:val="002E20CF"/>
    <w:rsid w:val="002E59F5"/>
    <w:rsid w:val="002F2BEE"/>
    <w:rsid w:val="00302347"/>
    <w:rsid w:val="003174F8"/>
    <w:rsid w:val="003226BB"/>
    <w:rsid w:val="00322FD6"/>
    <w:rsid w:val="00324E03"/>
    <w:rsid w:val="003404D5"/>
    <w:rsid w:val="00340632"/>
    <w:rsid w:val="00340DEF"/>
    <w:rsid w:val="00342AE7"/>
    <w:rsid w:val="00344CE3"/>
    <w:rsid w:val="0035622E"/>
    <w:rsid w:val="003629E3"/>
    <w:rsid w:val="00365E20"/>
    <w:rsid w:val="00367975"/>
    <w:rsid w:val="0037358F"/>
    <w:rsid w:val="003751E5"/>
    <w:rsid w:val="00376551"/>
    <w:rsid w:val="00385070"/>
    <w:rsid w:val="00387A0E"/>
    <w:rsid w:val="00390E66"/>
    <w:rsid w:val="00394AE8"/>
    <w:rsid w:val="003A5023"/>
    <w:rsid w:val="003A756C"/>
    <w:rsid w:val="003B0CDD"/>
    <w:rsid w:val="003C0FDA"/>
    <w:rsid w:val="003C1703"/>
    <w:rsid w:val="003C4DC1"/>
    <w:rsid w:val="003C4F82"/>
    <w:rsid w:val="003C7822"/>
    <w:rsid w:val="003D0717"/>
    <w:rsid w:val="003D246C"/>
    <w:rsid w:val="003E6F90"/>
    <w:rsid w:val="003E7765"/>
    <w:rsid w:val="003F2A49"/>
    <w:rsid w:val="003F36ED"/>
    <w:rsid w:val="003F630A"/>
    <w:rsid w:val="0040080C"/>
    <w:rsid w:val="004015AF"/>
    <w:rsid w:val="004048E4"/>
    <w:rsid w:val="00426D4A"/>
    <w:rsid w:val="0043123C"/>
    <w:rsid w:val="004344AE"/>
    <w:rsid w:val="0046634C"/>
    <w:rsid w:val="00470F55"/>
    <w:rsid w:val="00476A28"/>
    <w:rsid w:val="00484526"/>
    <w:rsid w:val="00490195"/>
    <w:rsid w:val="004A03DE"/>
    <w:rsid w:val="004B33FD"/>
    <w:rsid w:val="004B4317"/>
    <w:rsid w:val="004C2EDC"/>
    <w:rsid w:val="004D0A8F"/>
    <w:rsid w:val="004D7023"/>
    <w:rsid w:val="004E60B4"/>
    <w:rsid w:val="004F2A34"/>
    <w:rsid w:val="0050202B"/>
    <w:rsid w:val="00502055"/>
    <w:rsid w:val="00511803"/>
    <w:rsid w:val="00515161"/>
    <w:rsid w:val="0051578A"/>
    <w:rsid w:val="00516206"/>
    <w:rsid w:val="00522D34"/>
    <w:rsid w:val="005456DD"/>
    <w:rsid w:val="00545B3E"/>
    <w:rsid w:val="005504D5"/>
    <w:rsid w:val="0055762A"/>
    <w:rsid w:val="005764E8"/>
    <w:rsid w:val="0057665D"/>
    <w:rsid w:val="00584212"/>
    <w:rsid w:val="00594874"/>
    <w:rsid w:val="005B3133"/>
    <w:rsid w:val="005B3432"/>
    <w:rsid w:val="005D5474"/>
    <w:rsid w:val="005E1F94"/>
    <w:rsid w:val="005E2DBF"/>
    <w:rsid w:val="005E3D06"/>
    <w:rsid w:val="005F1161"/>
    <w:rsid w:val="005F77A8"/>
    <w:rsid w:val="00600151"/>
    <w:rsid w:val="0060141D"/>
    <w:rsid w:val="006074D6"/>
    <w:rsid w:val="0061007C"/>
    <w:rsid w:val="00622FD3"/>
    <w:rsid w:val="00627417"/>
    <w:rsid w:val="00641793"/>
    <w:rsid w:val="00642CAD"/>
    <w:rsid w:val="0064522C"/>
    <w:rsid w:val="0064666A"/>
    <w:rsid w:val="0065303C"/>
    <w:rsid w:val="00653521"/>
    <w:rsid w:val="006739D5"/>
    <w:rsid w:val="00684A03"/>
    <w:rsid w:val="006863C5"/>
    <w:rsid w:val="0069120D"/>
    <w:rsid w:val="00694401"/>
    <w:rsid w:val="006964F0"/>
    <w:rsid w:val="00697C1B"/>
    <w:rsid w:val="006A39E7"/>
    <w:rsid w:val="006D71FC"/>
    <w:rsid w:val="006F1AE9"/>
    <w:rsid w:val="006F27FC"/>
    <w:rsid w:val="006F663D"/>
    <w:rsid w:val="00700740"/>
    <w:rsid w:val="007043E9"/>
    <w:rsid w:val="00705E63"/>
    <w:rsid w:val="00707438"/>
    <w:rsid w:val="00730446"/>
    <w:rsid w:val="0073625C"/>
    <w:rsid w:val="007748F4"/>
    <w:rsid w:val="007825B9"/>
    <w:rsid w:val="007B0CA9"/>
    <w:rsid w:val="007B4563"/>
    <w:rsid w:val="007B4CA9"/>
    <w:rsid w:val="007B6622"/>
    <w:rsid w:val="007B7C0C"/>
    <w:rsid w:val="007D22F1"/>
    <w:rsid w:val="007D402B"/>
    <w:rsid w:val="007D41DA"/>
    <w:rsid w:val="007D46DD"/>
    <w:rsid w:val="007D50DF"/>
    <w:rsid w:val="007D61D0"/>
    <w:rsid w:val="007E2A07"/>
    <w:rsid w:val="007E60F4"/>
    <w:rsid w:val="007F443D"/>
    <w:rsid w:val="007F5140"/>
    <w:rsid w:val="007F68F2"/>
    <w:rsid w:val="008064B1"/>
    <w:rsid w:val="0083434E"/>
    <w:rsid w:val="008520EA"/>
    <w:rsid w:val="00852922"/>
    <w:rsid w:val="0085468F"/>
    <w:rsid w:val="00863316"/>
    <w:rsid w:val="00863B19"/>
    <w:rsid w:val="008643D1"/>
    <w:rsid w:val="00864E20"/>
    <w:rsid w:val="00865851"/>
    <w:rsid w:val="00877029"/>
    <w:rsid w:val="00880B4A"/>
    <w:rsid w:val="00883107"/>
    <w:rsid w:val="008836A2"/>
    <w:rsid w:val="0089295F"/>
    <w:rsid w:val="0089645D"/>
    <w:rsid w:val="008A21A7"/>
    <w:rsid w:val="008A778E"/>
    <w:rsid w:val="008B2248"/>
    <w:rsid w:val="008C611C"/>
    <w:rsid w:val="008C6AFF"/>
    <w:rsid w:val="008D02FA"/>
    <w:rsid w:val="008E164A"/>
    <w:rsid w:val="008F6E68"/>
    <w:rsid w:val="00902D8E"/>
    <w:rsid w:val="00903067"/>
    <w:rsid w:val="00904DDC"/>
    <w:rsid w:val="00910DB9"/>
    <w:rsid w:val="00917032"/>
    <w:rsid w:val="00925AFF"/>
    <w:rsid w:val="0093111C"/>
    <w:rsid w:val="009506B2"/>
    <w:rsid w:val="009706CD"/>
    <w:rsid w:val="00977DA5"/>
    <w:rsid w:val="00983794"/>
    <w:rsid w:val="00995F1E"/>
    <w:rsid w:val="00996586"/>
    <w:rsid w:val="009974E1"/>
    <w:rsid w:val="009A084F"/>
    <w:rsid w:val="009A37BD"/>
    <w:rsid w:val="009A666C"/>
    <w:rsid w:val="009C0DCF"/>
    <w:rsid w:val="009C118A"/>
    <w:rsid w:val="009C63FF"/>
    <w:rsid w:val="009C6B78"/>
    <w:rsid w:val="009D57BF"/>
    <w:rsid w:val="009E5F5A"/>
    <w:rsid w:val="009F2230"/>
    <w:rsid w:val="00A00944"/>
    <w:rsid w:val="00A017F4"/>
    <w:rsid w:val="00A1397B"/>
    <w:rsid w:val="00A26D7E"/>
    <w:rsid w:val="00A42A6B"/>
    <w:rsid w:val="00A476DD"/>
    <w:rsid w:val="00A62DC2"/>
    <w:rsid w:val="00A6798A"/>
    <w:rsid w:val="00A73AD7"/>
    <w:rsid w:val="00A73FC7"/>
    <w:rsid w:val="00A73FF8"/>
    <w:rsid w:val="00A76BA7"/>
    <w:rsid w:val="00A80D71"/>
    <w:rsid w:val="00A842D3"/>
    <w:rsid w:val="00A86440"/>
    <w:rsid w:val="00A910D0"/>
    <w:rsid w:val="00AA2AC8"/>
    <w:rsid w:val="00AB6F57"/>
    <w:rsid w:val="00AB78F2"/>
    <w:rsid w:val="00AC0E40"/>
    <w:rsid w:val="00AD7EEF"/>
    <w:rsid w:val="00AE3538"/>
    <w:rsid w:val="00AE3B30"/>
    <w:rsid w:val="00AF07B4"/>
    <w:rsid w:val="00AF2516"/>
    <w:rsid w:val="00B033C9"/>
    <w:rsid w:val="00B06279"/>
    <w:rsid w:val="00B20592"/>
    <w:rsid w:val="00B312AF"/>
    <w:rsid w:val="00B370A9"/>
    <w:rsid w:val="00B44235"/>
    <w:rsid w:val="00B44665"/>
    <w:rsid w:val="00B70BC2"/>
    <w:rsid w:val="00B86FDE"/>
    <w:rsid w:val="00B91449"/>
    <w:rsid w:val="00B94764"/>
    <w:rsid w:val="00B973C6"/>
    <w:rsid w:val="00BA2AB8"/>
    <w:rsid w:val="00BA4B11"/>
    <w:rsid w:val="00BA4F9F"/>
    <w:rsid w:val="00BA7E77"/>
    <w:rsid w:val="00BB7FB3"/>
    <w:rsid w:val="00BC05C4"/>
    <w:rsid w:val="00BC2637"/>
    <w:rsid w:val="00BC709C"/>
    <w:rsid w:val="00BD0D44"/>
    <w:rsid w:val="00BD78EA"/>
    <w:rsid w:val="00BD7EEF"/>
    <w:rsid w:val="00BF27ED"/>
    <w:rsid w:val="00BF7A5B"/>
    <w:rsid w:val="00C008F0"/>
    <w:rsid w:val="00C01D36"/>
    <w:rsid w:val="00C02B13"/>
    <w:rsid w:val="00C11DE4"/>
    <w:rsid w:val="00C27859"/>
    <w:rsid w:val="00C3229C"/>
    <w:rsid w:val="00C34627"/>
    <w:rsid w:val="00C37197"/>
    <w:rsid w:val="00C649DB"/>
    <w:rsid w:val="00C76CB3"/>
    <w:rsid w:val="00C83885"/>
    <w:rsid w:val="00C8760F"/>
    <w:rsid w:val="00C95538"/>
    <w:rsid w:val="00CA0E46"/>
    <w:rsid w:val="00CA7F5A"/>
    <w:rsid w:val="00CB3937"/>
    <w:rsid w:val="00CB3A5A"/>
    <w:rsid w:val="00CB497C"/>
    <w:rsid w:val="00CB5E18"/>
    <w:rsid w:val="00CB722A"/>
    <w:rsid w:val="00CE116A"/>
    <w:rsid w:val="00CF2FD3"/>
    <w:rsid w:val="00CF4698"/>
    <w:rsid w:val="00CF51F6"/>
    <w:rsid w:val="00D137DA"/>
    <w:rsid w:val="00D2174A"/>
    <w:rsid w:val="00D23C1F"/>
    <w:rsid w:val="00D321A6"/>
    <w:rsid w:val="00D36A2C"/>
    <w:rsid w:val="00D41FE6"/>
    <w:rsid w:val="00D46A77"/>
    <w:rsid w:val="00D5026E"/>
    <w:rsid w:val="00D516B2"/>
    <w:rsid w:val="00D54F48"/>
    <w:rsid w:val="00D5722B"/>
    <w:rsid w:val="00D61E2F"/>
    <w:rsid w:val="00D6367C"/>
    <w:rsid w:val="00D73596"/>
    <w:rsid w:val="00D77CBE"/>
    <w:rsid w:val="00D8310C"/>
    <w:rsid w:val="00D844CE"/>
    <w:rsid w:val="00D87FE5"/>
    <w:rsid w:val="00D9575E"/>
    <w:rsid w:val="00DA7E16"/>
    <w:rsid w:val="00DB2411"/>
    <w:rsid w:val="00DD4C62"/>
    <w:rsid w:val="00DF36A5"/>
    <w:rsid w:val="00DF717F"/>
    <w:rsid w:val="00DF76DF"/>
    <w:rsid w:val="00E00508"/>
    <w:rsid w:val="00E11AD0"/>
    <w:rsid w:val="00E16048"/>
    <w:rsid w:val="00E16ED9"/>
    <w:rsid w:val="00E174AD"/>
    <w:rsid w:val="00E200A9"/>
    <w:rsid w:val="00E257C4"/>
    <w:rsid w:val="00E26A08"/>
    <w:rsid w:val="00E306BC"/>
    <w:rsid w:val="00E35001"/>
    <w:rsid w:val="00E36B97"/>
    <w:rsid w:val="00E37280"/>
    <w:rsid w:val="00E42A62"/>
    <w:rsid w:val="00E45127"/>
    <w:rsid w:val="00E617A1"/>
    <w:rsid w:val="00E625F9"/>
    <w:rsid w:val="00E62645"/>
    <w:rsid w:val="00E67622"/>
    <w:rsid w:val="00E67817"/>
    <w:rsid w:val="00E765A3"/>
    <w:rsid w:val="00E902FB"/>
    <w:rsid w:val="00E92D17"/>
    <w:rsid w:val="00E94F97"/>
    <w:rsid w:val="00E96F34"/>
    <w:rsid w:val="00EA7F89"/>
    <w:rsid w:val="00EB3990"/>
    <w:rsid w:val="00EB4743"/>
    <w:rsid w:val="00EC41E8"/>
    <w:rsid w:val="00ED18E3"/>
    <w:rsid w:val="00ED2B7D"/>
    <w:rsid w:val="00ED6EA0"/>
    <w:rsid w:val="00EE329F"/>
    <w:rsid w:val="00EE428C"/>
    <w:rsid w:val="00EE7345"/>
    <w:rsid w:val="00EF799F"/>
    <w:rsid w:val="00F05F8E"/>
    <w:rsid w:val="00F10A14"/>
    <w:rsid w:val="00F25F33"/>
    <w:rsid w:val="00F3154A"/>
    <w:rsid w:val="00F333F6"/>
    <w:rsid w:val="00F45CB9"/>
    <w:rsid w:val="00F47E7B"/>
    <w:rsid w:val="00F52D29"/>
    <w:rsid w:val="00F5512C"/>
    <w:rsid w:val="00F57ADE"/>
    <w:rsid w:val="00F61777"/>
    <w:rsid w:val="00F62138"/>
    <w:rsid w:val="00F67701"/>
    <w:rsid w:val="00F7282B"/>
    <w:rsid w:val="00F75549"/>
    <w:rsid w:val="00F773E0"/>
    <w:rsid w:val="00F81499"/>
    <w:rsid w:val="00F8701B"/>
    <w:rsid w:val="00F903B6"/>
    <w:rsid w:val="00F95F75"/>
    <w:rsid w:val="00FA5CE3"/>
    <w:rsid w:val="00FC6695"/>
    <w:rsid w:val="00FD5C53"/>
    <w:rsid w:val="00FE07B1"/>
    <w:rsid w:val="00FE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18C470"/>
  <w15:docId w15:val="{CF58B964-D976-4824-9620-37C7E26A8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023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70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70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70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70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70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70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70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70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70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70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70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70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70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70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70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70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70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70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70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70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70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70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70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70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70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70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70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70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7023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033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33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33C9"/>
    <w:rPr>
      <w:sz w:val="20"/>
      <w:szCs w:val="20"/>
    </w:rPr>
  </w:style>
  <w:style w:type="paragraph" w:styleId="Revision">
    <w:name w:val="Revision"/>
    <w:hidden/>
    <w:uiPriority w:val="99"/>
    <w:semiHidden/>
    <w:rsid w:val="00476A28"/>
    <w:pPr>
      <w:spacing w:after="0" w:line="240" w:lineRule="auto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6A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6A2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62F5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2F5C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60141D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0141D"/>
    <w:rPr>
      <w:rFonts w:ascii="Aptos" w:hAnsi="Aptos"/>
      <w:noProof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60141D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0141D"/>
    <w:rPr>
      <w:rFonts w:ascii="Aptos" w:hAnsi="Aptos"/>
      <w:noProof/>
      <w:sz w:val="22"/>
      <w:szCs w:val="22"/>
    </w:rPr>
  </w:style>
  <w:style w:type="table" w:styleId="TableGrid">
    <w:name w:val="Table Grid"/>
    <w:basedOn w:val="TableNormal"/>
    <w:uiPriority w:val="39"/>
    <w:rsid w:val="00010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34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008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8F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008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8F0"/>
    <w:rPr>
      <w:sz w:val="22"/>
      <w:szCs w:val="22"/>
    </w:rPr>
  </w:style>
  <w:style w:type="character" w:customStyle="1" w:styleId="cf01">
    <w:name w:val="cf01"/>
    <w:basedOn w:val="DefaultParagraphFont"/>
    <w:rsid w:val="00F6213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3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F1236-C620-4B13-AA63-7CD9C660D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1785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Nathalia Lin</dc:creator>
  <cp:keywords/>
  <dc:description/>
  <cp:lastModifiedBy>Nilesh Nawale</cp:lastModifiedBy>
  <cp:revision>2</cp:revision>
  <dcterms:created xsi:type="dcterms:W3CDTF">2024-08-14T09:40:00Z</dcterms:created>
  <dcterms:modified xsi:type="dcterms:W3CDTF">2024-08-14T09:40:00Z</dcterms:modified>
</cp:coreProperties>
</file>