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09FDD" w14:textId="77777777" w:rsidR="008D075D" w:rsidRDefault="008D075D" w:rsidP="008D075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1. </w:t>
      </w:r>
      <w:r>
        <w:rPr>
          <w:rFonts w:ascii="Times New Roman" w:hAnsi="Times New Roman" w:cs="Times New Roman"/>
          <w:sz w:val="20"/>
          <w:szCs w:val="20"/>
        </w:rPr>
        <w:t>Clinical and pathologic characteristics (N = 231)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161"/>
        <w:gridCol w:w="3199"/>
      </w:tblGrid>
      <w:tr w:rsidR="008D075D" w14:paraId="698F3738" w14:textId="77777777" w:rsidTr="008D075D">
        <w:trPr>
          <w:trHeight w:val="315"/>
        </w:trPr>
        <w:tc>
          <w:tcPr>
            <w:tcW w:w="3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31C49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Characteristics</w:t>
            </w:r>
          </w:p>
        </w:tc>
        <w:tc>
          <w:tcPr>
            <w:tcW w:w="1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4EBC0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Data</w:t>
            </w:r>
          </w:p>
        </w:tc>
      </w:tr>
      <w:tr w:rsidR="008D075D" w14:paraId="7CE69FD6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6465CC6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Age (y)</w:t>
            </w:r>
          </w:p>
        </w:tc>
        <w:tc>
          <w:tcPr>
            <w:tcW w:w="1709" w:type="pct"/>
            <w:vAlign w:val="center"/>
            <w:hideMark/>
          </w:tcPr>
          <w:p w14:paraId="4461F45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64.2 (29-92)</w:t>
            </w:r>
          </w:p>
        </w:tc>
      </w:tr>
      <w:tr w:rsidR="008D075D" w14:paraId="51106DF2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68EE1D5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Sex</w:t>
            </w:r>
          </w:p>
        </w:tc>
        <w:tc>
          <w:tcPr>
            <w:tcW w:w="1709" w:type="pct"/>
            <w:vAlign w:val="center"/>
            <w:hideMark/>
          </w:tcPr>
          <w:p w14:paraId="227A836B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1DCA9C53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7E56C117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Men</w:t>
            </w:r>
          </w:p>
        </w:tc>
        <w:tc>
          <w:tcPr>
            <w:tcW w:w="1709" w:type="pct"/>
            <w:vAlign w:val="center"/>
            <w:hideMark/>
          </w:tcPr>
          <w:p w14:paraId="613A89F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173 (74.9)</w:t>
            </w:r>
          </w:p>
        </w:tc>
      </w:tr>
      <w:tr w:rsidR="008D075D" w14:paraId="4126F2C5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00DBD15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Women</w:t>
            </w:r>
          </w:p>
        </w:tc>
        <w:tc>
          <w:tcPr>
            <w:tcW w:w="1709" w:type="pct"/>
            <w:vAlign w:val="center"/>
            <w:hideMark/>
          </w:tcPr>
          <w:p w14:paraId="0BFB423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58 (25.1)</w:t>
            </w:r>
          </w:p>
        </w:tc>
      </w:tr>
      <w:tr w:rsidR="008D075D" w14:paraId="362D5A0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0E3C51EA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ECOG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 Performance status</w:t>
            </w:r>
          </w:p>
        </w:tc>
        <w:tc>
          <w:tcPr>
            <w:tcW w:w="1709" w:type="pct"/>
            <w:vAlign w:val="center"/>
            <w:hideMark/>
          </w:tcPr>
          <w:p w14:paraId="3B1F2DD0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3A6B5FDA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04E4AE98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1709" w:type="pct"/>
            <w:vAlign w:val="center"/>
            <w:hideMark/>
          </w:tcPr>
          <w:p w14:paraId="540AB916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162 (70.1)</w:t>
            </w:r>
          </w:p>
        </w:tc>
      </w:tr>
      <w:tr w:rsidR="008D075D" w14:paraId="0FC46759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44490663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</w:t>
            </w:r>
          </w:p>
        </w:tc>
        <w:tc>
          <w:tcPr>
            <w:tcW w:w="1709" w:type="pct"/>
            <w:vAlign w:val="center"/>
            <w:hideMark/>
          </w:tcPr>
          <w:p w14:paraId="4086D5C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63 (27.3)</w:t>
            </w:r>
          </w:p>
        </w:tc>
      </w:tr>
      <w:tr w:rsidR="008D075D" w14:paraId="3D334178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7CBD8750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</w:t>
            </w:r>
          </w:p>
        </w:tc>
        <w:tc>
          <w:tcPr>
            <w:tcW w:w="1709" w:type="pct"/>
            <w:vAlign w:val="center"/>
            <w:hideMark/>
          </w:tcPr>
          <w:p w14:paraId="0DFCFAEE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 (2.6)</w:t>
            </w:r>
          </w:p>
        </w:tc>
      </w:tr>
      <w:tr w:rsidR="008D075D" w14:paraId="4C31FACF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72637D98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Smoking history</w:t>
            </w:r>
          </w:p>
        </w:tc>
        <w:tc>
          <w:tcPr>
            <w:tcW w:w="1709" w:type="pct"/>
            <w:vAlign w:val="center"/>
            <w:hideMark/>
          </w:tcPr>
          <w:p w14:paraId="6DD62AB9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570014EB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46FBDED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Never smoker</w:t>
            </w:r>
          </w:p>
        </w:tc>
        <w:tc>
          <w:tcPr>
            <w:tcW w:w="1709" w:type="pct"/>
            <w:vAlign w:val="center"/>
            <w:hideMark/>
          </w:tcPr>
          <w:p w14:paraId="3DD6081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69 (29.9)</w:t>
            </w:r>
          </w:p>
        </w:tc>
      </w:tr>
      <w:tr w:rsidR="008D075D" w14:paraId="7247272B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92F63A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Current smoker</w:t>
            </w:r>
          </w:p>
        </w:tc>
        <w:tc>
          <w:tcPr>
            <w:tcW w:w="1709" w:type="pct"/>
            <w:vAlign w:val="center"/>
            <w:hideMark/>
          </w:tcPr>
          <w:p w14:paraId="6A0F9154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57 (24.7)</w:t>
            </w:r>
          </w:p>
        </w:tc>
      </w:tr>
      <w:tr w:rsidR="008D075D" w14:paraId="4690D0CF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2EB68CCA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Ex-smoker</w:t>
            </w:r>
          </w:p>
        </w:tc>
        <w:tc>
          <w:tcPr>
            <w:tcW w:w="1709" w:type="pct"/>
            <w:vAlign w:val="center"/>
            <w:hideMark/>
          </w:tcPr>
          <w:p w14:paraId="2C43F814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105 (45.5)</w:t>
            </w:r>
          </w:p>
        </w:tc>
      </w:tr>
      <w:tr w:rsidR="008D075D" w14:paraId="632501BC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3CA78238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Smoking (pack*year)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013B8334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162</w:t>
            </w:r>
          </w:p>
        </w:tc>
      </w:tr>
      <w:tr w:rsidR="008D075D" w14:paraId="64AFCD86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1DC06AB5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&lt;20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79CA65C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18 (11.1)</w:t>
            </w:r>
          </w:p>
        </w:tc>
      </w:tr>
      <w:tr w:rsidR="008D075D" w14:paraId="6ACEF74D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76C711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Dotum" w:hAnsi="Times New Roman" w:cs="Times New Roman"/>
                <w:kern w:val="2"/>
                <w:sz w:val="20"/>
                <w:szCs w:val="20"/>
              </w:rPr>
              <w:t>≥</w:t>
            </w: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20 (heavy smoker)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63C1A7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144 (88.9)</w:t>
            </w:r>
          </w:p>
        </w:tc>
      </w:tr>
      <w:tr w:rsidR="008D075D" w14:paraId="6D44EB28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20F24327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Clinical stage at diagnosis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09070484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1742DD10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07FE4802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Dotum" w:hAnsi="Times New Roman" w:cs="Times New Roman"/>
                <w:kern w:val="2"/>
                <w:sz w:val="20"/>
                <w:szCs w:val="20"/>
              </w:rPr>
              <w:t>≤</w:t>
            </w: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Stage IIIc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411D2C8C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76 (33.6)</w:t>
            </w:r>
          </w:p>
        </w:tc>
      </w:tr>
      <w:tr w:rsidR="008D075D" w14:paraId="053FD8B5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7B277F5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Stage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IVa</w:t>
            </w:r>
            <w:proofErr w:type="spellEnd"/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354DD06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93 (36.4)</w:t>
            </w:r>
          </w:p>
        </w:tc>
      </w:tr>
      <w:tr w:rsidR="008D075D" w14:paraId="26E253B2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7D694575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Stage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IVb</w:t>
            </w:r>
            <w:proofErr w:type="spellEnd"/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4A9A9210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62 (31.8)</w:t>
            </w:r>
          </w:p>
        </w:tc>
      </w:tr>
      <w:tr w:rsidR="008D075D" w14:paraId="24BA1F09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53B18C0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Histology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5D551958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18637E41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13455C7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Adenocarcinoma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66F9CE1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162 (70.1)</w:t>
            </w:r>
          </w:p>
        </w:tc>
      </w:tr>
      <w:tr w:rsidR="008D075D" w14:paraId="61D17AEC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3BEF44CD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Squamous cell carcinoma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652F475C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62 (26.8)</w:t>
            </w:r>
          </w:p>
        </w:tc>
      </w:tr>
      <w:tr w:rsidR="008D075D" w14:paraId="1002AD2E" w14:textId="77777777" w:rsidTr="008D075D">
        <w:trPr>
          <w:trHeight w:val="510"/>
        </w:trPr>
        <w:tc>
          <w:tcPr>
            <w:tcW w:w="3291" w:type="pct"/>
            <w:shd w:val="clear" w:color="auto" w:fill="FFFFFF"/>
            <w:vAlign w:val="center"/>
            <w:hideMark/>
          </w:tcPr>
          <w:p w14:paraId="3C659C28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Others (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Adenosquamous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 cell carcinoma, etc.)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1247E0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7 (3.1)</w:t>
            </w:r>
          </w:p>
        </w:tc>
      </w:tr>
      <w:tr w:rsidR="008D075D" w14:paraId="505F16E4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51BA75C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Metastatic site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79446838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2DA0C3AB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6AFE0E0E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Lymph node (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SCN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 or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extrathoracic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)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F6E1823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89 (38.5)</w:t>
            </w:r>
          </w:p>
        </w:tc>
      </w:tr>
      <w:tr w:rsidR="008D075D" w14:paraId="33045B80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0B7F3F81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Pleural metastasis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BB3FD2C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80 (34.6)</w:t>
            </w:r>
          </w:p>
        </w:tc>
      </w:tr>
      <w:tr w:rsidR="008D075D" w14:paraId="19CFAB8C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9370129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Malignant pleural/pericardial effusion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5E345C8E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60 (26.0)</w:t>
            </w:r>
          </w:p>
        </w:tc>
      </w:tr>
      <w:tr w:rsidR="008D075D" w14:paraId="5865183D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EF4EC48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Lung to lung metastasis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519588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57 (24.7)</w:t>
            </w:r>
          </w:p>
        </w:tc>
      </w:tr>
      <w:tr w:rsidR="008D075D" w14:paraId="703725FB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395FD206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Bone metastasis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2C08FF4E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76 (32.9)</w:t>
            </w:r>
          </w:p>
        </w:tc>
      </w:tr>
      <w:tr w:rsidR="008D075D" w14:paraId="3E0AF1C1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0EB8F570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Brain or CNS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68AC88DA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47 (20.3)</w:t>
            </w:r>
          </w:p>
        </w:tc>
      </w:tr>
      <w:tr w:rsidR="008D075D" w14:paraId="2FC5A18D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4E95BC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Liver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47735D0D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28 (12.1)</w:t>
            </w:r>
          </w:p>
        </w:tc>
      </w:tr>
      <w:tr w:rsidR="008D075D" w14:paraId="3743C7DB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BD3724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Miscellaneous</w:t>
            </w:r>
            <w:r>
              <w:rPr>
                <w:rFonts w:ascii="Batang" w:eastAsia="Batang" w:hAnsi="Batang" w:cs="Times New Roman" w:hint="eastAsia"/>
                <w:kern w:val="2"/>
                <w:sz w:val="20"/>
                <w:szCs w:val="20"/>
                <w:vertAlign w:val="superscript"/>
              </w:rPr>
              <w:t>†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09D4797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18 (7.8)</w:t>
            </w:r>
          </w:p>
        </w:tc>
      </w:tr>
      <w:tr w:rsidR="008D075D" w14:paraId="406BBC06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E56F44D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Number of metastatic sites</w:t>
            </w:r>
          </w:p>
        </w:tc>
        <w:tc>
          <w:tcPr>
            <w:tcW w:w="1709" w:type="pct"/>
            <w:vAlign w:val="center"/>
            <w:hideMark/>
          </w:tcPr>
          <w:p w14:paraId="28E6FC59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64F5A80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0018F5E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0</w:t>
            </w:r>
          </w:p>
        </w:tc>
        <w:tc>
          <w:tcPr>
            <w:tcW w:w="1709" w:type="pct"/>
            <w:vAlign w:val="center"/>
            <w:hideMark/>
          </w:tcPr>
          <w:p w14:paraId="589EF3A3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13 (5.6)</w:t>
            </w:r>
          </w:p>
        </w:tc>
      </w:tr>
      <w:tr w:rsidR="008D075D" w14:paraId="41FDF056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3F3D0185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</w:t>
            </w:r>
          </w:p>
        </w:tc>
        <w:tc>
          <w:tcPr>
            <w:tcW w:w="1709" w:type="pct"/>
            <w:vAlign w:val="center"/>
            <w:hideMark/>
          </w:tcPr>
          <w:p w14:paraId="22701C64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89 (38.5)</w:t>
            </w:r>
          </w:p>
        </w:tc>
      </w:tr>
      <w:tr w:rsidR="008D075D" w14:paraId="4E534E2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45F9DC13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</w:t>
            </w:r>
          </w:p>
        </w:tc>
        <w:tc>
          <w:tcPr>
            <w:tcW w:w="1709" w:type="pct"/>
            <w:vAlign w:val="center"/>
            <w:hideMark/>
          </w:tcPr>
          <w:p w14:paraId="1D7C8DA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63 (27.3)</w:t>
            </w:r>
          </w:p>
        </w:tc>
      </w:tr>
      <w:tr w:rsidR="008D075D" w14:paraId="767089A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6CEB26FB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3</w:t>
            </w:r>
          </w:p>
        </w:tc>
        <w:tc>
          <w:tcPr>
            <w:tcW w:w="1709" w:type="pct"/>
            <w:vAlign w:val="center"/>
            <w:hideMark/>
          </w:tcPr>
          <w:p w14:paraId="14435715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37 (16.0)</w:t>
            </w:r>
          </w:p>
        </w:tc>
      </w:tr>
      <w:tr w:rsidR="008D075D" w14:paraId="2D359244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565EDC3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Dotum" w:hAnsi="Times New Roman" w:cs="Times New Roman"/>
                <w:kern w:val="2"/>
                <w:sz w:val="20"/>
                <w:szCs w:val="20"/>
              </w:rPr>
              <w:t>≥</w:t>
            </w: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4</w:t>
            </w:r>
          </w:p>
        </w:tc>
        <w:tc>
          <w:tcPr>
            <w:tcW w:w="1709" w:type="pct"/>
            <w:vAlign w:val="center"/>
            <w:hideMark/>
          </w:tcPr>
          <w:p w14:paraId="1033C5BD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29 (12.6)</w:t>
            </w:r>
          </w:p>
        </w:tc>
      </w:tr>
      <w:tr w:rsidR="008D075D" w14:paraId="75C52A1A" w14:textId="77777777" w:rsidTr="008D075D">
        <w:trPr>
          <w:trHeight w:val="510"/>
        </w:trPr>
        <w:tc>
          <w:tcPr>
            <w:tcW w:w="3291" w:type="pct"/>
            <w:vAlign w:val="center"/>
            <w:hideMark/>
          </w:tcPr>
          <w:p w14:paraId="7B3913CA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Oncogenic driver mutation (n=43)</w:t>
            </w:r>
          </w:p>
        </w:tc>
        <w:tc>
          <w:tcPr>
            <w:tcW w:w="1709" w:type="pct"/>
            <w:vAlign w:val="center"/>
            <w:hideMark/>
          </w:tcPr>
          <w:p w14:paraId="57B92B76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49CB305D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27ED184A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EGFR</w:t>
            </w:r>
          </w:p>
        </w:tc>
        <w:tc>
          <w:tcPr>
            <w:tcW w:w="1709" w:type="pct"/>
            <w:vAlign w:val="center"/>
            <w:hideMark/>
          </w:tcPr>
          <w:p w14:paraId="4DC997A3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31 (13.4)</w:t>
            </w:r>
          </w:p>
        </w:tc>
      </w:tr>
      <w:tr w:rsidR="008D075D" w14:paraId="2939AC9B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130B4C0F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ALK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 / ROS-1</w:t>
            </w:r>
          </w:p>
        </w:tc>
        <w:tc>
          <w:tcPr>
            <w:tcW w:w="1709" w:type="pct"/>
            <w:vAlign w:val="center"/>
            <w:hideMark/>
          </w:tcPr>
          <w:p w14:paraId="3371A0FC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4 (1.7)</w:t>
            </w:r>
          </w:p>
        </w:tc>
      </w:tr>
      <w:tr w:rsidR="008D075D" w14:paraId="1A16191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249F6D9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Others (K-Ras, B-RAF, BRCA…)</w:t>
            </w:r>
          </w:p>
        </w:tc>
        <w:tc>
          <w:tcPr>
            <w:tcW w:w="1709" w:type="pct"/>
            <w:vAlign w:val="center"/>
            <w:hideMark/>
          </w:tcPr>
          <w:p w14:paraId="133CAF1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8 (3.4)</w:t>
            </w:r>
          </w:p>
        </w:tc>
      </w:tr>
      <w:tr w:rsidR="008D075D" w14:paraId="329DD451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5CCE4EDE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Immune checkpoint blockade</w:t>
            </w:r>
          </w:p>
        </w:tc>
        <w:tc>
          <w:tcPr>
            <w:tcW w:w="1709" w:type="pct"/>
            <w:vAlign w:val="center"/>
            <w:hideMark/>
          </w:tcPr>
          <w:p w14:paraId="71B4729D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5E37156A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6BE6F4D3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Pembrolizumab</w:t>
            </w:r>
          </w:p>
        </w:tc>
        <w:tc>
          <w:tcPr>
            <w:tcW w:w="1709" w:type="pct"/>
            <w:vAlign w:val="center"/>
            <w:hideMark/>
          </w:tcPr>
          <w:p w14:paraId="164B34D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98 (42.4)</w:t>
            </w:r>
          </w:p>
        </w:tc>
      </w:tr>
      <w:tr w:rsidR="008D075D" w14:paraId="150EAE7E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023D6046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Nivolumab</w:t>
            </w:r>
          </w:p>
        </w:tc>
        <w:tc>
          <w:tcPr>
            <w:tcW w:w="1709" w:type="pct"/>
            <w:vAlign w:val="center"/>
            <w:hideMark/>
          </w:tcPr>
          <w:p w14:paraId="07A30BF7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108 (46.8)</w:t>
            </w:r>
          </w:p>
        </w:tc>
      </w:tr>
      <w:tr w:rsidR="008D075D" w14:paraId="447378F8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6F48E53D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Durvalumab</w:t>
            </w:r>
          </w:p>
        </w:tc>
        <w:tc>
          <w:tcPr>
            <w:tcW w:w="1709" w:type="pct"/>
            <w:vAlign w:val="center"/>
            <w:hideMark/>
          </w:tcPr>
          <w:p w14:paraId="5A8F3F1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10 (4.3)</w:t>
            </w:r>
          </w:p>
        </w:tc>
      </w:tr>
      <w:tr w:rsidR="008D075D" w14:paraId="5A8D4A73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1CF49D5C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Avelumab</w:t>
            </w:r>
          </w:p>
        </w:tc>
        <w:tc>
          <w:tcPr>
            <w:tcW w:w="1709" w:type="pct"/>
            <w:vAlign w:val="center"/>
            <w:hideMark/>
          </w:tcPr>
          <w:p w14:paraId="6F458F09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6 (2.6)</w:t>
            </w:r>
          </w:p>
        </w:tc>
      </w:tr>
      <w:tr w:rsidR="008D075D" w14:paraId="595CCCA3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796DF31E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Atezolizumab</w:t>
            </w:r>
          </w:p>
        </w:tc>
        <w:tc>
          <w:tcPr>
            <w:tcW w:w="1709" w:type="pct"/>
            <w:vAlign w:val="center"/>
            <w:hideMark/>
          </w:tcPr>
          <w:p w14:paraId="0A14C1D5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 (0.9)</w:t>
            </w:r>
          </w:p>
        </w:tc>
      </w:tr>
      <w:tr w:rsidR="008D075D" w14:paraId="04072C4D" w14:textId="77777777" w:rsidTr="008D075D">
        <w:trPr>
          <w:trHeight w:val="315"/>
        </w:trPr>
        <w:tc>
          <w:tcPr>
            <w:tcW w:w="3291" w:type="pct"/>
            <w:vAlign w:val="center"/>
            <w:hideMark/>
          </w:tcPr>
          <w:p w14:paraId="58237543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Switch to other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ICB</w:t>
            </w:r>
            <w:proofErr w:type="spellEnd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 or combination</w:t>
            </w:r>
          </w:p>
        </w:tc>
        <w:tc>
          <w:tcPr>
            <w:tcW w:w="1709" w:type="pct"/>
            <w:vAlign w:val="center"/>
            <w:hideMark/>
          </w:tcPr>
          <w:p w14:paraId="63566254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7 (3.0)</w:t>
            </w:r>
          </w:p>
        </w:tc>
      </w:tr>
      <w:tr w:rsidR="008D075D" w14:paraId="0D72733C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223B3C26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Number of prior systemic treatment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557F3DCB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79EC012C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7ABB7A24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 w:hint="eastAsia"/>
                <w:kern w:val="2"/>
                <w:sz w:val="20"/>
                <w:szCs w:val="20"/>
              </w:rPr>
              <w:t>≤</w:t>
            </w: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0549C3DF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141 (61.0)</w:t>
            </w:r>
          </w:p>
        </w:tc>
      </w:tr>
      <w:tr w:rsidR="008D075D" w14:paraId="44204E7D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6DF5F9E8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10811C1D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53 (22.9)</w:t>
            </w:r>
          </w:p>
        </w:tc>
      </w:tr>
      <w:tr w:rsidR="008D075D" w14:paraId="0277A87E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266FF5F7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3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303BD56E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17 (7.4)</w:t>
            </w:r>
          </w:p>
        </w:tc>
      </w:tr>
      <w:tr w:rsidR="008D075D" w14:paraId="3A5B35E1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4387A0D9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Dotum" w:hAnsi="Times New Roman" w:cs="Times New Roman"/>
                <w:kern w:val="2"/>
                <w:sz w:val="20"/>
                <w:szCs w:val="20"/>
              </w:rPr>
              <w:t>≥</w:t>
            </w: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4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45326BB7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20 (8.7)</w:t>
            </w:r>
          </w:p>
        </w:tc>
      </w:tr>
      <w:tr w:rsidR="008D075D" w14:paraId="22944304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582ECFE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 xml:space="preserve">Tumor response to </w:t>
            </w: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ICBs</w:t>
            </w:r>
            <w:proofErr w:type="spellEnd"/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16E9CE19" w14:textId="77777777" w:rsidR="008D075D" w:rsidRDefault="008D075D">
            <w:pP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</w:p>
        </w:tc>
      </w:tr>
      <w:tr w:rsidR="008D075D" w14:paraId="69902F63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2CDBB131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CR/PR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03297C3F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50 (21.6)</w:t>
            </w:r>
          </w:p>
        </w:tc>
      </w:tr>
      <w:tr w:rsidR="008D075D" w14:paraId="1D003B14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5B76D324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SD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788EE551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79 (34.2)</w:t>
            </w:r>
          </w:p>
        </w:tc>
      </w:tr>
      <w:tr w:rsidR="008D075D" w14:paraId="6DE5A961" w14:textId="77777777" w:rsidTr="008D075D">
        <w:trPr>
          <w:trHeight w:val="315"/>
        </w:trPr>
        <w:tc>
          <w:tcPr>
            <w:tcW w:w="3291" w:type="pct"/>
            <w:shd w:val="clear" w:color="auto" w:fill="FFFFFF"/>
            <w:vAlign w:val="center"/>
            <w:hideMark/>
          </w:tcPr>
          <w:p w14:paraId="2CE74269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PD</w:t>
            </w:r>
          </w:p>
        </w:tc>
        <w:tc>
          <w:tcPr>
            <w:tcW w:w="1709" w:type="pct"/>
            <w:shd w:val="clear" w:color="auto" w:fill="FFFFFF"/>
            <w:vAlign w:val="center"/>
            <w:hideMark/>
          </w:tcPr>
          <w:p w14:paraId="3EEB8F4F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82 (35.5)</w:t>
            </w:r>
          </w:p>
        </w:tc>
      </w:tr>
      <w:tr w:rsidR="008D075D" w14:paraId="276BAD1D" w14:textId="77777777" w:rsidTr="008D075D">
        <w:trPr>
          <w:trHeight w:val="315"/>
        </w:trPr>
        <w:tc>
          <w:tcPr>
            <w:tcW w:w="3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E9FECB8" w14:textId="77777777" w:rsidR="008D075D" w:rsidRDefault="008D075D">
            <w:pPr>
              <w:spacing w:line="360" w:lineRule="auto"/>
              <w:ind w:leftChars="92" w:left="221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UnKnown</w:t>
            </w:r>
            <w:proofErr w:type="spellEnd"/>
          </w:p>
        </w:tc>
        <w:tc>
          <w:tcPr>
            <w:tcW w:w="1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84919B2" w14:textId="77777777" w:rsidR="008D075D" w:rsidRDefault="008D075D">
            <w:pPr>
              <w:spacing w:line="360" w:lineRule="auto"/>
              <w:jc w:val="both"/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kern w:val="2"/>
                <w:sz w:val="20"/>
                <w:szCs w:val="20"/>
              </w:rPr>
              <w:t>20 (8.7)</w:t>
            </w:r>
          </w:p>
        </w:tc>
      </w:tr>
    </w:tbl>
    <w:p w14:paraId="68DCF74B" w14:textId="77777777" w:rsidR="008D075D" w:rsidRDefault="008D075D" w:rsidP="008D075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Values are presented as mean (range) or number (%).</w:t>
      </w:r>
    </w:p>
    <w:p w14:paraId="0007D636" w14:textId="77777777" w:rsidR="008D075D" w:rsidRDefault="008D075D" w:rsidP="008D075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Batang" w:eastAsia="Batang" w:hAnsi="Batang" w:cs="Times New Roman" w:hint="eastAsia"/>
          <w:sz w:val="20"/>
          <w:szCs w:val="20"/>
          <w:vertAlign w:val="superscript"/>
        </w:rPr>
        <w:t>†</w:t>
      </w:r>
      <w:r>
        <w:rPr>
          <w:rFonts w:ascii="Times New Roman" w:hAnsi="Times New Roman" w:cs="Times New Roman"/>
          <w:sz w:val="20"/>
          <w:szCs w:val="20"/>
        </w:rPr>
        <w:t xml:space="preserve">Miscellany includes </w:t>
      </w:r>
      <w:proofErr w:type="spellStart"/>
      <w:r>
        <w:rPr>
          <w:rFonts w:ascii="Times New Roman" w:hAnsi="Times New Roman" w:cs="Times New Roman"/>
          <w:sz w:val="20"/>
          <w:szCs w:val="20"/>
        </w:rPr>
        <w:t>lymphagitic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metastasis and metastasis to the adrenal glands, skin, kidney, bowel.</w:t>
      </w:r>
    </w:p>
    <w:p w14:paraId="47B1808D" w14:textId="77777777" w:rsidR="008D075D" w:rsidRDefault="008D075D" w:rsidP="008D075D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7F9D7E22" w14:textId="77777777" w:rsidR="008D075D" w:rsidRDefault="008D075D" w:rsidP="008D075D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2. </w:t>
      </w:r>
      <w:r>
        <w:rPr>
          <w:rFonts w:ascii="Times New Roman" w:hAnsi="Times New Roman" w:cs="Times New Roman"/>
          <w:bCs/>
          <w:sz w:val="20"/>
          <w:szCs w:val="20"/>
        </w:rPr>
        <w:t>Serologic inflammatory markers</w:t>
      </w:r>
      <w:r>
        <w:rPr>
          <w:rFonts w:ascii="Times New Roman" w:hAnsi="Times New Roman" w:cs="Times New Roman"/>
          <w:sz w:val="20"/>
          <w:szCs w:val="20"/>
        </w:rPr>
        <w:t xml:space="preserve"> associated with </w:t>
      </w:r>
      <w:proofErr w:type="spellStart"/>
      <w:r>
        <w:rPr>
          <w:rFonts w:ascii="Times New Roman" w:hAnsi="Times New Roman" w:cs="Times New Roman"/>
          <w:sz w:val="20"/>
          <w:szCs w:val="20"/>
        </w:rPr>
        <w:t>HPD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by univariate and multivariate analyses (n = 155)</w:t>
      </w:r>
      <w:r>
        <w:rPr>
          <w:rFonts w:ascii="Times New Roman" w:eastAsia="Batang" w:hAnsi="Times New Roman" w:cs="Times New Roman"/>
          <w:sz w:val="20"/>
          <w:szCs w:val="20"/>
          <w:vertAlign w:val="superscript"/>
        </w:rPr>
        <w:t>†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44"/>
        <w:gridCol w:w="1783"/>
        <w:gridCol w:w="1235"/>
        <w:gridCol w:w="1647"/>
        <w:gridCol w:w="1117"/>
      </w:tblGrid>
      <w:tr w:rsidR="008D075D" w14:paraId="6CB323AE" w14:textId="77777777" w:rsidTr="008D075D">
        <w:tc>
          <w:tcPr>
            <w:tcW w:w="32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FCCED1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971A7E" w14:textId="77777777" w:rsidR="008D075D" w:rsidRDefault="008D075D">
            <w:pPr>
              <w:spacing w:before="240" w:line="360" w:lineRule="auto"/>
              <w:ind w:firstLineChars="400" w:firstLine="78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Univariate</w:t>
            </w:r>
          </w:p>
        </w:tc>
        <w:tc>
          <w:tcPr>
            <w:tcW w:w="27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E02332" w14:textId="77777777" w:rsidR="008D075D" w:rsidRDefault="008D075D">
            <w:pPr>
              <w:spacing w:before="240"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Multivariate</w:t>
            </w:r>
          </w:p>
        </w:tc>
      </w:tr>
      <w:tr w:rsidR="008D075D" w14:paraId="3AF8682E" w14:textId="77777777" w:rsidTr="008D075D">
        <w:tc>
          <w:tcPr>
            <w:tcW w:w="3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6CC76B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2B1B6D" w14:textId="77777777" w:rsidR="008D075D" w:rsidRDefault="008D075D">
            <w:pPr>
              <w:spacing w:before="240" w:line="360" w:lineRule="auto"/>
              <w:ind w:leftChars="-53" w:left="-127" w:firstLineChars="59" w:firstLine="116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FC81058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27E199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HR (95% CI)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069E6D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-value</w:t>
            </w:r>
          </w:p>
        </w:tc>
      </w:tr>
      <w:tr w:rsidR="008D075D" w14:paraId="65BF42E4" w14:textId="77777777" w:rsidTr="008D075D">
        <w:tc>
          <w:tcPr>
            <w:tcW w:w="32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6C18978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NLR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(base</w:t>
            </w:r>
            <w:r>
              <w:rPr>
                <w:rFonts w:ascii="Times New Roman" w:hAnsi="Times New Roman"/>
                <w:sz w:val="22"/>
                <w:vertAlign w:val="superscript"/>
              </w:rPr>
              <w:t>‡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),  ≥5 vs &lt;5</w:t>
            </w:r>
          </w:p>
        </w:tc>
        <w:tc>
          <w:tcPr>
            <w:tcW w:w="1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9C3BBDA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2.20 (0.88-5.52)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50A6C51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0.092</w:t>
            </w:r>
          </w:p>
        </w:tc>
        <w:tc>
          <w:tcPr>
            <w:tcW w:w="16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EA3C44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1.53 (0.55-4.26)</w:t>
            </w:r>
          </w:p>
        </w:tc>
        <w:tc>
          <w:tcPr>
            <w:tcW w:w="11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416B234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0.4117</w:t>
            </w:r>
          </w:p>
        </w:tc>
      </w:tr>
      <w:tr w:rsidR="008D075D" w14:paraId="031E604F" w14:textId="77777777" w:rsidTr="008D075D">
        <w:tc>
          <w:tcPr>
            <w:tcW w:w="3244" w:type="dxa"/>
            <w:vAlign w:val="center"/>
            <w:hideMark/>
          </w:tcPr>
          <w:p w14:paraId="75760209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PLR (base),  ≥150 vs &lt;150</w:t>
            </w:r>
          </w:p>
        </w:tc>
        <w:tc>
          <w:tcPr>
            <w:tcW w:w="1783" w:type="dxa"/>
            <w:vAlign w:val="center"/>
            <w:hideMark/>
          </w:tcPr>
          <w:p w14:paraId="4B3911F9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1.67 (0.68-4.13)</w:t>
            </w:r>
          </w:p>
        </w:tc>
        <w:tc>
          <w:tcPr>
            <w:tcW w:w="1235" w:type="dxa"/>
            <w:vAlign w:val="center"/>
            <w:hideMark/>
          </w:tcPr>
          <w:p w14:paraId="67735D4A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0.2644</w:t>
            </w:r>
          </w:p>
        </w:tc>
        <w:tc>
          <w:tcPr>
            <w:tcW w:w="1647" w:type="dxa"/>
            <w:vAlign w:val="center"/>
            <w:hideMark/>
          </w:tcPr>
          <w:p w14:paraId="4FCEC5EF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 xml:space="preserve">1.24 (0.47-3.31) </w:t>
            </w:r>
          </w:p>
        </w:tc>
        <w:tc>
          <w:tcPr>
            <w:tcW w:w="1117" w:type="dxa"/>
            <w:vAlign w:val="center"/>
            <w:hideMark/>
          </w:tcPr>
          <w:p w14:paraId="4A8C4ACC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0.6638</w:t>
            </w:r>
          </w:p>
        </w:tc>
      </w:tr>
      <w:tr w:rsidR="008D075D" w14:paraId="7BBD2910" w14:textId="77777777" w:rsidTr="008D075D">
        <w:tc>
          <w:tcPr>
            <w:tcW w:w="3244" w:type="dxa"/>
            <w:vAlign w:val="center"/>
            <w:hideMark/>
          </w:tcPr>
          <w:p w14:paraId="3F617544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 (base),  ≥0.5 vs &lt;0.5</w:t>
            </w:r>
          </w:p>
        </w:tc>
        <w:tc>
          <w:tcPr>
            <w:tcW w:w="1783" w:type="dxa"/>
            <w:vAlign w:val="center"/>
            <w:hideMark/>
          </w:tcPr>
          <w:p w14:paraId="18DC7EE2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2.62 (1.09-6.33)</w:t>
            </w:r>
          </w:p>
        </w:tc>
        <w:tc>
          <w:tcPr>
            <w:tcW w:w="1235" w:type="dxa"/>
            <w:vAlign w:val="center"/>
            <w:hideMark/>
          </w:tcPr>
          <w:p w14:paraId="5DFC7207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b/>
                <w:sz w:val="20"/>
                <w:szCs w:val="20"/>
              </w:rPr>
              <w:t>0.0318</w:t>
            </w:r>
          </w:p>
        </w:tc>
        <w:tc>
          <w:tcPr>
            <w:tcW w:w="1647" w:type="dxa"/>
            <w:vAlign w:val="center"/>
            <w:hideMark/>
          </w:tcPr>
          <w:p w14:paraId="38AF4CC9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2.18 (0.85-5.55)</w:t>
            </w:r>
          </w:p>
        </w:tc>
        <w:tc>
          <w:tcPr>
            <w:tcW w:w="1117" w:type="dxa"/>
            <w:vAlign w:val="center"/>
            <w:hideMark/>
          </w:tcPr>
          <w:p w14:paraId="3821977B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0.1031</w:t>
            </w:r>
          </w:p>
        </w:tc>
      </w:tr>
      <w:tr w:rsidR="008D075D" w14:paraId="3EC5EBC3" w14:textId="77777777" w:rsidTr="008D075D">
        <w:tc>
          <w:tcPr>
            <w:tcW w:w="32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DD53C9" w14:textId="77777777" w:rsidR="008D075D" w:rsidRDefault="008D075D">
            <w:pPr>
              <w:spacing w:before="240"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LDH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(base),  ≥400 vs &lt;400</w:t>
            </w:r>
          </w:p>
        </w:tc>
        <w:tc>
          <w:tcPr>
            <w:tcW w:w="1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E3FAFF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0.35 (0.09-1.36)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20CC3A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0.1290</w:t>
            </w:r>
          </w:p>
        </w:tc>
        <w:tc>
          <w:tcPr>
            <w:tcW w:w="16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D477A66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0.77 (0.32-1.85)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2F9722" w14:textId="77777777" w:rsidR="008D075D" w:rsidRDefault="008D075D">
            <w:pPr>
              <w:spacing w:line="360" w:lineRule="auto"/>
              <w:rPr>
                <w:rFonts w:ascii="Times New Roman" w:eastAsia="Malgun Gothic" w:hAnsi="Times New Roman" w:cs="Times New Roman"/>
                <w:sz w:val="20"/>
                <w:szCs w:val="20"/>
              </w:rPr>
            </w:pPr>
            <w:r>
              <w:rPr>
                <w:rFonts w:ascii="Times New Roman" w:eastAsia="Malgun Gothic" w:hAnsi="Times New Roman" w:cs="Times New Roman"/>
                <w:sz w:val="20"/>
                <w:szCs w:val="20"/>
              </w:rPr>
              <w:t>0.553</w:t>
            </w:r>
          </w:p>
        </w:tc>
      </w:tr>
    </w:tbl>
    <w:p w14:paraId="49F26DB5" w14:textId="77777777" w:rsidR="008D075D" w:rsidRDefault="008D075D" w:rsidP="008D075D">
      <w:pPr>
        <w:spacing w:line="480" w:lineRule="auto"/>
        <w:mirrorIndents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Batang" w:hAnsi="Times New Roman" w:cs="Times New Roman"/>
          <w:sz w:val="20"/>
          <w:szCs w:val="20"/>
          <w:vertAlign w:val="superscript"/>
        </w:rPr>
        <w:t xml:space="preserve">† </w:t>
      </w:r>
      <w:r>
        <w:rPr>
          <w:rFonts w:ascii="Times New Roman" w:hAnsi="Times New Roman" w:cs="Times New Roman"/>
          <w:sz w:val="20"/>
          <w:szCs w:val="20"/>
        </w:rPr>
        <w:t>Non evaluable group and Non-</w:t>
      </w:r>
      <w:proofErr w:type="spellStart"/>
      <w:r>
        <w:rPr>
          <w:rFonts w:ascii="Times New Roman" w:hAnsi="Times New Roman" w:cs="Times New Roman"/>
          <w:sz w:val="20"/>
          <w:szCs w:val="20"/>
        </w:rPr>
        <w:t>HPD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PD group were excluded.</w:t>
      </w:r>
    </w:p>
    <w:p w14:paraId="746798BC" w14:textId="77777777" w:rsidR="008D075D" w:rsidRDefault="008D075D" w:rsidP="008D075D">
      <w:pPr>
        <w:spacing w:line="480" w:lineRule="auto"/>
        <w:mirrorIndents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/>
          <w:sz w:val="22"/>
          <w:vertAlign w:val="superscript"/>
        </w:rPr>
        <w:t xml:space="preserve">‡ </w:t>
      </w:r>
      <w:r>
        <w:rPr>
          <w:rFonts w:ascii="Times New Roman" w:hAnsi="Times New Roman" w:cs="Times New Roman"/>
          <w:sz w:val="20"/>
          <w:szCs w:val="20"/>
        </w:rPr>
        <w:t xml:space="preserve">Base implies </w:t>
      </w:r>
      <w:r>
        <w:rPr>
          <w:rFonts w:ascii="Times New Roman" w:hAnsi="Times New Roman" w:cs="Times New Roman"/>
          <w:bCs/>
          <w:sz w:val="20"/>
          <w:szCs w:val="20"/>
        </w:rPr>
        <w:t>at the beginning of immunotherapy</w:t>
      </w:r>
    </w:p>
    <w:p w14:paraId="455B5849" w14:textId="77777777" w:rsidR="008D075D" w:rsidRDefault="008D075D" w:rsidP="008D075D">
      <w:pPr>
        <w:spacing w:line="480" w:lineRule="auto"/>
        <w:mirrorIndents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sz w:val="20"/>
          <w:szCs w:val="20"/>
        </w:rPr>
        <w:t>HPD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hyperprogressive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disease, </w:t>
      </w:r>
      <w:r>
        <w:rPr>
          <w:rFonts w:ascii="Times New Roman" w:hAnsi="Times New Roman" w:cs="Times New Roman"/>
          <w:i/>
          <w:sz w:val="20"/>
          <w:szCs w:val="20"/>
        </w:rPr>
        <w:t>HR</w:t>
      </w:r>
      <w:r>
        <w:rPr>
          <w:rFonts w:ascii="Times New Roman" w:hAnsi="Times New Roman" w:cs="Times New Roman"/>
          <w:sz w:val="20"/>
          <w:szCs w:val="20"/>
        </w:rPr>
        <w:t xml:space="preserve"> hazard ratio, </w:t>
      </w:r>
      <w:r>
        <w:rPr>
          <w:rFonts w:ascii="Times New Roman" w:hAnsi="Times New Roman" w:cs="Times New Roman"/>
          <w:i/>
          <w:sz w:val="20"/>
          <w:szCs w:val="20"/>
        </w:rPr>
        <w:t>CAR</w:t>
      </w:r>
      <w:r>
        <w:rPr>
          <w:rFonts w:ascii="Times New Roman" w:hAnsi="Times New Roman" w:cs="Times New Roman"/>
          <w:sz w:val="20"/>
          <w:szCs w:val="20"/>
        </w:rPr>
        <w:t xml:space="preserve"> C-reactive protein-albumin ratio,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ICB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</w:t>
      </w:r>
      <w:r>
        <w:rPr>
          <w:rFonts w:ascii="Times New Roman" w:eastAsiaTheme="majorHAnsi" w:hAnsi="Times New Roman" w:cs="Times New Roman"/>
          <w:sz w:val="20"/>
          <w:szCs w:val="20"/>
        </w:rPr>
        <w:t xml:space="preserve">mmune checkpoint blockades,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LDH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lactate dehydrogenase,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NLR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neutrophil-to-lymphocyte ratio, </w:t>
      </w:r>
      <w:r>
        <w:rPr>
          <w:rFonts w:ascii="Times New Roman" w:hAnsi="Times New Roman" w:cs="Times New Roman"/>
          <w:i/>
          <w:sz w:val="20"/>
          <w:szCs w:val="20"/>
        </w:rPr>
        <w:t>PLR</w:t>
      </w:r>
      <w:r>
        <w:rPr>
          <w:rFonts w:ascii="Times New Roman" w:hAnsi="Times New Roman" w:cs="Times New Roman"/>
          <w:sz w:val="20"/>
          <w:szCs w:val="20"/>
        </w:rPr>
        <w:t xml:space="preserve"> platelet-to-lymphocyte ratio</w:t>
      </w:r>
    </w:p>
    <w:p w14:paraId="5C56C940" w14:textId="77777777" w:rsidR="008D075D" w:rsidRDefault="008D075D" w:rsidP="008D075D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25D8D74D" w14:textId="77777777" w:rsidR="00CB1A27" w:rsidRDefault="00CB1A27"/>
    <w:sectPr w:rsidR="00CB1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75D"/>
    <w:rsid w:val="008D075D"/>
    <w:rsid w:val="00CB1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0FDA"/>
  <w15:chartTrackingRefBased/>
  <w15:docId w15:val="{3814B6F3-0270-43EF-BAA6-58CBDFDA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075D"/>
    <w:pPr>
      <w:spacing w:after="0" w:line="240" w:lineRule="auto"/>
    </w:pPr>
    <w:rPr>
      <w:rFonts w:ascii="Gulim" w:eastAsia="Gulim" w:hAnsi="Gulim" w:cs="Gulim"/>
      <w:sz w:val="24"/>
      <w:szCs w:val="24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075D"/>
    <w:pPr>
      <w:spacing w:after="0" w:line="240" w:lineRule="auto"/>
      <w:jc w:val="both"/>
    </w:pPr>
    <w:rPr>
      <w:rFonts w:eastAsiaTheme="minorEastAsia"/>
      <w:kern w:val="2"/>
      <w:sz w:val="20"/>
      <w:lang w:eastAsia="ko-K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1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2021-01-05T12:57:00Z</dcterms:created>
  <dcterms:modified xsi:type="dcterms:W3CDTF">2021-01-05T12:57:00Z</dcterms:modified>
</cp:coreProperties>
</file>