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A3F6E6B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noProof/>
          <w:sz w:val="21"/>
          <w:szCs w:val="21"/>
        </w:rPr>
        <w:drawing>
          <wp:inline distT="0" distB="0" distL="0" distR="0" wp14:anchorId="50A107AF" wp14:editId="4CB09F3D">
            <wp:extent cx="5274310" cy="7292340"/>
            <wp:effectExtent l="0" t="0" r="0" b="0"/>
            <wp:docPr id="818109628" name="图片 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8109628" name="图片 9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92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7BDE68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Extended Data Fig. 1|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MVA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 xml:space="preserve">supplementation </w:t>
      </w:r>
      <w:r>
        <w:rPr>
          <w:rFonts w:ascii="Times New Roman" w:hAnsi="Times New Roman" w:cs="Times New Roman"/>
          <w:b/>
          <w:bCs/>
          <w:sz w:val="21"/>
          <w:szCs w:val="21"/>
        </w:rPr>
        <w:t>has no effect on the meiotic process in DOs. a,</w:t>
      </w:r>
      <w:r>
        <w:rPr>
          <w:rFonts w:ascii="Times New Roman" w:hAnsi="Times New Roman" w:cs="Times New Roman"/>
          <w:sz w:val="21"/>
          <w:szCs w:val="21"/>
        </w:rPr>
        <w:t xml:space="preserve"> Rate of germinal vesicle breakdown (GVBD) in the control (CTL) and MVA groups. CTL group: aged COCs cultured in MEMα maturation medium. MVA group: aged COCs cultured in MEMα maturation medium supplemented with 50 µM MVA.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The data are presented as the mean ± SEM </w:t>
      </w:r>
      <w:r>
        <w:rPr>
          <w:rFonts w:ascii="Times New Roman" w:hAnsi="Times New Roman" w:cs="Times New Roman"/>
          <w:sz w:val="21"/>
          <w:szCs w:val="21"/>
        </w:rPr>
        <w:lastRenderedPageBreak/>
        <w:t xml:space="preserve">of five independent experiments. </w:t>
      </w:r>
      <w:r>
        <w:rPr>
          <w:rFonts w:ascii="Times New Roman" w:hAnsi="Times New Roman" w:cs="Times New Roman"/>
          <w:b/>
          <w:bCs/>
          <w:sz w:val="21"/>
          <w:szCs w:val="21"/>
        </w:rPr>
        <w:t>b,</w:t>
      </w:r>
      <w:r>
        <w:rPr>
          <w:rFonts w:ascii="Times New Roman" w:hAnsi="Times New Roman" w:cs="Times New Roman"/>
          <w:sz w:val="21"/>
          <w:szCs w:val="21"/>
        </w:rPr>
        <w:t xml:space="preserve"> Images of oocytes isolated from COCs after maturation</w:t>
      </w:r>
      <w:r>
        <w:rPr>
          <w:rFonts w:ascii="Times New Roman" w:hAnsi="Times New Roman" w:cs="Times New Roman" w:hint="eastAsia"/>
          <w:sz w:val="21"/>
          <w:szCs w:val="21"/>
        </w:rPr>
        <w:t xml:space="preserve"> for</w:t>
      </w:r>
      <w:r>
        <w:rPr>
          <w:rFonts w:ascii="Times New Roman" w:hAnsi="Times New Roman" w:cs="Times New Roman"/>
          <w:sz w:val="21"/>
          <w:szCs w:val="21"/>
        </w:rPr>
        <w:t xml:space="preserve"> 14 h in the CTL and MVA groups. Scale bar, 100 µm. </w:t>
      </w:r>
      <w:r>
        <w:rPr>
          <w:rFonts w:ascii="Times New Roman" w:hAnsi="Times New Roman" w:cs="Times New Roman"/>
          <w:b/>
          <w:bCs/>
          <w:sz w:val="21"/>
          <w:szCs w:val="21"/>
        </w:rPr>
        <w:t>c,</w:t>
      </w:r>
      <w:r>
        <w:rPr>
          <w:rFonts w:ascii="Times New Roman" w:hAnsi="Times New Roman" w:cs="Times New Roman"/>
          <w:sz w:val="21"/>
          <w:szCs w:val="21"/>
        </w:rPr>
        <w:t xml:space="preserve"> Representative images of spindle morphology and chromosome alignment in the CTL and MVA groups. Scale bar, 25 µm. </w:t>
      </w:r>
      <w:r>
        <w:rPr>
          <w:rFonts w:ascii="Times New Roman" w:hAnsi="Times New Roman" w:cs="Times New Roman"/>
          <w:b/>
          <w:bCs/>
          <w:sz w:val="21"/>
          <w:szCs w:val="21"/>
        </w:rPr>
        <w:t>d,</w:t>
      </w:r>
      <w:r>
        <w:rPr>
          <w:rFonts w:ascii="Times New Roman" w:hAnsi="Times New Roman" w:cs="Times New Roman"/>
          <w:sz w:val="21"/>
          <w:szCs w:val="21"/>
        </w:rPr>
        <w:t xml:space="preserve"> Rate of meiotic defects </w:t>
      </w:r>
      <w:r>
        <w:rPr>
          <w:rFonts w:ascii="Times New Roman" w:hAnsi="Times New Roman" w:cs="Times New Roman" w:hint="eastAsia"/>
          <w:sz w:val="21"/>
          <w:szCs w:val="21"/>
        </w:rPr>
        <w:t xml:space="preserve">was analyzed </w:t>
      </w:r>
      <w:r>
        <w:rPr>
          <w:rFonts w:ascii="Times New Roman" w:hAnsi="Times New Roman" w:cs="Times New Roman"/>
          <w:sz w:val="21"/>
          <w:szCs w:val="21"/>
        </w:rPr>
        <w:t>in the CTL and MVA groups. The data are shown as the mean ± SEM of at least three independent experiments.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e,</w:t>
      </w:r>
      <w:r>
        <w:rPr>
          <w:rFonts w:ascii="Times New Roman" w:hAnsi="Times New Roman" w:cs="Times New Roman"/>
          <w:sz w:val="21"/>
          <w:szCs w:val="21"/>
        </w:rPr>
        <w:t xml:space="preserve"> Rate of GVBD in the CTL (control) and MVA groups. CTL group: DOs cultured in MEMα maturation medium; </w:t>
      </w:r>
      <w:r>
        <w:rPr>
          <w:rFonts w:ascii="Times New Roman" w:hAnsi="Times New Roman" w:cs="Times New Roman" w:hint="eastAsia"/>
          <w:sz w:val="21"/>
          <w:szCs w:val="21"/>
        </w:rPr>
        <w:t>MVA</w:t>
      </w:r>
      <w:r>
        <w:rPr>
          <w:rFonts w:ascii="Times New Roman" w:hAnsi="Times New Roman" w:cs="Times New Roman"/>
          <w:sz w:val="21"/>
          <w:szCs w:val="21"/>
        </w:rPr>
        <w:t xml:space="preserve"> group: </w:t>
      </w:r>
      <w:r>
        <w:rPr>
          <w:rFonts w:ascii="Times New Roman" w:hAnsi="Times New Roman" w:cs="Times New Roman" w:hint="eastAsia"/>
          <w:sz w:val="21"/>
          <w:szCs w:val="21"/>
        </w:rPr>
        <w:t>DO</w:t>
      </w:r>
      <w:r>
        <w:rPr>
          <w:rFonts w:ascii="Times New Roman" w:hAnsi="Times New Roman" w:cs="Times New Roman"/>
          <w:sz w:val="21"/>
          <w:szCs w:val="21"/>
        </w:rPr>
        <w:t xml:space="preserve">s cultured in MEMα maturation medium with 50 µM MVA. The data are shown as the mean ± SEM of three independent experiments. </w:t>
      </w:r>
      <w:r>
        <w:rPr>
          <w:rFonts w:ascii="Times New Roman" w:hAnsi="Times New Roman" w:cs="Times New Roman"/>
          <w:b/>
          <w:bCs/>
          <w:sz w:val="21"/>
          <w:szCs w:val="21"/>
        </w:rPr>
        <w:t>f,</w:t>
      </w:r>
      <w:r>
        <w:rPr>
          <w:rFonts w:ascii="Times New Roman" w:hAnsi="Times New Roman" w:cs="Times New Roman"/>
          <w:sz w:val="21"/>
          <w:szCs w:val="21"/>
        </w:rPr>
        <w:t xml:space="preserve"> Images of oocytes after maturation </w:t>
      </w:r>
      <w:r>
        <w:rPr>
          <w:rFonts w:ascii="Times New Roman" w:hAnsi="Times New Roman" w:cs="Times New Roman" w:hint="eastAsia"/>
          <w:sz w:val="21"/>
          <w:szCs w:val="21"/>
        </w:rPr>
        <w:t xml:space="preserve">for </w:t>
      </w:r>
      <w:r>
        <w:rPr>
          <w:rFonts w:ascii="Times New Roman" w:hAnsi="Times New Roman" w:cs="Times New Roman"/>
          <w:sz w:val="21"/>
          <w:szCs w:val="21"/>
        </w:rPr>
        <w:t>14 h in the CTL and M</w:t>
      </w:r>
      <w:r>
        <w:rPr>
          <w:rFonts w:ascii="Times New Roman" w:hAnsi="Times New Roman" w:cs="Times New Roman" w:hint="eastAsia"/>
          <w:sz w:val="21"/>
          <w:szCs w:val="21"/>
        </w:rPr>
        <w:t>VA</w:t>
      </w:r>
      <w:r>
        <w:rPr>
          <w:rFonts w:ascii="Times New Roman" w:hAnsi="Times New Roman" w:cs="Times New Roman"/>
          <w:sz w:val="21"/>
          <w:szCs w:val="21"/>
        </w:rPr>
        <w:t xml:space="preserve"> groups. Scale bar, 200 µm. </w:t>
      </w:r>
      <w:r>
        <w:rPr>
          <w:rFonts w:ascii="Times New Roman" w:hAnsi="Times New Roman" w:cs="Times New Roman"/>
          <w:b/>
          <w:bCs/>
          <w:sz w:val="21"/>
          <w:szCs w:val="21"/>
        </w:rPr>
        <w:t>g,</w:t>
      </w:r>
      <w:r>
        <w:rPr>
          <w:rFonts w:ascii="Times New Roman" w:hAnsi="Times New Roman" w:cs="Times New Roman"/>
          <w:sz w:val="21"/>
          <w:szCs w:val="21"/>
        </w:rPr>
        <w:t xml:space="preserve"> PBE rate was measured in the CTL and MVA groups. The data are shown as the mean ± SEM of three independent experiments. NS, not significant.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h,</w:t>
      </w:r>
      <w:r>
        <w:rPr>
          <w:rFonts w:ascii="Times New Roman" w:hAnsi="Times New Roman" w:cs="Times New Roman"/>
          <w:sz w:val="21"/>
          <w:szCs w:val="21"/>
        </w:rPr>
        <w:t xml:space="preserve"> Representative images of spindle morphology and chromosome alignment in the CTL and MVA groups. Scale bar, 25 µm. </w:t>
      </w:r>
      <w:r>
        <w:rPr>
          <w:rFonts w:ascii="Times New Roman" w:hAnsi="Times New Roman" w:cs="Times New Roman"/>
          <w:b/>
          <w:bCs/>
          <w:sz w:val="21"/>
          <w:szCs w:val="21"/>
        </w:rPr>
        <w:t>i,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Rate of t</w:t>
      </w:r>
      <w:r>
        <w:rPr>
          <w:rFonts w:ascii="Times New Roman" w:hAnsi="Times New Roman" w:cs="Times New Roman"/>
          <w:sz w:val="21"/>
          <w:szCs w:val="21"/>
        </w:rPr>
        <w:t>he meiotic defects w</w:t>
      </w:r>
      <w:r>
        <w:rPr>
          <w:rFonts w:ascii="Times New Roman" w:hAnsi="Times New Roman" w:cs="Times New Roman" w:hint="eastAsia"/>
          <w:sz w:val="21"/>
          <w:szCs w:val="21"/>
        </w:rPr>
        <w:t>as analyzed</w:t>
      </w:r>
      <w:r>
        <w:rPr>
          <w:rFonts w:ascii="Times New Roman" w:hAnsi="Times New Roman" w:cs="Times New Roman"/>
          <w:sz w:val="21"/>
          <w:szCs w:val="21"/>
        </w:rPr>
        <w:t xml:space="preserve"> in the CTL and MVA groups. The data are shown as the mean ± SEM of three independent experiments. NS, not significant. An unpaired two-tailed Student’s </w:t>
      </w:r>
      <w:r>
        <w:rPr>
          <w:rFonts w:ascii="Times New Roman" w:hAnsi="Times New Roman" w:cs="Times New Roman"/>
          <w:i/>
          <w:iCs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test was used for statistical analysis.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>&lt; 0.05.</w:t>
      </w:r>
    </w:p>
    <w:p w14:paraId="111005F7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</w:p>
    <w:p w14:paraId="2EC18177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</w:p>
    <w:p w14:paraId="50907690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</w:p>
    <w:p w14:paraId="51216554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</w:p>
    <w:p w14:paraId="09391A64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</w:p>
    <w:p w14:paraId="6EB61DC1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/>
          <w:sz w:val="21"/>
          <w:szCs w:val="21"/>
        </w:rPr>
      </w:pPr>
      <w:r>
        <w:rPr>
          <w:rFonts w:ascii="Times New Roman" w:hAnsi="Times New Roman" w:cs="Times New Roman"/>
          <w:b/>
          <w:noProof/>
          <w:sz w:val="21"/>
          <w:szCs w:val="21"/>
        </w:rPr>
        <w:lastRenderedPageBreak/>
        <w:drawing>
          <wp:inline distT="0" distB="0" distL="0" distR="0" wp14:anchorId="2ED9C439" wp14:editId="7349891C">
            <wp:extent cx="5274310" cy="4970780"/>
            <wp:effectExtent l="0" t="0" r="0" b="0"/>
            <wp:docPr id="1640226258" name="图片 10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40226258" name="图片 10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97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A0747D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Extended Data Fig. 2| MVA 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injection </w:t>
      </w:r>
      <w:r>
        <w:rPr>
          <w:rFonts w:ascii="Times New Roman" w:hAnsi="Times New Roman" w:cs="Times New Roman"/>
          <w:b/>
          <w:sz w:val="21"/>
          <w:szCs w:val="21"/>
        </w:rPr>
        <w:t>ameliorates aging-related ovarian reserve depletion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i/>
          <w:iCs/>
          <w:sz w:val="21"/>
          <w:szCs w:val="21"/>
        </w:rPr>
        <w:t>in vivo</w:t>
      </w:r>
      <w:r>
        <w:rPr>
          <w:rFonts w:ascii="Times New Roman" w:hAnsi="Times New Roman" w:cs="Times New Roman"/>
          <w:b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a,</w:t>
      </w:r>
      <w:r>
        <w:rPr>
          <w:rFonts w:ascii="Times New Roman" w:hAnsi="Times New Roman" w:cs="Times New Roman"/>
          <w:sz w:val="21"/>
          <w:szCs w:val="21"/>
        </w:rPr>
        <w:t xml:space="preserve"> Body weights of mice in the CTL and MVA groups. CTL group: Nine-</w:t>
      </w:r>
      <w:r>
        <w:rPr>
          <w:rFonts w:ascii="Times New Roman" w:hAnsi="Times New Roman" w:cs="Times New Roman" w:hint="eastAsia"/>
          <w:sz w:val="21"/>
          <w:szCs w:val="21"/>
        </w:rPr>
        <w:t>mont</w:t>
      </w:r>
      <w:r>
        <w:rPr>
          <w:rFonts w:ascii="Times New Roman" w:hAnsi="Times New Roman" w:cs="Times New Roman"/>
          <w:sz w:val="21"/>
          <w:szCs w:val="21"/>
        </w:rPr>
        <w:t>h-old female mice intraperitoneally injected with normal saline. MVA</w:t>
      </w:r>
      <w:r>
        <w:rPr>
          <w:rFonts w:ascii="Times New Roman" w:hAnsi="Times New Roman" w:cs="Times New Roman" w:hint="eastAsia"/>
          <w:sz w:val="21"/>
          <w:szCs w:val="21"/>
        </w:rPr>
        <w:t xml:space="preserve"> injected </w:t>
      </w:r>
      <w:r>
        <w:rPr>
          <w:rFonts w:ascii="Times New Roman" w:hAnsi="Times New Roman" w:cs="Times New Roman"/>
          <w:sz w:val="21"/>
          <w:szCs w:val="21"/>
        </w:rPr>
        <w:t>group, 9-</w:t>
      </w:r>
      <w:r>
        <w:rPr>
          <w:rFonts w:ascii="Times New Roman" w:hAnsi="Times New Roman" w:cs="Times New Roman" w:hint="eastAsia"/>
          <w:sz w:val="21"/>
          <w:szCs w:val="21"/>
        </w:rPr>
        <w:t>month-old</w:t>
      </w:r>
      <w:r>
        <w:rPr>
          <w:rFonts w:ascii="Times New Roman" w:hAnsi="Times New Roman" w:cs="Times New Roman"/>
          <w:sz w:val="21"/>
          <w:szCs w:val="21"/>
        </w:rPr>
        <w:t xml:space="preserve"> female mice intraperitoneally injected with 5 mg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kg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-1</w:t>
      </w:r>
      <w:r>
        <w:rPr>
          <w:rFonts w:ascii="Times New Roman" w:hAnsi="Times New Roman" w:cs="Times New Roman"/>
          <w:sz w:val="21"/>
          <w:szCs w:val="21"/>
        </w:rPr>
        <w:t xml:space="preserve"> MVA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every day. The data are shown as the mean ± SEM of five independent experiments.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b,</w:t>
      </w:r>
      <w:r>
        <w:rPr>
          <w:rFonts w:ascii="Times New Roman" w:hAnsi="Times New Roman" w:cs="Times New Roman"/>
          <w:sz w:val="21"/>
          <w:szCs w:val="21"/>
        </w:rPr>
        <w:t xml:space="preserve"> Micrographs of ovaries from mice in the CTL and MVA </w:t>
      </w:r>
      <w:r>
        <w:rPr>
          <w:rFonts w:ascii="Times New Roman" w:hAnsi="Times New Roman" w:cs="Times New Roman" w:hint="eastAsia"/>
          <w:sz w:val="21"/>
          <w:szCs w:val="21"/>
        </w:rPr>
        <w:t xml:space="preserve">injected </w:t>
      </w:r>
      <w:r>
        <w:rPr>
          <w:rFonts w:ascii="Times New Roman" w:hAnsi="Times New Roman" w:cs="Times New Roman"/>
          <w:sz w:val="21"/>
          <w:szCs w:val="21"/>
        </w:rPr>
        <w:t>groups. Scale bar, 1 mm.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c,</w:t>
      </w:r>
      <w:r>
        <w:rPr>
          <w:rFonts w:ascii="Times New Roman" w:hAnsi="Times New Roman" w:cs="Times New Roman"/>
          <w:sz w:val="21"/>
          <w:szCs w:val="21"/>
        </w:rPr>
        <w:t xml:space="preserve"> HE-stained micrographs of ovaries from the CTL and MVA group mice. The arrowheads denote </w:t>
      </w:r>
      <w:r>
        <w:rPr>
          <w:rFonts w:ascii="Times New Roman" w:hAnsi="Times New Roman" w:cs="Times New Roman" w:hint="eastAsia"/>
          <w:sz w:val="21"/>
          <w:szCs w:val="21"/>
        </w:rPr>
        <w:t>antral</w:t>
      </w:r>
      <w:r>
        <w:rPr>
          <w:rFonts w:ascii="Times New Roman" w:hAnsi="Times New Roman" w:cs="Times New Roman"/>
          <w:sz w:val="21"/>
          <w:szCs w:val="21"/>
        </w:rPr>
        <w:t xml:space="preserve"> follicles</w:t>
      </w:r>
      <w:r>
        <w:rPr>
          <w:rFonts w:ascii="Times New Roman" w:hAnsi="Times New Roman" w:cs="Times New Roman" w:hint="eastAsia"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Scale bar, 500 µm. </w:t>
      </w:r>
      <w:r>
        <w:rPr>
          <w:rFonts w:ascii="Times New Roman" w:hAnsi="Times New Roman" w:cs="Times New Roman"/>
          <w:b/>
          <w:bCs/>
          <w:sz w:val="21"/>
          <w:szCs w:val="21"/>
        </w:rPr>
        <w:t>d,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The</w:t>
      </w:r>
      <w:r>
        <w:rPr>
          <w:rFonts w:ascii="Times New Roman" w:hAnsi="Times New Roman" w:cs="Times New Roman"/>
          <w:sz w:val="21"/>
          <w:szCs w:val="21"/>
        </w:rPr>
        <w:t xml:space="preserve"> number of follicles in the CTL and MVA</w:t>
      </w:r>
      <w:r>
        <w:rPr>
          <w:rFonts w:ascii="Times New Roman" w:hAnsi="Times New Roman" w:cs="Times New Roman" w:hint="eastAsia"/>
          <w:sz w:val="21"/>
          <w:szCs w:val="21"/>
        </w:rPr>
        <w:t xml:space="preserve"> injected </w:t>
      </w:r>
      <w:r>
        <w:rPr>
          <w:rFonts w:ascii="Times New Roman" w:hAnsi="Times New Roman" w:cs="Times New Roman"/>
          <w:sz w:val="21"/>
          <w:szCs w:val="21"/>
        </w:rPr>
        <w:t xml:space="preserve">groups. The data are shown as the mean ± SEM of five independent experiments. </w:t>
      </w:r>
      <w:r>
        <w:rPr>
          <w:rFonts w:ascii="Times New Roman" w:hAnsi="Times New Roman" w:cs="Times New Roman"/>
          <w:b/>
          <w:bCs/>
          <w:sz w:val="21"/>
          <w:szCs w:val="21"/>
        </w:rPr>
        <w:t>e,</w:t>
      </w:r>
      <w:r>
        <w:rPr>
          <w:rFonts w:ascii="Times New Roman" w:hAnsi="Times New Roman" w:cs="Times New Roman"/>
          <w:sz w:val="21"/>
          <w:szCs w:val="21"/>
        </w:rPr>
        <w:t xml:space="preserve"> Representative images of spindle morphology and chromosome alignment in the CTL and MVA </w:t>
      </w:r>
      <w:r>
        <w:rPr>
          <w:rFonts w:ascii="Times New Roman" w:hAnsi="Times New Roman" w:cs="Times New Roman" w:hint="eastAsia"/>
          <w:sz w:val="21"/>
          <w:szCs w:val="21"/>
        </w:rPr>
        <w:t xml:space="preserve">injected </w:t>
      </w:r>
      <w:r>
        <w:rPr>
          <w:rFonts w:ascii="Times New Roman" w:hAnsi="Times New Roman" w:cs="Times New Roman"/>
          <w:sz w:val="21"/>
          <w:szCs w:val="21"/>
        </w:rPr>
        <w:t xml:space="preserve">groups. Scale bar, 25 µm.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f, </w:t>
      </w:r>
      <w:r>
        <w:rPr>
          <w:rFonts w:ascii="Times New Roman" w:hAnsi="Times New Roman" w:cs="Times New Roman" w:hint="eastAsia"/>
          <w:sz w:val="21"/>
          <w:szCs w:val="21"/>
        </w:rPr>
        <w:t>Rate of t</w:t>
      </w:r>
      <w:r>
        <w:rPr>
          <w:rFonts w:ascii="Times New Roman" w:hAnsi="Times New Roman" w:cs="Times New Roman"/>
          <w:sz w:val="21"/>
          <w:szCs w:val="21"/>
        </w:rPr>
        <w:t>he meiotic defects w</w:t>
      </w:r>
      <w:r>
        <w:rPr>
          <w:rFonts w:ascii="Times New Roman" w:hAnsi="Times New Roman" w:cs="Times New Roman" w:hint="eastAsia"/>
          <w:sz w:val="21"/>
          <w:szCs w:val="21"/>
        </w:rPr>
        <w:t>as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analyzed</w:t>
      </w:r>
      <w:r>
        <w:rPr>
          <w:rFonts w:ascii="Times New Roman" w:hAnsi="Times New Roman" w:cs="Times New Roman"/>
          <w:sz w:val="21"/>
          <w:szCs w:val="21"/>
        </w:rPr>
        <w:t xml:space="preserve"> in the CTL and MVA</w:t>
      </w:r>
      <w:r>
        <w:rPr>
          <w:rFonts w:ascii="Times New Roman" w:hAnsi="Times New Roman" w:cs="Times New Roman" w:hint="eastAsia"/>
          <w:sz w:val="21"/>
          <w:szCs w:val="21"/>
        </w:rPr>
        <w:t xml:space="preserve"> injected</w:t>
      </w:r>
      <w:r>
        <w:rPr>
          <w:rFonts w:ascii="Times New Roman" w:hAnsi="Times New Roman" w:cs="Times New Roman"/>
          <w:sz w:val="21"/>
          <w:szCs w:val="21"/>
        </w:rPr>
        <w:t xml:space="preserve"> groups. The data are shown as the mean ± SEM of three independent experiments. An unpaired two-tailed Student’s </w:t>
      </w:r>
      <w:r>
        <w:rPr>
          <w:rFonts w:ascii="Times New Roman" w:hAnsi="Times New Roman" w:cs="Times New Roman"/>
          <w:i/>
          <w:iCs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test was used for statistical analysis.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>&lt; 0.05.</w:t>
      </w:r>
    </w:p>
    <w:p w14:paraId="35A1D785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671DDF2C" wp14:editId="00077953">
            <wp:extent cx="5274310" cy="6831330"/>
            <wp:effectExtent l="0" t="0" r="0" b="1270"/>
            <wp:docPr id="316414123" name="图片 11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414123" name="图片 11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83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5E9AD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Extended Data Fig. 3| RNA-seq analysis of oocytes and GCs 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from aged COCs </w:t>
      </w:r>
      <w:r>
        <w:rPr>
          <w:rFonts w:ascii="Times New Roman" w:hAnsi="Times New Roman" w:cs="Times New Roman"/>
          <w:b/>
          <w:sz w:val="21"/>
          <w:szCs w:val="21"/>
        </w:rPr>
        <w:t>in the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CTL and MVA groups. a,</w:t>
      </w:r>
      <w:r>
        <w:rPr>
          <w:rFonts w:ascii="Times New Roman" w:hAnsi="Times New Roman" w:cs="Times New Roman"/>
          <w:bCs/>
          <w:sz w:val="21"/>
          <w:szCs w:val="21"/>
        </w:rPr>
        <w:t xml:space="preserve"> Volcano plot showing DEGs (downregulated, blue; upregulated, red) in oocytes from the MVA group compared with those from the CTL group. The highly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 expressed</w:t>
      </w:r>
      <w:r>
        <w:rPr>
          <w:rFonts w:ascii="Times New Roman" w:hAnsi="Times New Roman" w:cs="Times New Roman"/>
          <w:bCs/>
          <w:sz w:val="21"/>
          <w:szCs w:val="21"/>
        </w:rPr>
        <w:t xml:space="preserve"> DEGs are listed. </w:t>
      </w:r>
      <w:r>
        <w:rPr>
          <w:rFonts w:ascii="Times New Roman" w:hAnsi="Times New Roman" w:cs="Times New Roman"/>
          <w:b/>
          <w:sz w:val="21"/>
          <w:szCs w:val="21"/>
        </w:rPr>
        <w:t>b,</w:t>
      </w:r>
      <w:r>
        <w:rPr>
          <w:rFonts w:ascii="Times New Roman" w:hAnsi="Times New Roman" w:cs="Times New Roman"/>
          <w:bCs/>
          <w:sz w:val="21"/>
          <w:szCs w:val="21"/>
        </w:rPr>
        <w:t xml:space="preserve"> PCA plot of oocyte gene expression patterns in the CTL and MVA groups separated by PC1 and PC2. </w:t>
      </w:r>
      <w:r>
        <w:rPr>
          <w:rFonts w:ascii="Times New Roman" w:hAnsi="Times New Roman" w:cs="Times New Roman"/>
          <w:b/>
          <w:sz w:val="21"/>
          <w:szCs w:val="21"/>
        </w:rPr>
        <w:t>c,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Cs/>
          <w:sz w:val="21"/>
          <w:szCs w:val="21"/>
        </w:rPr>
        <w:t>KEGG</w:t>
      </w:r>
      <w:r>
        <w:rPr>
          <w:rFonts w:ascii="Times New Roman" w:hAnsi="Times New Roman" w:cs="Times New Roman"/>
          <w:bCs/>
          <w:sz w:val="21"/>
          <w:szCs w:val="21"/>
        </w:rPr>
        <w:t xml:space="preserve"> analysis of the downregulated DEGs in 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CTL and MVA- treated aged </w:t>
      </w:r>
      <w:r>
        <w:rPr>
          <w:rFonts w:ascii="Times New Roman" w:hAnsi="Times New Roman" w:cs="Times New Roman"/>
          <w:bCs/>
          <w:sz w:val="21"/>
          <w:szCs w:val="21"/>
        </w:rPr>
        <w:t>oocytes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 from COCs</w:t>
      </w:r>
      <w:r>
        <w:rPr>
          <w:rFonts w:ascii="Times New Roman" w:hAnsi="Times New Roman" w:cs="Times New Roman"/>
          <w:bCs/>
          <w:sz w:val="21"/>
          <w:szCs w:val="21"/>
        </w:rPr>
        <w:t xml:space="preserve">. </w:t>
      </w:r>
      <w:r>
        <w:rPr>
          <w:rFonts w:ascii="Times New Roman" w:hAnsi="Times New Roman" w:cs="Times New Roman"/>
          <w:b/>
          <w:sz w:val="21"/>
          <w:szCs w:val="21"/>
        </w:rPr>
        <w:t>d,</w:t>
      </w:r>
      <w:r>
        <w:rPr>
          <w:rFonts w:ascii="Times New Roman" w:hAnsi="Times New Roman" w:cs="Times New Roman"/>
          <w:bCs/>
          <w:sz w:val="21"/>
          <w:szCs w:val="21"/>
        </w:rPr>
        <w:t xml:space="preserve"> Volcano plot showing DEGs (downregulated, blue; </w:t>
      </w:r>
      <w:r>
        <w:rPr>
          <w:rFonts w:ascii="Times New Roman" w:hAnsi="Times New Roman" w:cs="Times New Roman"/>
          <w:bCs/>
          <w:sz w:val="21"/>
          <w:szCs w:val="21"/>
        </w:rPr>
        <w:lastRenderedPageBreak/>
        <w:t xml:space="preserve">upregulated, red) in GCs from 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aged COCs in </w:t>
      </w:r>
      <w:r>
        <w:rPr>
          <w:rFonts w:ascii="Times New Roman" w:hAnsi="Times New Roman" w:cs="Times New Roman"/>
          <w:bCs/>
          <w:sz w:val="21"/>
          <w:szCs w:val="21"/>
        </w:rPr>
        <w:t>the MVA</w:t>
      </w:r>
      <w:r>
        <w:rPr>
          <w:rFonts w:ascii="Times New Roman" w:hAnsi="Times New Roman" w:cs="Times New Roman" w:hint="eastAsia"/>
          <w:bCs/>
          <w:sz w:val="21"/>
          <w:szCs w:val="21"/>
        </w:rPr>
        <w:t>-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treated </w:t>
      </w:r>
      <w:r>
        <w:rPr>
          <w:rFonts w:ascii="Times New Roman" w:hAnsi="Times New Roman" w:cs="Times New Roman"/>
          <w:bCs/>
          <w:sz w:val="21"/>
          <w:szCs w:val="21"/>
        </w:rPr>
        <w:t xml:space="preserve">group compared with those in GCs from the CTL group. The highly expressed DEGs are listed. </w:t>
      </w:r>
      <w:r>
        <w:rPr>
          <w:rFonts w:ascii="Times New Roman" w:hAnsi="Times New Roman" w:cs="Times New Roman"/>
          <w:b/>
          <w:sz w:val="21"/>
          <w:szCs w:val="21"/>
        </w:rPr>
        <w:t>e,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Cs/>
          <w:sz w:val="21"/>
          <w:szCs w:val="21"/>
        </w:rPr>
        <w:t>KEGG</w:t>
      </w:r>
      <w:r>
        <w:rPr>
          <w:rFonts w:ascii="Times New Roman" w:hAnsi="Times New Roman" w:cs="Times New Roman"/>
          <w:bCs/>
          <w:sz w:val="21"/>
          <w:szCs w:val="21"/>
        </w:rPr>
        <w:t xml:space="preserve"> analysis of the upregulated DEGs in 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CTL and MVA- treated </w:t>
      </w:r>
      <w:r>
        <w:rPr>
          <w:rFonts w:ascii="Times New Roman" w:hAnsi="Times New Roman" w:cs="Times New Roman"/>
          <w:bCs/>
          <w:sz w:val="21"/>
          <w:szCs w:val="21"/>
        </w:rPr>
        <w:t>GCs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 from COCs</w:t>
      </w:r>
      <w:r>
        <w:rPr>
          <w:rFonts w:ascii="Times New Roman" w:hAnsi="Times New Roman" w:cs="Times New Roman"/>
          <w:bCs/>
          <w:sz w:val="21"/>
          <w:szCs w:val="21"/>
        </w:rPr>
        <w:t xml:space="preserve">. </w:t>
      </w:r>
      <w:r>
        <w:rPr>
          <w:rFonts w:ascii="Times New Roman" w:hAnsi="Times New Roman" w:cs="Times New Roman"/>
          <w:b/>
          <w:sz w:val="21"/>
          <w:szCs w:val="21"/>
        </w:rPr>
        <w:t>f,</w:t>
      </w:r>
      <w:r>
        <w:rPr>
          <w:rFonts w:ascii="Times New Roman" w:hAnsi="Times New Roman" w:cs="Times New Roman"/>
          <w:bCs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bCs/>
          <w:sz w:val="21"/>
          <w:szCs w:val="21"/>
        </w:rPr>
        <w:t>KEGG</w:t>
      </w:r>
      <w:r>
        <w:rPr>
          <w:rFonts w:ascii="Times New Roman" w:hAnsi="Times New Roman" w:cs="Times New Roman"/>
          <w:bCs/>
          <w:sz w:val="21"/>
          <w:szCs w:val="21"/>
        </w:rPr>
        <w:t xml:space="preserve"> analysis of the downregulated DEGs in 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CTL and MVA- treated </w:t>
      </w:r>
      <w:r>
        <w:rPr>
          <w:rFonts w:ascii="Times New Roman" w:hAnsi="Times New Roman" w:cs="Times New Roman"/>
          <w:bCs/>
          <w:sz w:val="21"/>
          <w:szCs w:val="21"/>
        </w:rPr>
        <w:t>GCs</w:t>
      </w:r>
      <w:r>
        <w:rPr>
          <w:rFonts w:ascii="Times New Roman" w:hAnsi="Times New Roman" w:cs="Times New Roman" w:hint="eastAsia"/>
          <w:bCs/>
          <w:sz w:val="21"/>
          <w:szCs w:val="21"/>
        </w:rPr>
        <w:t xml:space="preserve"> from COCs</w:t>
      </w:r>
      <w:r>
        <w:rPr>
          <w:rFonts w:ascii="Times New Roman" w:hAnsi="Times New Roman" w:cs="Times New Roman"/>
          <w:bCs/>
          <w:sz w:val="21"/>
          <w:szCs w:val="21"/>
        </w:rPr>
        <w:t>.</w:t>
      </w:r>
    </w:p>
    <w:p w14:paraId="55725BF3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1F3E6BC5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38B92D06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33010B75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4A215DE5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7D1C0496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36E8EBFF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20B27912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79DB5C6F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6F7617AA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2076D304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0989F67B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0CC17EBD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7627D905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bCs/>
          <w:sz w:val="21"/>
          <w:szCs w:val="21"/>
        </w:rPr>
      </w:pPr>
    </w:p>
    <w:p w14:paraId="71BD9624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9C60C91" wp14:editId="7DDCDEFB">
            <wp:extent cx="5274310" cy="4651375"/>
            <wp:effectExtent l="0" t="0" r="0" b="0"/>
            <wp:docPr id="2048419898" name="图片 19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8419898" name="图片 19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51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5D0B4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Extended Data Fig. 4| MVA </w:t>
      </w:r>
      <w:r>
        <w:rPr>
          <w:rFonts w:ascii="Times New Roman" w:hAnsi="Times New Roman" w:cs="Times New Roman" w:hint="eastAsia"/>
          <w:b/>
          <w:sz w:val="21"/>
          <w:szCs w:val="21"/>
        </w:rPr>
        <w:t>ac</w:t>
      </w:r>
      <w:r>
        <w:rPr>
          <w:rFonts w:ascii="Times New Roman" w:hAnsi="Times New Roman" w:cs="Times New Roman"/>
          <w:b/>
          <w:sz w:val="21"/>
          <w:szCs w:val="21"/>
        </w:rPr>
        <w:t>tivates FPP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synthesis pathway-associated genes in GCs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o</w:t>
      </w:r>
      <w:r>
        <w:rPr>
          <w:rFonts w:ascii="Times New Roman" w:hAnsi="Times New Roman" w:cs="Times New Roman"/>
          <w:b/>
          <w:sz w:val="21"/>
          <w:szCs w:val="21"/>
        </w:rPr>
        <w:t>f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aged COCs</w:t>
      </w:r>
      <w:r>
        <w:rPr>
          <w:rFonts w:ascii="Times New Roman" w:hAnsi="Times New Roman" w:cs="Times New Roman"/>
          <w:b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a,</w:t>
      </w:r>
      <w:r>
        <w:rPr>
          <w:rFonts w:ascii="Times New Roman" w:hAnsi="Times New Roman" w:cs="Times New Roman"/>
          <w:sz w:val="21"/>
          <w:szCs w:val="21"/>
        </w:rPr>
        <w:t xml:space="preserve"> Overview of the MVA pathway</w:t>
      </w:r>
      <w:r>
        <w:rPr>
          <w:rFonts w:ascii="Times New Roman" w:hAnsi="Times New Roman" w:cs="Times New Roman" w:hint="eastAsia"/>
          <w:sz w:val="21"/>
          <w:szCs w:val="21"/>
        </w:rPr>
        <w:t xml:space="preserve"> status after MVA supplement</w:t>
      </w:r>
      <w:r>
        <w:rPr>
          <w:rFonts w:ascii="Times New Roman" w:hAnsi="Times New Roman" w:cs="Times New Roman"/>
          <w:sz w:val="21"/>
          <w:szCs w:val="21"/>
        </w:rPr>
        <w:t>ation</w:t>
      </w:r>
      <w:r>
        <w:rPr>
          <w:rFonts w:ascii="Times New Roman" w:hAnsi="Times New Roman" w:cs="Times New Roman" w:hint="eastAsia"/>
          <w:sz w:val="21"/>
          <w:szCs w:val="21"/>
        </w:rPr>
        <w:t xml:space="preserve"> in GCs from aged COCs</w:t>
      </w:r>
      <w:r>
        <w:rPr>
          <w:rFonts w:ascii="Times New Roman" w:hAnsi="Times New Roman" w:cs="Times New Roman"/>
          <w:sz w:val="21"/>
          <w:szCs w:val="21"/>
        </w:rPr>
        <w:t xml:space="preserve">. The red font denotes upregulated genes. </w:t>
      </w:r>
      <w:r>
        <w:rPr>
          <w:rFonts w:ascii="Times New Roman" w:hAnsi="Times New Roman" w:cs="Times New Roman"/>
          <w:b/>
          <w:bCs/>
          <w:sz w:val="21"/>
          <w:szCs w:val="21"/>
        </w:rPr>
        <w:t>b,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Vi</w:t>
      </w:r>
      <w:r>
        <w:rPr>
          <w:rFonts w:ascii="Times New Roman" w:hAnsi="Times New Roman" w:cs="Times New Roman"/>
          <w:sz w:val="21"/>
          <w:szCs w:val="21"/>
        </w:rPr>
        <w:t xml:space="preserve">olin plot showing the expression levels of </w:t>
      </w:r>
      <w:r>
        <w:rPr>
          <w:rFonts w:ascii="Times New Roman" w:hAnsi="Times New Roman" w:cs="Times New Roman"/>
          <w:i/>
          <w:iCs/>
          <w:sz w:val="21"/>
          <w:szCs w:val="21"/>
        </w:rPr>
        <w:t>ACAT2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 w:val="21"/>
          <w:szCs w:val="21"/>
        </w:rPr>
        <w:t>HMGCS1</w:t>
      </w:r>
      <w:r>
        <w:rPr>
          <w:rFonts w:ascii="Times New Roman" w:hAnsi="Times New Roman" w:cs="Times New Roman"/>
          <w:sz w:val="21"/>
          <w:szCs w:val="21"/>
        </w:rPr>
        <w:t xml:space="preserve">, and </w:t>
      </w:r>
      <w:r>
        <w:rPr>
          <w:rFonts w:ascii="Times New Roman" w:hAnsi="Times New Roman" w:cs="Times New Roman"/>
          <w:i/>
          <w:iCs/>
          <w:sz w:val="21"/>
          <w:szCs w:val="21"/>
        </w:rPr>
        <w:t>HMGCR</w:t>
      </w:r>
      <w:r>
        <w:rPr>
          <w:rFonts w:ascii="Times New Roman" w:hAnsi="Times New Roman" w:cs="Times New Roman"/>
          <w:sz w:val="21"/>
          <w:szCs w:val="21"/>
        </w:rPr>
        <w:t xml:space="preserve"> in CTL- and MVA-treated GCs based on the RNA-seq results. NS, not significant. </w:t>
      </w:r>
      <w:r>
        <w:rPr>
          <w:rFonts w:ascii="Times New Roman" w:hAnsi="Times New Roman" w:cs="Times New Roman"/>
          <w:b/>
          <w:bCs/>
          <w:sz w:val="21"/>
          <w:szCs w:val="21"/>
        </w:rPr>
        <w:t>c,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 w:hint="eastAsia"/>
          <w:sz w:val="21"/>
          <w:szCs w:val="21"/>
        </w:rPr>
        <w:t>Vi</w:t>
      </w:r>
      <w:r>
        <w:rPr>
          <w:rFonts w:ascii="Times New Roman" w:hAnsi="Times New Roman" w:cs="Times New Roman"/>
          <w:sz w:val="21"/>
          <w:szCs w:val="21"/>
        </w:rPr>
        <w:t xml:space="preserve">olin plot showing the expression levels of </w:t>
      </w:r>
      <w:r>
        <w:rPr>
          <w:rFonts w:ascii="Times New Roman" w:hAnsi="Times New Roman" w:cs="Times New Roman"/>
          <w:i/>
          <w:iCs/>
          <w:sz w:val="21"/>
          <w:szCs w:val="21"/>
        </w:rPr>
        <w:t>GGPPS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 w:val="21"/>
          <w:szCs w:val="21"/>
        </w:rPr>
        <w:t>SQLE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 w:val="21"/>
          <w:szCs w:val="21"/>
        </w:rPr>
        <w:t>LSS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 w:val="21"/>
          <w:szCs w:val="21"/>
        </w:rPr>
        <w:t>CYP51A1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 w:val="21"/>
          <w:szCs w:val="21"/>
        </w:rPr>
        <w:t>TM7SF2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 w:val="21"/>
          <w:szCs w:val="21"/>
        </w:rPr>
        <w:t>MSMO1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 w:val="21"/>
          <w:szCs w:val="21"/>
        </w:rPr>
        <w:t>NSDHL</w:t>
      </w:r>
      <w:r>
        <w:rPr>
          <w:rFonts w:ascii="Times New Roman" w:hAnsi="Times New Roman" w:cs="Times New Roman"/>
          <w:sz w:val="21"/>
          <w:szCs w:val="21"/>
        </w:rPr>
        <w:t xml:space="preserve">, </w:t>
      </w:r>
      <w:r>
        <w:rPr>
          <w:rFonts w:ascii="Times New Roman" w:hAnsi="Times New Roman" w:cs="Times New Roman"/>
          <w:i/>
          <w:iCs/>
          <w:sz w:val="21"/>
          <w:szCs w:val="21"/>
        </w:rPr>
        <w:t>DHCR7</w:t>
      </w:r>
      <w:r>
        <w:rPr>
          <w:rFonts w:ascii="Times New Roman" w:hAnsi="Times New Roman" w:cs="Times New Roman"/>
          <w:sz w:val="21"/>
          <w:szCs w:val="21"/>
        </w:rPr>
        <w:t xml:space="preserve">, and </w:t>
      </w:r>
      <w:r>
        <w:rPr>
          <w:rFonts w:ascii="Times New Roman" w:hAnsi="Times New Roman" w:cs="Times New Roman"/>
          <w:i/>
          <w:iCs/>
          <w:sz w:val="21"/>
          <w:szCs w:val="21"/>
        </w:rPr>
        <w:t>DHCR24</w:t>
      </w:r>
      <w:r>
        <w:rPr>
          <w:rFonts w:ascii="Times New Roman" w:hAnsi="Times New Roman" w:cs="Times New Roman"/>
          <w:sz w:val="21"/>
          <w:szCs w:val="21"/>
        </w:rPr>
        <w:t xml:space="preserve"> in CTL and MVA-treated GCs based on the RNA-seq results. NS, not significant. </w:t>
      </w:r>
      <w:r>
        <w:rPr>
          <w:rFonts w:ascii="Times New Roman" w:hAnsi="Times New Roman" w:cs="Times New Roman"/>
          <w:b/>
          <w:bCs/>
          <w:sz w:val="21"/>
          <w:szCs w:val="21"/>
        </w:rPr>
        <w:t>d,</w:t>
      </w:r>
      <w:r>
        <w:rPr>
          <w:rFonts w:ascii="Times New Roman" w:hAnsi="Times New Roman" w:cs="Times New Roman"/>
          <w:sz w:val="21"/>
          <w:szCs w:val="21"/>
        </w:rPr>
        <w:t xml:space="preserve"> The protein levels of MVK and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FDPS in MVA-treated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KGN cells. The data are shown as the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mean ± SEM of three independent experiments. An unpaired two-tailed Student’s </w:t>
      </w:r>
      <w:r>
        <w:rPr>
          <w:rFonts w:ascii="Times New Roman" w:hAnsi="Times New Roman" w:cs="Times New Roman"/>
          <w:i/>
          <w:iCs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test was used for statistical analysis.</w:t>
      </w:r>
      <w:r>
        <w:rPr>
          <w:rFonts w:ascii="Times New Roman" w:hAnsi="Times New Roman" w:cs="Times New Roman"/>
          <w:sz w:val="21"/>
          <w:szCs w:val="21"/>
          <w:vertAlign w:val="superscript"/>
        </w:rPr>
        <w:t xml:space="preserve"> 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 xml:space="preserve">&lt; 0.05 or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****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>&lt; 0.0001.</w:t>
      </w:r>
    </w:p>
    <w:p w14:paraId="589432FA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48747364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D633587" wp14:editId="020936B7">
            <wp:extent cx="5274310" cy="5901055"/>
            <wp:effectExtent l="0" t="0" r="0" b="4445"/>
            <wp:docPr id="377675400" name="图片 13" descr="图形用户界面, 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7675400" name="图片 13" descr="图形用户界面, 图示&#10;&#10;描述已自动生成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901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7BA39D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Extended Data Fig. 5| The addition of alkyne groups does not affect the activity of FOH. a,</w:t>
      </w:r>
      <w:r>
        <w:rPr>
          <w:rFonts w:ascii="Times New Roman" w:hAnsi="Times New Roman" w:cs="Times New Roman"/>
          <w:sz w:val="21"/>
          <w:szCs w:val="21"/>
        </w:rPr>
        <w:t xml:space="preserve"> Representative images of spindle morphology and chromosome alignment in the CTL, MVA, MVA+FTI, and FOH groups.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CTL group: Old COCs cultured in MEMα maturation medium; MVA group: Old COCs cultured in MEMα maturation medium supplemented with 50 µM MVA; MVA+FTI group: Old COCs cultured in MEMα maturation medium supplemented with 50 µM MVA and 10 µM FTI-277; FOH group: Old COCs cultured in MEMα maturation medium supplemented with 10 µM FOH. Scale bar, 25 µm.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b, </w:t>
      </w:r>
      <w:r>
        <w:rPr>
          <w:rFonts w:ascii="Times New Roman" w:hAnsi="Times New Roman" w:cs="Times New Roman" w:hint="eastAsia"/>
          <w:sz w:val="21"/>
          <w:szCs w:val="21"/>
        </w:rPr>
        <w:t>Rate of t</w:t>
      </w:r>
      <w:r>
        <w:rPr>
          <w:rFonts w:ascii="Times New Roman" w:hAnsi="Times New Roman" w:cs="Times New Roman"/>
          <w:sz w:val="21"/>
          <w:szCs w:val="21"/>
        </w:rPr>
        <w:t xml:space="preserve">he meiotic defects were </w:t>
      </w:r>
      <w:r>
        <w:rPr>
          <w:rFonts w:ascii="Times New Roman" w:hAnsi="Times New Roman" w:cs="Times New Roman" w:hint="eastAsia"/>
          <w:sz w:val="21"/>
          <w:szCs w:val="21"/>
        </w:rPr>
        <w:t>analyzed</w:t>
      </w:r>
      <w:r>
        <w:rPr>
          <w:rFonts w:ascii="Times New Roman" w:hAnsi="Times New Roman" w:cs="Times New Roman"/>
          <w:sz w:val="21"/>
          <w:szCs w:val="21"/>
        </w:rPr>
        <w:t xml:space="preserve"> in the CTL, MVA, MVA+FTI, and FOH groups. The data are shown as the mean ± SEM of three independent experiments. </w:t>
      </w:r>
      <w:r>
        <w:rPr>
          <w:rFonts w:ascii="Times New Roman" w:hAnsi="Times New Roman" w:cs="Times New Roman"/>
          <w:b/>
          <w:bCs/>
          <w:sz w:val="21"/>
          <w:szCs w:val="21"/>
        </w:rPr>
        <w:t>c,</w:t>
      </w:r>
      <w:r>
        <w:rPr>
          <w:rFonts w:ascii="Times New Roman" w:hAnsi="Times New Roman" w:cs="Times New Roman"/>
          <w:sz w:val="21"/>
          <w:szCs w:val="21"/>
        </w:rPr>
        <w:t xml:space="preserve"> Schematic of the metabolic labelling of KGN cells with alk-FOH and </w:t>
      </w:r>
      <w:r>
        <w:rPr>
          <w:rFonts w:ascii="Times New Roman" w:hAnsi="Times New Roman" w:cs="Times New Roman"/>
          <w:sz w:val="21"/>
          <w:szCs w:val="21"/>
        </w:rPr>
        <w:lastRenderedPageBreak/>
        <w:t xml:space="preserve">subsequent CuAAC ligation with biorthogonal detection tags for imaging or proteomics. </w:t>
      </w:r>
      <w:r>
        <w:rPr>
          <w:rFonts w:ascii="Times New Roman" w:hAnsi="Times New Roman" w:cs="Times New Roman"/>
          <w:b/>
          <w:bCs/>
          <w:sz w:val="21"/>
          <w:szCs w:val="21"/>
        </w:rPr>
        <w:t>d,</w:t>
      </w:r>
      <w:r>
        <w:rPr>
          <w:rFonts w:ascii="Times New Roman" w:hAnsi="Times New Roman" w:cs="Times New Roman"/>
          <w:sz w:val="21"/>
          <w:szCs w:val="21"/>
        </w:rPr>
        <w:t xml:space="preserve"> Western blot</w:t>
      </w:r>
      <w:r>
        <w:rPr>
          <w:rFonts w:ascii="Times New Roman" w:hAnsi="Times New Roman" w:cs="Times New Roman" w:hint="eastAsia"/>
          <w:sz w:val="21"/>
          <w:szCs w:val="21"/>
        </w:rPr>
        <w:t>ting</w:t>
      </w:r>
      <w:r>
        <w:rPr>
          <w:rFonts w:ascii="Times New Roman" w:hAnsi="Times New Roman" w:cs="Times New Roman"/>
          <w:sz w:val="21"/>
          <w:szCs w:val="21"/>
        </w:rPr>
        <w:t xml:space="preserve"> analysis showing prenylated proteins in KGN cells treated with alk-FOH (50 µM) </w:t>
      </w:r>
      <w:r>
        <w:rPr>
          <w:rFonts w:ascii="Times New Roman" w:hAnsi="Times New Roman" w:cs="Times New Roman" w:hint="eastAsia"/>
          <w:sz w:val="21"/>
          <w:szCs w:val="21"/>
        </w:rPr>
        <w:t>with or without</w:t>
      </w:r>
      <w:r>
        <w:rPr>
          <w:rFonts w:ascii="Times New Roman" w:hAnsi="Times New Roman" w:cs="Times New Roman"/>
          <w:sz w:val="21"/>
          <w:szCs w:val="21"/>
        </w:rPr>
        <w:t xml:space="preserve"> FOH (50 µM). </w:t>
      </w:r>
      <w:r>
        <w:rPr>
          <w:rFonts w:ascii="Times New Roman" w:hAnsi="Times New Roman" w:cs="Times New Roman"/>
          <w:b/>
          <w:bCs/>
          <w:sz w:val="21"/>
          <w:szCs w:val="21"/>
        </w:rPr>
        <w:t>e,</w:t>
      </w:r>
      <w:r>
        <w:rPr>
          <w:rFonts w:ascii="Times New Roman" w:hAnsi="Times New Roman" w:cs="Times New Roman"/>
          <w:sz w:val="21"/>
          <w:szCs w:val="21"/>
        </w:rPr>
        <w:t xml:space="preserve"> Fluorescence imaging of DOs after incubation with 50 µM alk-FOH for 14 h. Scale bar, 5 µm. </w:t>
      </w:r>
      <w:r>
        <w:rPr>
          <w:rFonts w:ascii="Times New Roman" w:hAnsi="Times New Roman" w:cs="Times New Roman"/>
          <w:b/>
          <w:bCs/>
          <w:sz w:val="21"/>
          <w:szCs w:val="21"/>
        </w:rPr>
        <w:t>f,</w:t>
      </w:r>
      <w:r>
        <w:rPr>
          <w:rFonts w:ascii="Times New Roman" w:hAnsi="Times New Roman" w:cs="Times New Roman"/>
          <w:sz w:val="21"/>
          <w:szCs w:val="21"/>
        </w:rPr>
        <w:t xml:space="preserve"> Fluorescence imaging 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howing the alk-FOH signals in the gap junction from COCs in the CTL group. Scale bar, 5 µm. An unpaired two-tailed Student’s </w:t>
      </w:r>
      <w:r>
        <w:rPr>
          <w:rFonts w:ascii="Times New Roman" w:hAnsi="Times New Roman" w:cs="Times New Roman"/>
          <w:i/>
          <w:iCs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test was used for statistical analysis.</w:t>
      </w:r>
      <w:r>
        <w:rPr>
          <w:rFonts w:ascii="Times New Roman" w:hAnsi="Times New Roman" w:cs="Times New Roman"/>
          <w:sz w:val="21"/>
          <w:szCs w:val="21"/>
          <w:vertAlign w:val="superscript"/>
        </w:rPr>
        <w:t xml:space="preserve"> **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 xml:space="preserve">&lt; 0.01,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***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 xml:space="preserve">&lt; 0.001, or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****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>&lt; 0.0001.</w:t>
      </w:r>
    </w:p>
    <w:p w14:paraId="4040812C" w14:textId="77777777" w:rsidR="007E67C6" w:rsidRDefault="007E67C6" w:rsidP="007E67C6">
      <w:pPr>
        <w:spacing w:line="360" w:lineRule="auto"/>
        <w:jc w:val="both"/>
        <w:rPr>
          <w:rFonts w:ascii="Times New Roman" w:hAnsi="Times New Roman" w:cs="Times New Roman"/>
          <w:sz w:val="21"/>
          <w:szCs w:val="21"/>
        </w:rPr>
      </w:pPr>
    </w:p>
    <w:p w14:paraId="05A8453D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2374D6E1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54644589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25CC83C5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</w:p>
    <w:p w14:paraId="31E7DEBB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684C693" wp14:editId="1EC2C2CF">
            <wp:extent cx="5274310" cy="5581650"/>
            <wp:effectExtent l="0" t="0" r="0" b="6350"/>
            <wp:docPr id="1375017739" name="图片 14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017739" name="图片 14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58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86E52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Extended Data Fig. 6| Identification of putative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sz w:val="21"/>
          <w:szCs w:val="21"/>
        </w:rPr>
        <w:t>prenylated proteins. a,</w:t>
      </w:r>
      <w:r>
        <w:rPr>
          <w:rFonts w:ascii="Times New Roman" w:hAnsi="Times New Roman" w:cs="Times New Roman"/>
          <w:sz w:val="21"/>
          <w:szCs w:val="21"/>
        </w:rPr>
        <w:t xml:space="preserve"> Fluorescence imaging of KGN cells after incubation with 50 µM alk-FOH for 24 h. Scale bar, 50 µm. </w:t>
      </w:r>
      <w:r>
        <w:rPr>
          <w:rFonts w:ascii="Times New Roman" w:hAnsi="Times New Roman" w:cs="Times New Roman"/>
          <w:b/>
          <w:bCs/>
          <w:sz w:val="21"/>
          <w:szCs w:val="21"/>
        </w:rPr>
        <w:t>b,</w:t>
      </w:r>
      <w:r>
        <w:rPr>
          <w:rFonts w:ascii="Times New Roman" w:hAnsi="Times New Roman" w:cs="Times New Roman"/>
          <w:sz w:val="21"/>
          <w:szCs w:val="21"/>
        </w:rPr>
        <w:t xml:space="preserve"> The number of proteins labelled by alk-FOH with a carboxyl-terminal CaaX/Rab motif or </w:t>
      </w:r>
      <w:r>
        <w:rPr>
          <w:rFonts w:ascii="Times New Roman" w:hAnsi="Times New Roman" w:cs="Times New Roman" w:hint="eastAsia"/>
          <w:sz w:val="21"/>
          <w:szCs w:val="21"/>
        </w:rPr>
        <w:t>without the motif</w:t>
      </w:r>
      <w:r>
        <w:rPr>
          <w:rFonts w:ascii="Times New Roman" w:hAnsi="Times New Roman" w:cs="Times New Roman"/>
          <w:sz w:val="21"/>
          <w:szCs w:val="21"/>
        </w:rPr>
        <w:t xml:space="preserve">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c, </w:t>
      </w:r>
      <w:r>
        <w:rPr>
          <w:rFonts w:ascii="Times New Roman" w:hAnsi="Times New Roman" w:cs="Times New Roman"/>
          <w:sz w:val="21"/>
          <w:szCs w:val="21"/>
        </w:rPr>
        <w:t xml:space="preserve">Protein localization of identified proteins predicted by UniProt analysis.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d, </w:t>
      </w:r>
      <w:r>
        <w:rPr>
          <w:rFonts w:ascii="Times New Roman" w:hAnsi="Times New Roman" w:cs="Times New Roman"/>
          <w:sz w:val="21"/>
          <w:szCs w:val="21"/>
        </w:rPr>
        <w:t>Overlap of identified protein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with a carboxyl-terminal C</w:t>
      </w:r>
      <w:r>
        <w:rPr>
          <w:rFonts w:ascii="Times New Roman" w:hAnsi="Times New Roman" w:cs="Times New Roman" w:hint="eastAsia"/>
          <w:sz w:val="21"/>
          <w:szCs w:val="21"/>
        </w:rPr>
        <w:t>aa</w:t>
      </w:r>
      <w:r>
        <w:rPr>
          <w:rFonts w:ascii="Times New Roman" w:hAnsi="Times New Roman" w:cs="Times New Roman"/>
          <w:sz w:val="21"/>
          <w:szCs w:val="21"/>
        </w:rPr>
        <w:t xml:space="preserve">X or Rab motif and </w:t>
      </w:r>
      <w:r>
        <w:rPr>
          <w:rFonts w:ascii="Times New Roman" w:hAnsi="Times New Roman" w:cs="Times New Roman" w:hint="eastAsia"/>
          <w:sz w:val="21"/>
          <w:szCs w:val="21"/>
        </w:rPr>
        <w:t xml:space="preserve">proteins </w:t>
      </w:r>
      <w:r>
        <w:rPr>
          <w:rFonts w:ascii="Times New Roman" w:hAnsi="Times New Roman" w:cs="Times New Roman"/>
          <w:sz w:val="21"/>
          <w:szCs w:val="21"/>
        </w:rPr>
        <w:t xml:space="preserve">located </w:t>
      </w:r>
      <w:r>
        <w:rPr>
          <w:rFonts w:ascii="Times New Roman" w:hAnsi="Times New Roman" w:cs="Times New Roman" w:hint="eastAsia"/>
          <w:sz w:val="21"/>
          <w:szCs w:val="21"/>
        </w:rPr>
        <w:t xml:space="preserve">on </w:t>
      </w:r>
      <w:r>
        <w:rPr>
          <w:rFonts w:ascii="Times New Roman" w:hAnsi="Times New Roman" w:cs="Times New Roman"/>
          <w:sz w:val="21"/>
          <w:szCs w:val="21"/>
        </w:rPr>
        <w:t xml:space="preserve">the cell membrane.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e, </w:t>
      </w:r>
      <w:r>
        <w:rPr>
          <w:rFonts w:ascii="Times New Roman" w:hAnsi="Times New Roman" w:cs="Times New Roman" w:hint="eastAsia"/>
          <w:sz w:val="21"/>
          <w:szCs w:val="21"/>
        </w:rPr>
        <w:t>P</w:t>
      </w:r>
      <w:r>
        <w:rPr>
          <w:rFonts w:ascii="Times New Roman" w:hAnsi="Times New Roman" w:cs="Times New Roman"/>
          <w:sz w:val="21"/>
          <w:szCs w:val="21"/>
        </w:rPr>
        <w:t xml:space="preserve">roteins labelled with alk-FOH with a carboxyl-terminal CaaX/Rab motif and located </w:t>
      </w:r>
      <w:r>
        <w:rPr>
          <w:rFonts w:ascii="Times New Roman" w:hAnsi="Times New Roman" w:cs="Times New Roman" w:hint="eastAsia"/>
          <w:sz w:val="21"/>
          <w:szCs w:val="21"/>
        </w:rPr>
        <w:t>on</w:t>
      </w:r>
      <w:r>
        <w:rPr>
          <w:rFonts w:ascii="Times New Roman" w:hAnsi="Times New Roman" w:cs="Times New Roman"/>
          <w:sz w:val="21"/>
          <w:szCs w:val="21"/>
        </w:rPr>
        <w:t xml:space="preserve"> the cell membrane. </w:t>
      </w:r>
    </w:p>
    <w:p w14:paraId="068D1716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30B83BAB" wp14:editId="26D5D901">
            <wp:extent cx="5274310" cy="3567430"/>
            <wp:effectExtent l="0" t="0" r="0" b="1270"/>
            <wp:docPr id="615055215" name="图片 15" descr="图形用户界面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5055215" name="图片 15" descr="图形用户界面&#10;&#10;中度可信度描述已自动生成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674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BB4B8E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Extended Data Fig. 7| MVA induces 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cortical </w:t>
      </w:r>
      <w:r>
        <w:rPr>
          <w:rFonts w:ascii="Times New Roman" w:hAnsi="Times New Roman" w:cs="Times New Roman"/>
          <w:b/>
          <w:sz w:val="21"/>
          <w:szCs w:val="21"/>
        </w:rPr>
        <w:t>localization of CDC42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 and </w:t>
      </w:r>
      <w:r>
        <w:rPr>
          <w:rFonts w:ascii="Times New Roman" w:hAnsi="Times New Roman" w:cs="Times New Roman"/>
          <w:b/>
          <w:sz w:val="21"/>
          <w:szCs w:val="21"/>
        </w:rPr>
        <w:t>RAC1 via prenylation. a,</w:t>
      </w:r>
      <w:r>
        <w:rPr>
          <w:rFonts w:ascii="Times New Roman" w:hAnsi="Times New Roman" w:cs="Times New Roman"/>
          <w:sz w:val="21"/>
          <w:szCs w:val="21"/>
        </w:rPr>
        <w:t xml:space="preserve"> Fluorescence imaging showing CDC42 expression in oocytes from the Old, Old+MVA, and Old+MVA+FTI groups. Scale bar, </w:t>
      </w:r>
      <w:r>
        <w:rPr>
          <w:rFonts w:ascii="Times New Roman" w:hAnsi="Times New Roman" w:cs="Times New Roman" w:hint="eastAsia"/>
          <w:sz w:val="21"/>
          <w:szCs w:val="21"/>
        </w:rPr>
        <w:t>25</w:t>
      </w:r>
      <w:r>
        <w:rPr>
          <w:rFonts w:ascii="Times New Roman" w:hAnsi="Times New Roman" w:cs="Times New Roman"/>
          <w:sz w:val="21"/>
          <w:szCs w:val="21"/>
        </w:rPr>
        <w:t xml:space="preserve"> µm. </w:t>
      </w:r>
      <w:r>
        <w:rPr>
          <w:rFonts w:ascii="Times New Roman" w:hAnsi="Times New Roman" w:cs="Times New Roman"/>
          <w:b/>
          <w:bCs/>
          <w:sz w:val="21"/>
          <w:szCs w:val="21"/>
        </w:rPr>
        <w:t>b,</w:t>
      </w:r>
      <w:r>
        <w:rPr>
          <w:rFonts w:ascii="Times New Roman" w:hAnsi="Times New Roman" w:cs="Times New Roman"/>
          <w:sz w:val="21"/>
          <w:szCs w:val="21"/>
        </w:rPr>
        <w:t xml:space="preserve"> CDC42 fluorescence intensity in the Old (n=11), Old+MVA (n=11), and Old+MVA+FTI (n=11) groups. 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c, </w:t>
      </w:r>
      <w:r>
        <w:rPr>
          <w:rFonts w:ascii="Times New Roman" w:hAnsi="Times New Roman" w:cs="Times New Roman"/>
          <w:sz w:val="21"/>
          <w:szCs w:val="21"/>
        </w:rPr>
        <w:t xml:space="preserve">Fluorescence imaging showing RAC1 expression </w:t>
      </w:r>
      <w:r>
        <w:rPr>
          <w:rFonts w:ascii="Times New Roman" w:hAnsi="Times New Roman" w:cs="Times New Roman" w:hint="eastAsia"/>
          <w:sz w:val="21"/>
          <w:szCs w:val="21"/>
        </w:rPr>
        <w:t>in</w:t>
      </w:r>
      <w:r>
        <w:rPr>
          <w:rFonts w:ascii="Times New Roman" w:hAnsi="Times New Roman" w:cs="Times New Roman"/>
          <w:sz w:val="21"/>
          <w:szCs w:val="21"/>
        </w:rPr>
        <w:t xml:space="preserve"> oocytes from the Old, Old+MVA, and Old+MVA+FTI groups. Scale bar, </w:t>
      </w:r>
      <w:r>
        <w:rPr>
          <w:rFonts w:ascii="Times New Roman" w:hAnsi="Times New Roman" w:cs="Times New Roman" w:hint="eastAsia"/>
          <w:sz w:val="21"/>
          <w:szCs w:val="21"/>
        </w:rPr>
        <w:t>25</w:t>
      </w:r>
      <w:r>
        <w:rPr>
          <w:rFonts w:ascii="Times New Roman" w:hAnsi="Times New Roman" w:cs="Times New Roman"/>
          <w:sz w:val="21"/>
          <w:szCs w:val="21"/>
        </w:rPr>
        <w:t xml:space="preserve"> µm.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d,</w:t>
      </w:r>
      <w:r>
        <w:rPr>
          <w:rFonts w:ascii="Times New Roman" w:hAnsi="Times New Roman" w:cs="Times New Roman"/>
          <w:sz w:val="21"/>
          <w:szCs w:val="21"/>
        </w:rPr>
        <w:t xml:space="preserve"> RAC1 fluorescence intensity in the Old (n=13), Old+MVA (n=13), and Old+MVA+FTI (n=14) groups. </w:t>
      </w:r>
      <w:r>
        <w:rPr>
          <w:rFonts w:ascii="Times New Roman" w:hAnsi="Times New Roman" w:cs="Times New Roman"/>
          <w:b/>
          <w:bCs/>
          <w:sz w:val="21"/>
          <w:szCs w:val="21"/>
        </w:rPr>
        <w:t>e,</w:t>
      </w:r>
      <w:r>
        <w:rPr>
          <w:rFonts w:ascii="Times New Roman" w:hAnsi="Times New Roman" w:cs="Times New Roman"/>
          <w:sz w:val="21"/>
          <w:szCs w:val="21"/>
        </w:rPr>
        <w:t xml:space="preserve"> Representative images of CDC42 distribution in oocytes injected with CDC42 mRNA or </w:t>
      </w:r>
      <w:r>
        <w:rPr>
          <w:rFonts w:ascii="Times New Roman" w:hAnsi="Times New Roman" w:cs="Times New Roman" w:hint="eastAsia"/>
          <w:sz w:val="21"/>
          <w:szCs w:val="21"/>
        </w:rPr>
        <w:t>CDC42</w:t>
      </w:r>
      <w:r>
        <w:rPr>
          <w:rFonts w:ascii="Times New Roman" w:hAnsi="Times New Roman" w:cs="Times New Roman" w:hint="eastAsia"/>
          <w:sz w:val="21"/>
          <w:szCs w:val="21"/>
          <w:vertAlign w:val="superscript"/>
        </w:rPr>
        <w:t>C188Y</w:t>
      </w:r>
      <w:r>
        <w:rPr>
          <w:rFonts w:ascii="Times New Roman" w:hAnsi="Times New Roman" w:cs="Times New Roman" w:hint="eastAsia"/>
          <w:sz w:val="21"/>
          <w:szCs w:val="21"/>
        </w:rPr>
        <w:t>(M-CDC42)</w:t>
      </w:r>
      <w:r>
        <w:rPr>
          <w:rFonts w:ascii="Times New Roman" w:hAnsi="Times New Roman" w:cs="Times New Roman"/>
          <w:sz w:val="21"/>
          <w:szCs w:val="21"/>
        </w:rPr>
        <w:t xml:space="preserve"> mRNA. </w:t>
      </w:r>
      <w:r>
        <w:rPr>
          <w:rFonts w:ascii="Times New Roman" w:hAnsi="Times New Roman" w:cs="Times New Roman"/>
          <w:b/>
          <w:bCs/>
          <w:sz w:val="21"/>
          <w:szCs w:val="21"/>
        </w:rPr>
        <w:t>f,</w:t>
      </w:r>
      <w:r>
        <w:rPr>
          <w:rFonts w:ascii="Times New Roman" w:hAnsi="Times New Roman" w:cs="Times New Roman"/>
          <w:sz w:val="21"/>
          <w:szCs w:val="21"/>
        </w:rPr>
        <w:t xml:space="preserve"> Representative images of RAC1 distribution in oocytes injected with RAC1 mRNA or RAC1</w:t>
      </w:r>
      <w:r>
        <w:rPr>
          <w:rFonts w:ascii="Times New Roman" w:hAnsi="Times New Roman" w:cs="Times New Roman" w:hint="eastAsia"/>
          <w:sz w:val="21"/>
          <w:szCs w:val="21"/>
          <w:vertAlign w:val="superscript"/>
        </w:rPr>
        <w:t>C188Y</w:t>
      </w:r>
      <w:r>
        <w:rPr>
          <w:rFonts w:ascii="Times New Roman" w:hAnsi="Times New Roman" w:cs="Times New Roman" w:hint="eastAsia"/>
          <w:sz w:val="21"/>
          <w:szCs w:val="21"/>
        </w:rPr>
        <w:t>(M-</w:t>
      </w:r>
      <w:r>
        <w:rPr>
          <w:rFonts w:ascii="Times New Roman" w:hAnsi="Times New Roman" w:cs="Times New Roman"/>
          <w:sz w:val="21"/>
          <w:szCs w:val="21"/>
        </w:rPr>
        <w:t>RAC1</w:t>
      </w:r>
      <w:r>
        <w:rPr>
          <w:rFonts w:ascii="Times New Roman" w:hAnsi="Times New Roman" w:cs="Times New Roman" w:hint="eastAsia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mRNA.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An unpaired two-tailed Student’s </w:t>
      </w:r>
      <w:r>
        <w:rPr>
          <w:rFonts w:ascii="Times New Roman" w:hAnsi="Times New Roman" w:cs="Times New Roman"/>
          <w:i/>
          <w:iCs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test was used for statistical analysis.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 xml:space="preserve">&lt; 0.05,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 xml:space="preserve">&lt; 0.01, and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***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>&lt; 0.001.</w:t>
      </w:r>
    </w:p>
    <w:p w14:paraId="454E7900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4F2B295" wp14:editId="1DB9F950">
            <wp:extent cx="5274310" cy="7138670"/>
            <wp:effectExtent l="0" t="0" r="0" b="0"/>
            <wp:docPr id="1621835062" name="图片 16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1835062" name="图片 16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38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84DCEC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>Extended Data Fig. 8|</w:t>
      </w:r>
      <w:r>
        <w:rPr>
          <w:rFonts w:ascii="Times New Roman" w:hAnsi="Times New Roman" w:cs="Times New Roman"/>
          <w:b/>
          <w:bCs/>
          <w:sz w:val="21"/>
          <w:szCs w:val="21"/>
        </w:rPr>
        <w:t xml:space="preserve"> 8-IPF </w:t>
      </w:r>
      <w:r>
        <w:rPr>
          <w:rFonts w:ascii="Times New Roman" w:hAnsi="Times New Roman" w:cs="Times New Roman" w:hint="eastAsia"/>
          <w:b/>
          <w:bCs/>
          <w:sz w:val="21"/>
          <w:szCs w:val="21"/>
        </w:rPr>
        <w:t>am</w:t>
      </w:r>
      <w:r>
        <w:rPr>
          <w:rFonts w:ascii="Times New Roman" w:hAnsi="Times New Roman" w:cs="Times New Roman"/>
          <w:b/>
          <w:bCs/>
          <w:sz w:val="21"/>
          <w:szCs w:val="21"/>
        </w:rPr>
        <w:t>eliorates ovarian reserve and embryo development in aged mice</w:t>
      </w:r>
      <w:r>
        <w:rPr>
          <w:rFonts w:ascii="Times New Roman" w:hAnsi="Times New Roman" w:cs="Times New Roman"/>
          <w:b/>
          <w:sz w:val="21"/>
          <w:szCs w:val="21"/>
        </w:rPr>
        <w:t>.</w:t>
      </w:r>
      <w:r>
        <w:rPr>
          <w:rFonts w:ascii="Times New Roman" w:hAnsi="Times New Roman" w:cs="Times New Roman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a,</w:t>
      </w:r>
      <w:r>
        <w:rPr>
          <w:rFonts w:ascii="Times New Roman" w:hAnsi="Times New Roman" w:cs="Times New Roman"/>
          <w:sz w:val="21"/>
          <w:szCs w:val="21"/>
        </w:rPr>
        <w:t xml:space="preserve"> Western blotting analysis of MVK and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FDPS expression in </w:t>
      </w:r>
      <w:r>
        <w:rPr>
          <w:rFonts w:ascii="Times New Roman" w:hAnsi="Times New Roman" w:cs="Times New Roman" w:hint="eastAsia"/>
          <w:sz w:val="21"/>
          <w:szCs w:val="21"/>
        </w:rPr>
        <w:t xml:space="preserve">aged </w:t>
      </w:r>
      <w:r>
        <w:rPr>
          <w:rFonts w:ascii="Times New Roman" w:hAnsi="Times New Roman" w:cs="Times New Roman"/>
          <w:sz w:val="21"/>
          <w:szCs w:val="21"/>
        </w:rPr>
        <w:t xml:space="preserve">mouse GCs treated with 8-IPF. </w:t>
      </w:r>
      <w:r>
        <w:rPr>
          <w:rFonts w:ascii="Times New Roman" w:hAnsi="Times New Roman" w:cs="Times New Roman"/>
          <w:b/>
          <w:bCs/>
          <w:sz w:val="21"/>
          <w:szCs w:val="21"/>
        </w:rPr>
        <w:t>b,</w:t>
      </w:r>
      <w:r>
        <w:rPr>
          <w:rFonts w:ascii="Times New Roman" w:hAnsi="Times New Roman" w:cs="Times New Roman"/>
          <w:sz w:val="21"/>
          <w:szCs w:val="21"/>
        </w:rPr>
        <w:t xml:space="preserve"> MVK and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FDPS protein levels in 8-IPF-treated</w:t>
      </w:r>
      <w:r>
        <w:rPr>
          <w:rFonts w:ascii="Times New Roman" w:hAnsi="Times New Roman" w:cs="Times New Roman" w:hint="eastAsia"/>
          <w:sz w:val="21"/>
          <w:szCs w:val="21"/>
        </w:rPr>
        <w:t xml:space="preserve"> aged</w:t>
      </w:r>
      <w:r>
        <w:rPr>
          <w:rFonts w:ascii="Times New Roman" w:hAnsi="Times New Roman" w:cs="Times New Roman"/>
          <w:sz w:val="21"/>
          <w:szCs w:val="21"/>
        </w:rPr>
        <w:t xml:space="preserve"> mouse GCs. The data are shown as the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mean ± SEM of three independent experiments. </w:t>
      </w:r>
      <w:r>
        <w:rPr>
          <w:rFonts w:ascii="Times New Roman" w:hAnsi="Times New Roman" w:cs="Times New Roman"/>
          <w:b/>
          <w:bCs/>
          <w:sz w:val="21"/>
          <w:szCs w:val="21"/>
        </w:rPr>
        <w:t>c,</w:t>
      </w:r>
      <w:r>
        <w:rPr>
          <w:rFonts w:ascii="Times New Roman" w:hAnsi="Times New Roman" w:cs="Times New Roman"/>
          <w:sz w:val="21"/>
          <w:szCs w:val="21"/>
        </w:rPr>
        <w:t xml:space="preserve"> Micrographs of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ovaries from the CTL and 8-IPF groups. Scale bar, 1 mm. CTL group: aged mice treated with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normal saline. 8-IPF group: </w:t>
      </w:r>
      <w:r>
        <w:rPr>
          <w:rFonts w:ascii="Times New Roman" w:hAnsi="Times New Roman" w:cs="Times New Roman"/>
          <w:sz w:val="21"/>
          <w:szCs w:val="21"/>
        </w:rPr>
        <w:lastRenderedPageBreak/>
        <w:t xml:space="preserve">aged mice treated with 5 mg/kg/d 8-IPF. </w:t>
      </w:r>
      <w:r>
        <w:rPr>
          <w:rFonts w:ascii="Times New Roman" w:hAnsi="Times New Roman" w:cs="Times New Roman"/>
          <w:b/>
          <w:bCs/>
          <w:sz w:val="21"/>
          <w:szCs w:val="21"/>
        </w:rPr>
        <w:t>d,</w:t>
      </w:r>
      <w:r>
        <w:rPr>
          <w:rFonts w:ascii="Times New Roman" w:hAnsi="Times New Roman" w:cs="Times New Roman"/>
          <w:sz w:val="21"/>
          <w:szCs w:val="21"/>
        </w:rPr>
        <w:t xml:space="preserve"> Ovary index of the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CTL (n=14) and 8-IPF (n=14) groups. The data are shown as the mean ± SEM. </w:t>
      </w:r>
      <w:r>
        <w:rPr>
          <w:rFonts w:ascii="Times New Roman" w:hAnsi="Times New Roman" w:cs="Times New Roman"/>
          <w:b/>
          <w:bCs/>
          <w:sz w:val="21"/>
          <w:szCs w:val="21"/>
        </w:rPr>
        <w:t>e,</w:t>
      </w:r>
      <w:r>
        <w:rPr>
          <w:rFonts w:ascii="Times New Roman" w:hAnsi="Times New Roman" w:cs="Times New Roman"/>
          <w:sz w:val="21"/>
          <w:szCs w:val="21"/>
        </w:rPr>
        <w:t xml:space="preserve"> HE-stained micrographs of mouse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ovaries from the CTL and 8-IPF groups. Scale bar, 50 µm or 500 µm. </w:t>
      </w:r>
      <w:r>
        <w:rPr>
          <w:rFonts w:ascii="Times New Roman" w:hAnsi="Times New Roman" w:cs="Times New Roman"/>
          <w:b/>
          <w:bCs/>
          <w:sz w:val="21"/>
          <w:szCs w:val="21"/>
        </w:rPr>
        <w:t>f,</w:t>
      </w:r>
      <w:r>
        <w:rPr>
          <w:rFonts w:ascii="Times New Roman" w:hAnsi="Times New Roman" w:cs="Times New Roman"/>
          <w:sz w:val="21"/>
          <w:szCs w:val="21"/>
        </w:rPr>
        <w:t xml:space="preserve"> The number of MII oocytes in the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>CTL (n=7) and 8-IPF (n=7) groups. The data are shown as the mean ± SEM.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sz w:val="21"/>
          <w:szCs w:val="21"/>
        </w:rPr>
        <w:t>g,</w:t>
      </w:r>
      <w:r>
        <w:rPr>
          <w:rFonts w:ascii="Times New Roman" w:hAnsi="Times New Roman" w:cs="Times New Roman"/>
          <w:sz w:val="21"/>
          <w:szCs w:val="21"/>
        </w:rPr>
        <w:t xml:space="preserve"> Morphologies of spindles and chromosomes in MII oocytes derived</w:t>
      </w:r>
      <w:r>
        <w:rPr>
          <w:rFonts w:ascii="Times New Roman" w:hAnsi="Times New Roman" w:cs="Times New Roman" w:hint="eastAsia"/>
          <w:sz w:val="21"/>
          <w:szCs w:val="21"/>
        </w:rPr>
        <w:t xml:space="preserve"> </w:t>
      </w:r>
      <w:r>
        <w:rPr>
          <w:rFonts w:ascii="Times New Roman" w:hAnsi="Times New Roman" w:cs="Times New Roman"/>
          <w:sz w:val="21"/>
          <w:szCs w:val="21"/>
        </w:rPr>
        <w:t xml:space="preserve">from CTL and 8-IPF mice. Scale bar, 25 µm. </w:t>
      </w:r>
      <w:r>
        <w:rPr>
          <w:rFonts w:ascii="Times New Roman" w:hAnsi="Times New Roman" w:cs="Times New Roman"/>
          <w:b/>
          <w:bCs/>
          <w:sz w:val="21"/>
          <w:szCs w:val="21"/>
        </w:rPr>
        <w:t>h,</w:t>
      </w:r>
      <w:r>
        <w:rPr>
          <w:rFonts w:ascii="Times New Roman" w:hAnsi="Times New Roman" w:cs="Times New Roman"/>
          <w:sz w:val="21"/>
          <w:szCs w:val="21"/>
        </w:rPr>
        <w:t xml:space="preserve">  The meiotic defect rates of MII oocytes derived from CTL and 8-IPF mice. The data are shown as the mean ± SEM of three independent experiments. </w:t>
      </w:r>
      <w:r>
        <w:rPr>
          <w:rFonts w:ascii="Times New Roman" w:hAnsi="Times New Roman" w:cs="Times New Roman"/>
          <w:b/>
          <w:bCs/>
          <w:sz w:val="21"/>
          <w:szCs w:val="21"/>
        </w:rPr>
        <w:t>i,</w:t>
      </w:r>
      <w:r>
        <w:rPr>
          <w:rFonts w:ascii="Times New Roman" w:hAnsi="Times New Roman" w:cs="Times New Roman"/>
          <w:sz w:val="21"/>
          <w:szCs w:val="21"/>
        </w:rPr>
        <w:t xml:space="preserve"> Micrographs of </w:t>
      </w:r>
      <w:r>
        <w:rPr>
          <w:rFonts w:ascii="Times New Roman" w:hAnsi="Times New Roman" w:cs="Times New Roman"/>
          <w:i/>
          <w:iCs/>
          <w:sz w:val="21"/>
          <w:szCs w:val="21"/>
        </w:rPr>
        <w:t>in vitro</w:t>
      </w:r>
      <w:r>
        <w:rPr>
          <w:rFonts w:ascii="Times New Roman" w:hAnsi="Times New Roman" w:cs="Times New Roman" w:hint="eastAsia"/>
          <w:sz w:val="21"/>
          <w:szCs w:val="21"/>
        </w:rPr>
        <w:t xml:space="preserve"> fertilization (</w:t>
      </w:r>
      <w:r>
        <w:rPr>
          <w:rFonts w:ascii="Times New Roman" w:hAnsi="Times New Roman" w:cs="Times New Roman"/>
          <w:sz w:val="21"/>
          <w:szCs w:val="21"/>
        </w:rPr>
        <w:t>IVF</w:t>
      </w:r>
      <w:r>
        <w:rPr>
          <w:rFonts w:ascii="Times New Roman" w:hAnsi="Times New Roman" w:cs="Times New Roman" w:hint="eastAsia"/>
          <w:sz w:val="21"/>
          <w:szCs w:val="21"/>
        </w:rPr>
        <w:t>)</w:t>
      </w:r>
      <w:r>
        <w:rPr>
          <w:rFonts w:ascii="Times New Roman" w:hAnsi="Times New Roman" w:cs="Times New Roman"/>
          <w:sz w:val="21"/>
          <w:szCs w:val="21"/>
        </w:rPr>
        <w:t xml:space="preserve"> outcomes in the CTL and 8-IPF groups. The arrowheads indicate blastocysts. Scale bar, 200 µm. </w:t>
      </w:r>
      <w:r>
        <w:rPr>
          <w:rFonts w:ascii="Times New Roman" w:hAnsi="Times New Roman" w:cs="Times New Roman"/>
          <w:b/>
          <w:bCs/>
          <w:sz w:val="21"/>
          <w:szCs w:val="21"/>
        </w:rPr>
        <w:t>j-k,</w:t>
      </w:r>
      <w:r>
        <w:rPr>
          <w:rFonts w:ascii="Times New Roman" w:hAnsi="Times New Roman" w:cs="Times New Roman"/>
          <w:sz w:val="21"/>
          <w:szCs w:val="21"/>
        </w:rPr>
        <w:t xml:space="preserve"> Rates of 2</w:t>
      </w:r>
      <w:r>
        <w:rPr>
          <w:rFonts w:ascii="Times New Roman" w:hAnsi="Times New Roman" w:cs="Times New Roman" w:hint="eastAsia"/>
          <w:sz w:val="21"/>
          <w:szCs w:val="21"/>
        </w:rPr>
        <w:t>-</w:t>
      </w:r>
      <w:r>
        <w:rPr>
          <w:rFonts w:ascii="Times New Roman" w:hAnsi="Times New Roman" w:cs="Times New Roman"/>
          <w:sz w:val="21"/>
          <w:szCs w:val="21"/>
        </w:rPr>
        <w:t xml:space="preserve">cell embryos and blastocysts in the CTL and 8-IPF groups. The data are shown as the mean ± SEM of three independent experiments. An unpaired two-tailed Student’s </w:t>
      </w:r>
      <w:r>
        <w:rPr>
          <w:rFonts w:ascii="Times New Roman" w:hAnsi="Times New Roman" w:cs="Times New Roman"/>
          <w:i/>
          <w:iCs/>
          <w:sz w:val="21"/>
          <w:szCs w:val="21"/>
        </w:rPr>
        <w:t>t</w:t>
      </w:r>
      <w:r>
        <w:rPr>
          <w:rFonts w:ascii="Times New Roman" w:hAnsi="Times New Roman" w:cs="Times New Roman"/>
          <w:sz w:val="21"/>
          <w:szCs w:val="21"/>
        </w:rPr>
        <w:t xml:space="preserve"> test was used for statistical analysis.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>&lt; 0.05,</w:t>
      </w:r>
      <w:r>
        <w:rPr>
          <w:rFonts w:ascii="Times New Roman" w:hAnsi="Times New Roman" w:cs="Times New Roman"/>
          <w:sz w:val="21"/>
          <w:szCs w:val="21"/>
          <w:vertAlign w:val="superscript"/>
        </w:rPr>
        <w:t xml:space="preserve"> **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 xml:space="preserve">&lt; 0.01, or </w:t>
      </w:r>
      <w:r>
        <w:rPr>
          <w:rFonts w:ascii="Times New Roman" w:hAnsi="Times New Roman" w:cs="Times New Roman"/>
          <w:sz w:val="21"/>
          <w:szCs w:val="21"/>
          <w:vertAlign w:val="superscript"/>
        </w:rPr>
        <w:t>***</w:t>
      </w:r>
      <w:r>
        <w:rPr>
          <w:rFonts w:ascii="Times New Roman" w:hAnsi="Times New Roman" w:cs="Times New Roman"/>
          <w:i/>
          <w:sz w:val="21"/>
          <w:szCs w:val="21"/>
        </w:rPr>
        <w:t xml:space="preserve">P </w:t>
      </w:r>
      <w:r>
        <w:rPr>
          <w:rFonts w:ascii="Times New Roman" w:hAnsi="Times New Roman" w:cs="Times New Roman"/>
          <w:sz w:val="21"/>
          <w:szCs w:val="21"/>
        </w:rPr>
        <w:t>&lt; 0.001.</w:t>
      </w:r>
    </w:p>
    <w:p w14:paraId="7A1C4776" w14:textId="77777777" w:rsidR="007E67C6" w:rsidRDefault="007E67C6" w:rsidP="007E67C6">
      <w:pPr>
        <w:spacing w:line="360" w:lineRule="auto"/>
        <w:jc w:val="both"/>
        <w:rPr>
          <w:rFonts w:ascii="Times New Roman" w:hAnsi="Times New Roman" w:cs="Times New Roman"/>
        </w:rPr>
      </w:pPr>
    </w:p>
    <w:p w14:paraId="29EE7247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</w:p>
    <w:p w14:paraId="3BA2E3BC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</w:p>
    <w:p w14:paraId="73078A3F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029E3D38" wp14:editId="0B9F47F1">
            <wp:extent cx="5274310" cy="5274310"/>
            <wp:effectExtent l="0" t="0" r="0" b="0"/>
            <wp:docPr id="1978166101" name="图片 17" descr="图示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8166101" name="图片 17" descr="图示&#10;&#10;描述已自动生成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4F82C2" w14:textId="77777777" w:rsidR="007E67C6" w:rsidRDefault="007E67C6" w:rsidP="007E67C6">
      <w:pPr>
        <w:spacing w:line="360" w:lineRule="auto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b/>
          <w:sz w:val="21"/>
          <w:szCs w:val="21"/>
        </w:rPr>
        <w:t xml:space="preserve">Extended Data Fig. 9| Schematic showing the mechanism by which MVA ameliorates aged oocyte </w:t>
      </w:r>
      <w:r>
        <w:rPr>
          <w:rFonts w:ascii="Times New Roman" w:hAnsi="Times New Roman" w:cs="Times New Roman" w:hint="eastAsia"/>
          <w:b/>
          <w:sz w:val="21"/>
          <w:szCs w:val="21"/>
        </w:rPr>
        <w:t xml:space="preserve">cortical </w:t>
      </w:r>
      <w:r>
        <w:rPr>
          <w:rFonts w:ascii="Times New Roman" w:hAnsi="Times New Roman" w:cs="Times New Roman"/>
          <w:b/>
          <w:sz w:val="21"/>
          <w:szCs w:val="21"/>
        </w:rPr>
        <w:t xml:space="preserve">F-actin assembly and quality. </w:t>
      </w:r>
      <w:r>
        <w:rPr>
          <w:rFonts w:ascii="Times New Roman" w:hAnsi="Times New Roman" w:cs="Times New Roman"/>
          <w:sz w:val="21"/>
          <w:szCs w:val="21"/>
        </w:rPr>
        <w:t xml:space="preserve">Decreased FPP synthesis in GCs is </w:t>
      </w:r>
      <w:r>
        <w:rPr>
          <w:rFonts w:ascii="Times New Roman" w:hAnsi="Times New Roman" w:cs="Times New Roman" w:hint="eastAsia"/>
          <w:sz w:val="21"/>
          <w:szCs w:val="21"/>
        </w:rPr>
        <w:t xml:space="preserve">one of </w:t>
      </w:r>
      <w:r>
        <w:rPr>
          <w:rFonts w:ascii="Times New Roman" w:hAnsi="Times New Roman" w:cs="Times New Roman"/>
          <w:sz w:val="21"/>
          <w:szCs w:val="21"/>
        </w:rPr>
        <w:t>the main cause</w:t>
      </w:r>
      <w:r>
        <w:rPr>
          <w:rFonts w:ascii="Times New Roman" w:hAnsi="Times New Roman" w:cs="Times New Roman" w:hint="eastAsia"/>
          <w:sz w:val="21"/>
          <w:szCs w:val="21"/>
        </w:rPr>
        <w:t>s</w:t>
      </w:r>
      <w:r>
        <w:rPr>
          <w:rFonts w:ascii="Times New Roman" w:hAnsi="Times New Roman" w:cs="Times New Roman"/>
          <w:sz w:val="21"/>
          <w:szCs w:val="21"/>
        </w:rPr>
        <w:t xml:space="preserve"> of declined quality in oocytes during ovarian aging. MVA/8-IPF supplementation activate the FPP synthesis </w:t>
      </w:r>
      <w:r>
        <w:rPr>
          <w:rFonts w:ascii="Times New Roman" w:hAnsi="Times New Roman" w:cs="Times New Roman" w:hint="eastAsia"/>
          <w:sz w:val="21"/>
          <w:szCs w:val="21"/>
        </w:rPr>
        <w:t>pa</w:t>
      </w:r>
      <w:r>
        <w:rPr>
          <w:rFonts w:ascii="Times New Roman" w:hAnsi="Times New Roman" w:cs="Times New Roman"/>
          <w:sz w:val="21"/>
          <w:szCs w:val="21"/>
        </w:rPr>
        <w:t xml:space="preserve">thway in GCs, and GCs subsequently transfer </w:t>
      </w:r>
      <w:r>
        <w:rPr>
          <w:rFonts w:ascii="Times New Roman" w:hAnsi="Times New Roman" w:cs="Times New Roman" w:hint="eastAsia"/>
          <w:sz w:val="21"/>
          <w:szCs w:val="21"/>
        </w:rPr>
        <w:t>FPP</w:t>
      </w:r>
      <w:r>
        <w:rPr>
          <w:rFonts w:ascii="Times New Roman" w:hAnsi="Times New Roman" w:cs="Times New Roman"/>
          <w:sz w:val="21"/>
          <w:szCs w:val="21"/>
        </w:rPr>
        <w:t xml:space="preserve"> to oocytes </w:t>
      </w:r>
      <w:r>
        <w:rPr>
          <w:rFonts w:ascii="Times New Roman" w:hAnsi="Times New Roman" w:cs="Times New Roman" w:hint="eastAsia"/>
          <w:sz w:val="21"/>
          <w:szCs w:val="21"/>
        </w:rPr>
        <w:t>to</w:t>
      </w:r>
      <w:r>
        <w:rPr>
          <w:rFonts w:ascii="Times New Roman" w:hAnsi="Times New Roman" w:cs="Times New Roman"/>
          <w:sz w:val="21"/>
          <w:szCs w:val="21"/>
        </w:rPr>
        <w:t xml:space="preserve"> prenylate CDC42</w:t>
      </w:r>
      <w:r>
        <w:rPr>
          <w:rFonts w:ascii="Times New Roman" w:hAnsi="Times New Roman" w:cs="Times New Roman" w:hint="eastAsia"/>
          <w:sz w:val="21"/>
          <w:szCs w:val="21"/>
        </w:rPr>
        <w:t xml:space="preserve"> and </w:t>
      </w:r>
      <w:r>
        <w:rPr>
          <w:rFonts w:ascii="Times New Roman" w:hAnsi="Times New Roman" w:cs="Times New Roman"/>
          <w:sz w:val="21"/>
          <w:szCs w:val="21"/>
        </w:rPr>
        <w:t xml:space="preserve">RAC1 and promote </w:t>
      </w:r>
      <w:r>
        <w:rPr>
          <w:rFonts w:ascii="Times New Roman" w:hAnsi="Times New Roman" w:cs="Times New Roman" w:hint="eastAsia"/>
          <w:sz w:val="21"/>
          <w:szCs w:val="21"/>
        </w:rPr>
        <w:t xml:space="preserve">cortical </w:t>
      </w:r>
      <w:r>
        <w:rPr>
          <w:rFonts w:ascii="Times New Roman" w:hAnsi="Times New Roman" w:cs="Times New Roman"/>
          <w:sz w:val="21"/>
          <w:szCs w:val="21"/>
        </w:rPr>
        <w:t>F-actin assembly in aged oocytes. F, prenylation.</w:t>
      </w:r>
    </w:p>
    <w:p w14:paraId="1C58074C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</w:p>
    <w:p w14:paraId="781CB8A3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</w:p>
    <w:p w14:paraId="00E447BE" w14:textId="77777777" w:rsidR="007E67C6" w:rsidRDefault="007E67C6" w:rsidP="007E67C6">
      <w:pPr>
        <w:spacing w:line="360" w:lineRule="auto"/>
        <w:rPr>
          <w:rFonts w:ascii="Times New Roman" w:hAnsi="Times New Roman" w:cs="Times New Roman"/>
        </w:rPr>
      </w:pPr>
    </w:p>
    <w:p w14:paraId="55B1FC4F" w14:textId="77777777" w:rsidR="00755780" w:rsidRDefault="00755780"/>
    <w:sectPr w:rsidR="00755780" w:rsidSect="007E67C6">
      <w:footerReference w:type="even" r:id="rId13"/>
      <w:footerReference w:type="default" r:id="rId1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"/>
    </w:sdtPr>
    <w:sdtContent>
      <w:p w14:paraId="78979DAD" w14:textId="77777777" w:rsidR="00000000" w:rsidRDefault="00000000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B88DE5C" w14:textId="77777777" w:rsidR="00000000" w:rsidRDefault="0000000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2000694617"/>
    </w:sdtPr>
    <w:sdtContent>
      <w:p w14:paraId="0A069F65" w14:textId="77777777" w:rsidR="00000000" w:rsidRDefault="00000000">
        <w:pPr>
          <w:pStyle w:val="Footer"/>
          <w:framePr w:wrap="auto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</w:rPr>
          <w:t>1</w:t>
        </w:r>
        <w:r>
          <w:rPr>
            <w:rStyle w:val="PageNumber"/>
          </w:rPr>
          <w:fldChar w:fldCharType="end"/>
        </w:r>
      </w:p>
    </w:sdtContent>
  </w:sdt>
  <w:p w14:paraId="3B1D89E2" w14:textId="77777777" w:rsidR="00000000" w:rsidRDefault="00000000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7C6"/>
    <w:rsid w:val="00105D11"/>
    <w:rsid w:val="00331A6B"/>
    <w:rsid w:val="00755780"/>
    <w:rsid w:val="007E67C6"/>
    <w:rsid w:val="00857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F69EC9"/>
  <w15:chartTrackingRefBased/>
  <w15:docId w15:val="{9D51741F-1931-4A2F-9093-2FB9F071F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67C6"/>
    <w:pPr>
      <w:spacing w:after="0" w:line="240" w:lineRule="auto"/>
    </w:pPr>
    <w:rPr>
      <w:rFonts w:ascii="SimSun" w:eastAsia="SimSun" w:hAnsi="SimSun" w:cs="SimSun"/>
      <w:kern w:val="0"/>
      <w:sz w:val="24"/>
      <w:szCs w:val="24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E67C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67C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67C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67C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67C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67C6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67C6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67C6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67C6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67C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67C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67C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67C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67C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67C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67C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67C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67C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67C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E67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67C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E67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E67C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E67C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67C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E67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67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67C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67C6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uiPriority w:val="99"/>
    <w:unhideWhenUsed/>
    <w:qFormat/>
    <w:rsid w:val="007E67C6"/>
    <w:pP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FooterChar">
    <w:name w:val="Footer Char"/>
    <w:basedOn w:val="DefaultParagraphFont"/>
    <w:link w:val="Footer"/>
    <w:uiPriority w:val="99"/>
    <w:rsid w:val="007E67C6"/>
    <w:rPr>
      <w:rFonts w:ascii="SimSun" w:eastAsia="SimSun" w:hAnsi="SimSun" w:cs="SimSun"/>
      <w:kern w:val="0"/>
      <w:sz w:val="18"/>
      <w:szCs w:val="24"/>
      <w:lang w:eastAsia="zh-CN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qFormat/>
    <w:rsid w:val="007E67C6"/>
  </w:style>
  <w:style w:type="character" w:styleId="LineNumber">
    <w:name w:val="line number"/>
    <w:basedOn w:val="DefaultParagraphFont"/>
    <w:uiPriority w:val="99"/>
    <w:semiHidden/>
    <w:unhideWhenUsed/>
    <w:rsid w:val="007E67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fontTable" Target="fontTable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13</Pages>
  <Words>1359</Words>
  <Characters>7749</Characters>
  <Application>Microsoft Office Word</Application>
  <DocSecurity>0</DocSecurity>
  <Lines>64</Lines>
  <Paragraphs>18</Paragraphs>
  <ScaleCrop>false</ScaleCrop>
  <Company>Springer Nature</Company>
  <LinksUpToDate>false</LinksUpToDate>
  <CharactersWithSpaces>9090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2024-07-29T04:50:00Z</dcterms:created>
  <dcterms:modified xsi:type="dcterms:W3CDTF">2024-07-29T04:51:00Z</dcterms:modified>
</cp:coreProperties>
</file>